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8032" w14:textId="3177E768" w:rsidR="00912D8D" w:rsidRPr="000463A1" w:rsidRDefault="00912D8D" w:rsidP="00AB209C">
      <w:pPr>
        <w:pStyle w:val="Titel"/>
      </w:pPr>
      <w:r w:rsidRPr="000463A1">
        <w:t xml:space="preserve">Digitale Lernräume: </w:t>
      </w:r>
      <w:r w:rsidR="00E25AB1">
        <w:t>W</w:t>
      </w:r>
      <w:r w:rsidR="00AF7144" w:rsidRPr="000463A1">
        <w:t>ie werden sie zur</w:t>
      </w:r>
      <w:r w:rsidRPr="000463A1">
        <w:t xml:space="preserve"> Chance für Teilhabe im Unterricht?</w:t>
      </w:r>
    </w:p>
    <w:p w14:paraId="41AD8DE2" w14:textId="784FEBB2" w:rsidR="001114E2" w:rsidRPr="000463A1" w:rsidRDefault="0030000C" w:rsidP="006C2B84">
      <w:pPr>
        <w:pStyle w:val="Author"/>
        <w:rPr>
          <w:rFonts w:cs="Open Sans SemiCondensed"/>
          <w:lang w:val="de-CH"/>
        </w:rPr>
      </w:pPr>
      <w:r w:rsidRPr="000463A1">
        <w:rPr>
          <w:rFonts w:cs="Open Sans SemiCondensed"/>
          <w:lang w:val="de-CH"/>
        </w:rPr>
        <w:t xml:space="preserve">Verena </w:t>
      </w:r>
      <w:r w:rsidR="00912D8D" w:rsidRPr="000463A1">
        <w:rPr>
          <w:rFonts w:cs="Open Sans SemiCondensed"/>
          <w:lang w:val="de-CH"/>
        </w:rPr>
        <w:t>Muheim</w:t>
      </w:r>
      <w:r>
        <w:rPr>
          <w:rFonts w:cs="Open Sans SemiCondensed"/>
          <w:lang w:val="de-CH"/>
        </w:rPr>
        <w:t xml:space="preserve"> und </w:t>
      </w:r>
      <w:r w:rsidRPr="000463A1">
        <w:rPr>
          <w:rFonts w:cs="Open Sans SemiCondensed"/>
          <w:lang w:val="de-CH"/>
        </w:rPr>
        <w:t>Federica</w:t>
      </w:r>
      <w:r w:rsidR="00912D8D" w:rsidRPr="000463A1">
        <w:rPr>
          <w:rFonts w:cs="Open Sans SemiCondensed"/>
          <w:lang w:val="de-CH"/>
        </w:rPr>
        <w:t xml:space="preserve"> Hofer</w:t>
      </w:r>
    </w:p>
    <w:p w14:paraId="3A28FF7A" w14:textId="08938EC7" w:rsidR="001114E2" w:rsidRDefault="00985126" w:rsidP="002764FC">
      <w:pPr>
        <w:pStyle w:val="Abstract"/>
      </w:pPr>
      <w:r w:rsidRPr="000463A1">
        <w:t>Zusammenfassung</w:t>
      </w:r>
      <w:r w:rsidR="00E7780E" w:rsidRPr="000463A1">
        <w:br/>
      </w:r>
      <w:r w:rsidR="00F35D5D" w:rsidRPr="00F35D5D">
        <w:t xml:space="preserve">Der Beitrag widmet sich den Fragen, </w:t>
      </w:r>
      <w:r w:rsidR="00E165F6">
        <w:t>wie</w:t>
      </w:r>
      <w:r w:rsidR="00E165F6" w:rsidRPr="00F35D5D">
        <w:t xml:space="preserve"> </w:t>
      </w:r>
      <w:r w:rsidR="00F35D5D" w:rsidRPr="00F35D5D">
        <w:t xml:space="preserve">digitale Lernräume </w:t>
      </w:r>
      <w:r w:rsidR="002470B4">
        <w:t>verstanden</w:t>
      </w:r>
      <w:r w:rsidR="002470B4" w:rsidRPr="00F35D5D">
        <w:t xml:space="preserve"> </w:t>
      </w:r>
      <w:r w:rsidR="00F35D5D" w:rsidRPr="00F35D5D">
        <w:t xml:space="preserve">und wie sie eingesetzt werden können, um Inklusion zu ermöglichen. </w:t>
      </w:r>
      <w:r w:rsidR="008963CD">
        <w:t>Zunächst er</w:t>
      </w:r>
      <w:r w:rsidR="008963CD" w:rsidRPr="008963CD">
        <w:t>folgt ein Klärungsversuch zum</w:t>
      </w:r>
      <w:r w:rsidR="00850DA1">
        <w:t xml:space="preserve"> Begriff</w:t>
      </w:r>
      <w:r w:rsidR="008963CD" w:rsidRPr="008963CD">
        <w:t xml:space="preserve"> digitaler Lernraum unter Beizug zweier klassischer Raumverständnisse. </w:t>
      </w:r>
      <w:r w:rsidR="00850DA1">
        <w:t>Anschliessend</w:t>
      </w:r>
      <w:r w:rsidR="00D9410A">
        <w:t xml:space="preserve"> </w:t>
      </w:r>
      <w:r w:rsidR="00D9410A" w:rsidRPr="000463A1">
        <w:t>wird der Fokus explizit auf den Aspekt Teilhabe eingegrenzt und mit dem Verständnis</w:t>
      </w:r>
      <w:r w:rsidR="00476566">
        <w:t xml:space="preserve"> </w:t>
      </w:r>
      <w:r w:rsidR="00D9410A" w:rsidRPr="000463A1">
        <w:t>nach von Kardorff (2014) gearbeitet</w:t>
      </w:r>
      <w:r w:rsidR="00912D8D" w:rsidRPr="000463A1">
        <w:t xml:space="preserve">. </w:t>
      </w:r>
      <w:r w:rsidR="008551FA">
        <w:t>Sein</w:t>
      </w:r>
      <w:r w:rsidR="00912D8D" w:rsidRPr="000463A1">
        <w:t xml:space="preserve"> Verständnis von Teilhabe erweist sich als praxisnahes Modell zur Identifikation von möglichen exkludierenden Strukturen im Unterricht. Sichtbar wird, dass beim Einsatz von digitalen Lernräumen den Aspekten Teil-Gabe und Teil-Sein eine bedeutsame Rolle </w:t>
      </w:r>
      <w:r w:rsidR="001A0120">
        <w:t>bei der Inklusion</w:t>
      </w:r>
      <w:r w:rsidR="00912D8D" w:rsidRPr="000463A1">
        <w:t xml:space="preserve"> zukommt.</w:t>
      </w:r>
    </w:p>
    <w:p w14:paraId="50CC3909" w14:textId="5BA5071D" w:rsidR="002764FC" w:rsidRPr="008D0397" w:rsidRDefault="002764FC" w:rsidP="008D0397">
      <w:pPr>
        <w:pStyle w:val="Abstract"/>
        <w:rPr>
          <w:lang w:val="fr-CH"/>
        </w:rPr>
      </w:pPr>
      <w:r w:rsidRPr="008D0397">
        <w:rPr>
          <w:lang w:val="fr-CH"/>
        </w:rPr>
        <w:t>Résumé</w:t>
      </w:r>
      <w:r w:rsidRPr="008D0397">
        <w:rPr>
          <w:lang w:val="fr-CH"/>
        </w:rPr>
        <w:br/>
      </w:r>
      <w:r w:rsidR="008D0397" w:rsidRPr="0082483A">
        <w:rPr>
          <w:lang w:val="fr-CH"/>
        </w:rPr>
        <w:t xml:space="preserve">Cet article s'intéresse à la manière dont les espaces d'apprentissage numériques peuvent être compris et mis en place afin de favoriser l'inclusion. </w:t>
      </w:r>
      <w:r w:rsidR="008D0397">
        <w:rPr>
          <w:lang w:val="fr-CH"/>
        </w:rPr>
        <w:t xml:space="preserve">Dans un premier temps, il tente </w:t>
      </w:r>
      <w:r w:rsidR="008D0397" w:rsidRPr="0082483A">
        <w:rPr>
          <w:lang w:val="fr-CH"/>
        </w:rPr>
        <w:t>de clarifi</w:t>
      </w:r>
      <w:r w:rsidR="008D0397">
        <w:rPr>
          <w:lang w:val="fr-CH"/>
        </w:rPr>
        <w:t>er</w:t>
      </w:r>
      <w:r w:rsidR="008D0397" w:rsidRPr="0082483A">
        <w:rPr>
          <w:lang w:val="fr-CH"/>
        </w:rPr>
        <w:t xml:space="preserve"> </w:t>
      </w:r>
      <w:r w:rsidR="008D0397">
        <w:rPr>
          <w:lang w:val="fr-CH"/>
        </w:rPr>
        <w:t>la notion</w:t>
      </w:r>
      <w:r w:rsidR="008D0397" w:rsidRPr="0082483A">
        <w:rPr>
          <w:lang w:val="fr-CH"/>
        </w:rPr>
        <w:t xml:space="preserve"> d'espace d'apprentissage numérique en </w:t>
      </w:r>
      <w:r w:rsidR="008D0397">
        <w:rPr>
          <w:lang w:val="fr-CH"/>
        </w:rPr>
        <w:t>se</w:t>
      </w:r>
      <w:r w:rsidR="008D0397" w:rsidRPr="0082483A">
        <w:rPr>
          <w:lang w:val="fr-CH"/>
        </w:rPr>
        <w:t xml:space="preserve"> référant à deux conceptions classiques de l'espace. Ensuite, l'accent est explicitement mis sur l</w:t>
      </w:r>
      <w:r w:rsidR="008D0397">
        <w:rPr>
          <w:lang w:val="fr-CH"/>
        </w:rPr>
        <w:t>e versant</w:t>
      </w:r>
      <w:r w:rsidR="008D0397" w:rsidRPr="0082483A">
        <w:rPr>
          <w:lang w:val="fr-CH"/>
        </w:rPr>
        <w:t xml:space="preserve"> </w:t>
      </w:r>
      <w:r w:rsidR="008D0397">
        <w:rPr>
          <w:lang w:val="fr-CH"/>
        </w:rPr>
        <w:t>participatif,</w:t>
      </w:r>
      <w:r w:rsidR="008D0397" w:rsidRPr="0082483A">
        <w:rPr>
          <w:lang w:val="fr-CH"/>
        </w:rPr>
        <w:t xml:space="preserve"> en s’appuyant sur la définition</w:t>
      </w:r>
      <w:r w:rsidR="008D0397">
        <w:rPr>
          <w:lang w:val="fr-CH"/>
        </w:rPr>
        <w:t xml:space="preserve"> de la participation</w:t>
      </w:r>
      <w:r w:rsidR="008D0397" w:rsidRPr="0082483A">
        <w:rPr>
          <w:lang w:val="fr-CH"/>
        </w:rPr>
        <w:t xml:space="preserve"> proposée par von Kardorff (2014). </w:t>
      </w:r>
      <w:r w:rsidR="008D0397">
        <w:rPr>
          <w:lang w:val="fr-CH"/>
        </w:rPr>
        <w:t>Sa</w:t>
      </w:r>
      <w:r w:rsidR="008D0397" w:rsidRPr="0082483A">
        <w:rPr>
          <w:lang w:val="fr-CH"/>
        </w:rPr>
        <w:t xml:space="preserve"> conception de la participation se révèle </w:t>
      </w:r>
      <w:r w:rsidR="008D0397">
        <w:rPr>
          <w:lang w:val="fr-CH"/>
        </w:rPr>
        <w:t xml:space="preserve">offrir </w:t>
      </w:r>
      <w:r w:rsidR="008D0397" w:rsidRPr="0082483A">
        <w:rPr>
          <w:lang w:val="fr-CH"/>
        </w:rPr>
        <w:t xml:space="preserve">un modèle </w:t>
      </w:r>
      <w:r w:rsidR="008D0397">
        <w:rPr>
          <w:lang w:val="fr-CH"/>
        </w:rPr>
        <w:t>d’</w:t>
      </w:r>
      <w:r w:rsidR="008D0397" w:rsidRPr="0082483A">
        <w:rPr>
          <w:lang w:val="fr-CH"/>
        </w:rPr>
        <w:t>identifi</w:t>
      </w:r>
      <w:r w:rsidR="008D0397">
        <w:rPr>
          <w:lang w:val="fr-CH"/>
        </w:rPr>
        <w:t>cation</w:t>
      </w:r>
      <w:r w:rsidR="008D0397" w:rsidRPr="0082483A">
        <w:rPr>
          <w:lang w:val="fr-CH"/>
        </w:rPr>
        <w:t xml:space="preserve"> </w:t>
      </w:r>
      <w:r w:rsidR="008D0397">
        <w:rPr>
          <w:lang w:val="fr-CH"/>
        </w:rPr>
        <w:t>d</w:t>
      </w:r>
      <w:r w:rsidR="008D0397" w:rsidRPr="0082483A">
        <w:rPr>
          <w:lang w:val="fr-CH"/>
        </w:rPr>
        <w:t>es structures potentiellement excluantes dans l'enseignement</w:t>
      </w:r>
      <w:r w:rsidR="008D0397">
        <w:rPr>
          <w:lang w:val="fr-CH"/>
        </w:rPr>
        <w:t xml:space="preserve"> particulièrement adapté à la pratique</w:t>
      </w:r>
      <w:r w:rsidR="008D0397" w:rsidRPr="0082483A">
        <w:rPr>
          <w:lang w:val="fr-CH"/>
        </w:rPr>
        <w:t>. Il apparait clairement que, dans l'utilisation des espaces d’apprentissage numériques, les notions de participation active et d'appartenance jouent un rôle central dans l'inclusion.</w:t>
      </w:r>
    </w:p>
    <w:p w14:paraId="674591C1" w14:textId="0447E5C5" w:rsidR="003E36CD" w:rsidRDefault="00EA4676" w:rsidP="007B4390">
      <w:pPr>
        <w:pStyle w:val="Textkrper3"/>
        <w:rPr>
          <w:lang w:val="fr-CH"/>
        </w:rPr>
      </w:pPr>
      <w:r w:rsidRPr="003E36CD">
        <w:rPr>
          <w:rStyle w:val="Fett"/>
          <w:rFonts w:cs="Open Sans SemiCondensed"/>
          <w:lang w:val="fr-CH"/>
        </w:rPr>
        <w:t>Keywords</w:t>
      </w:r>
      <w:r w:rsidRPr="003E36CD">
        <w:rPr>
          <w:lang w:val="fr-CH"/>
        </w:rPr>
        <w:t xml:space="preserve">: </w:t>
      </w:r>
      <w:r w:rsidR="00F75A77">
        <w:rPr>
          <w:lang w:val="fr-CH"/>
        </w:rPr>
        <w:t>d</w:t>
      </w:r>
      <w:r w:rsidR="003E36CD" w:rsidRPr="003F5458">
        <w:rPr>
          <w:lang w:val="fr-CH"/>
        </w:rPr>
        <w:t xml:space="preserve">igitale Transformation, </w:t>
      </w:r>
      <w:r w:rsidR="003E36CD" w:rsidRPr="00A54A98">
        <w:rPr>
          <w:lang w:val="fr-CH"/>
        </w:rPr>
        <w:t xml:space="preserve">Raumnutzung, Partizipation, inklusiver Unterricht, </w:t>
      </w:r>
      <w:r w:rsidR="003F5458" w:rsidRPr="00A54A98">
        <w:rPr>
          <w:lang w:val="fr-CH"/>
        </w:rPr>
        <w:t>S</w:t>
      </w:r>
      <w:r w:rsidR="003E36CD" w:rsidRPr="00A54A98">
        <w:rPr>
          <w:lang w:val="fr-CH"/>
        </w:rPr>
        <w:t>chulische Heilpädagogik /</w:t>
      </w:r>
      <w:r w:rsidR="003E36CD" w:rsidRPr="00787B01">
        <w:rPr>
          <w:lang w:val="fr-CH"/>
        </w:rPr>
        <w:t xml:space="preserve"> transformation numérique, </w:t>
      </w:r>
      <w:r w:rsidR="003E36CD">
        <w:rPr>
          <w:lang w:val="fr-CH"/>
        </w:rPr>
        <w:t>utilisation de l’espace</w:t>
      </w:r>
      <w:r w:rsidR="003E36CD" w:rsidRPr="00787B01">
        <w:rPr>
          <w:lang w:val="fr-CH"/>
        </w:rPr>
        <w:t>, participation, enseignement inclusif, enseignement spécialisé en</w:t>
      </w:r>
      <w:r w:rsidR="003E36CD">
        <w:rPr>
          <w:lang w:val="fr-CH"/>
        </w:rPr>
        <w:t xml:space="preserve"> école</w:t>
      </w:r>
    </w:p>
    <w:p w14:paraId="4406E5E3" w14:textId="68B077FC" w:rsidR="001D3BFB" w:rsidRPr="007A5CAB" w:rsidRDefault="00EA4676" w:rsidP="007B4390">
      <w:pPr>
        <w:pStyle w:val="Textkrper3"/>
        <w:rPr>
          <w:rFonts w:cs="Open Sans SemiCondensed"/>
          <w:bCs/>
          <w:iCs/>
          <w:color w:val="CF3649"/>
          <w:lang w:val="fr-CH"/>
        </w:rPr>
      </w:pPr>
      <w:r w:rsidRPr="007A5CAB">
        <w:rPr>
          <w:rStyle w:val="Fett"/>
          <w:rFonts w:cs="Open Sans SemiCondensed"/>
          <w:lang w:val="fr-CH"/>
        </w:rPr>
        <w:t>DOI</w:t>
      </w:r>
      <w:r w:rsidRPr="007A5CAB">
        <w:rPr>
          <w:rFonts w:cs="Open Sans SemiCondensed"/>
          <w:lang w:val="fr-CH"/>
        </w:rPr>
        <w:t xml:space="preserve">: </w:t>
      </w:r>
      <w:hyperlink r:id="rId11" w:history="1">
        <w:r w:rsidR="00161CAA" w:rsidRPr="000821CB">
          <w:rPr>
            <w:rStyle w:val="Hyperlink"/>
            <w:rFonts w:cs="Open Sans SemiCondensed"/>
            <w:lang w:val="fr-CH"/>
          </w:rPr>
          <w:t>https://doi.org/10.57161/z2024-08-</w:t>
        </w:r>
        <w:r w:rsidR="00161CAA" w:rsidRPr="000821CB">
          <w:rPr>
            <w:rStyle w:val="Hyperlink"/>
            <w:bCs w:val="0"/>
            <w:iCs w:val="0"/>
            <w:lang w:val="fr-CH"/>
          </w:rPr>
          <w:t>04</w:t>
        </w:r>
      </w:hyperlink>
    </w:p>
    <w:p w14:paraId="57ADFFA5" w14:textId="4135AAD9" w:rsidR="001161D6" w:rsidRPr="000463A1" w:rsidRDefault="001161D6" w:rsidP="007B4390">
      <w:pPr>
        <w:pStyle w:val="Textkrper3"/>
      </w:pPr>
      <w:r w:rsidRPr="000463A1">
        <w:t xml:space="preserve">Schweizerische Zeitschrift für Heilpädagogik, Jg. </w:t>
      </w:r>
      <w:r w:rsidR="00791C8D">
        <w:t>30</w:t>
      </w:r>
      <w:r w:rsidRPr="000463A1">
        <w:t xml:space="preserve">, </w:t>
      </w:r>
      <w:r w:rsidR="00791C8D">
        <w:t>0</w:t>
      </w:r>
      <w:r w:rsidR="00AF735A">
        <w:t>8</w:t>
      </w:r>
      <w:r w:rsidRPr="000463A1">
        <w:t>/</w:t>
      </w:r>
      <w:r w:rsidR="00AF735A">
        <w:t>2024</w:t>
      </w:r>
    </w:p>
    <w:p w14:paraId="49353009" w14:textId="77777777" w:rsidR="000E6A66" w:rsidRPr="000463A1" w:rsidRDefault="000E6A66" w:rsidP="007B4390">
      <w:pPr>
        <w:pStyle w:val="Textkrper3"/>
      </w:pPr>
      <w:r w:rsidRPr="000463A1">
        <w:rPr>
          <w:noProof/>
        </w:rPr>
        <w:drawing>
          <wp:inline distT="0" distB="0" distL="0" distR="0" wp14:anchorId="0350AA98" wp14:editId="48AD3055">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589A764C" w14:textId="6DCB75ED" w:rsidR="004D059C" w:rsidRPr="00DB6D32" w:rsidRDefault="004D059C" w:rsidP="00DB6D32">
      <w:pPr>
        <w:pStyle w:val="berschrift1"/>
      </w:pPr>
      <w:r w:rsidRPr="00DB6D32">
        <w:t xml:space="preserve">Was ist </w:t>
      </w:r>
      <w:r w:rsidRPr="006065EE">
        <w:t>digitaler Raum</w:t>
      </w:r>
      <w:r w:rsidRPr="00DB6D32">
        <w:t>?</w:t>
      </w:r>
    </w:p>
    <w:p w14:paraId="05138DAB" w14:textId="780B2CB2" w:rsidR="00A57E7F" w:rsidRPr="000463A1" w:rsidRDefault="003947B8" w:rsidP="00EE4674">
      <w:pPr>
        <w:pStyle w:val="Textkrper"/>
        <w:ind w:firstLine="0"/>
      </w:pPr>
      <w:r w:rsidRPr="000463A1">
        <w:t>Digitale Technologien sind schon lange Teil des Unterrichts. Aktuell existiert keine einheitliche Definition, was einen digitalen Lernraum ausmacht</w:t>
      </w:r>
      <w:r>
        <w:t>.</w:t>
      </w:r>
      <w:r w:rsidR="000B2181">
        <w:t xml:space="preserve"> </w:t>
      </w:r>
      <w:r w:rsidR="00A57E7F" w:rsidRPr="000463A1">
        <w:t xml:space="preserve">In der Bezeichnung </w:t>
      </w:r>
      <w:r w:rsidR="00A57E7F" w:rsidRPr="000463A1">
        <w:rPr>
          <w:i/>
        </w:rPr>
        <w:t>digitaler Lernraum</w:t>
      </w:r>
      <w:r w:rsidR="00A57E7F" w:rsidRPr="000463A1">
        <w:t xml:space="preserve"> steckt </w:t>
      </w:r>
      <w:r w:rsidR="009F0932" w:rsidRPr="000463A1">
        <w:t>neben dem</w:t>
      </w:r>
      <w:r w:rsidR="00A57E7F" w:rsidRPr="000463A1">
        <w:t xml:space="preserve"> Begriff des Digitalen und dem Begriff des Lernens auch jener des Raumes. Digitale Lernräume </w:t>
      </w:r>
      <w:r w:rsidR="00B97090">
        <w:t>rufen wir</w:t>
      </w:r>
      <w:r w:rsidR="00A57E7F" w:rsidRPr="000463A1">
        <w:t xml:space="preserve"> üblicherweise </w:t>
      </w:r>
      <w:r w:rsidR="00A57E7F" w:rsidRPr="000463A1">
        <w:rPr>
          <w:i/>
        </w:rPr>
        <w:t>im Computer</w:t>
      </w:r>
      <w:r w:rsidR="00A57E7F" w:rsidRPr="000463A1">
        <w:t xml:space="preserve"> auf. </w:t>
      </w:r>
      <w:r w:rsidR="00FE3F54">
        <w:t xml:space="preserve">Wir sprechen </w:t>
      </w:r>
      <w:r w:rsidR="00A57E7F" w:rsidRPr="000463A1">
        <w:t>manchmal</w:t>
      </w:r>
      <w:r w:rsidR="00FE3F54">
        <w:t xml:space="preserve"> auch</w:t>
      </w:r>
      <w:r w:rsidR="00A57E7F" w:rsidRPr="000463A1">
        <w:t xml:space="preserve"> von</w:t>
      </w:r>
      <w:r w:rsidR="00A57E7F" w:rsidRPr="000463A1">
        <w:rPr>
          <w:i/>
        </w:rPr>
        <w:t xml:space="preserve"> in den Lernraum gehen </w:t>
      </w:r>
      <w:r w:rsidR="00A57E7F" w:rsidRPr="000463A1">
        <w:t xml:space="preserve">oder </w:t>
      </w:r>
      <w:r w:rsidR="00A57E7F" w:rsidRPr="000463A1">
        <w:rPr>
          <w:i/>
        </w:rPr>
        <w:t>den Lernraum verlassen</w:t>
      </w:r>
      <w:r w:rsidR="00A57E7F" w:rsidRPr="000463A1">
        <w:t>. Diese metaphorischen Bezeichnungen weisen auf einen physikalischen Raumbegriff hin, der auf ein</w:t>
      </w:r>
      <w:r w:rsidR="00B73DFA" w:rsidRPr="000463A1">
        <w:t>e</w:t>
      </w:r>
      <w:r w:rsidR="004F2C14" w:rsidRPr="000463A1">
        <w:t xml:space="preserve"> statische,</w:t>
      </w:r>
      <w:r w:rsidR="00A57E7F" w:rsidRPr="000463A1">
        <w:t xml:space="preserve"> dreidimensionale Raum</w:t>
      </w:r>
      <w:r w:rsidR="00B73DFA" w:rsidRPr="000463A1">
        <w:t>vorstellung zurückgeht</w:t>
      </w:r>
      <w:r w:rsidR="004F2C14" w:rsidRPr="000463A1">
        <w:t xml:space="preserve"> (Löw, 2015)</w:t>
      </w:r>
      <w:r w:rsidR="00A57E7F" w:rsidRPr="000463A1">
        <w:t>. Drei zentrale Merkmale charakterisieren dieses Verständnis:</w:t>
      </w:r>
    </w:p>
    <w:p w14:paraId="5A2E8F4B" w14:textId="3ED355EF" w:rsidR="00A57E7F" w:rsidRPr="000463A1" w:rsidRDefault="00A57E7F" w:rsidP="00526B04">
      <w:pPr>
        <w:pStyle w:val="Textkrper"/>
        <w:numPr>
          <w:ilvl w:val="0"/>
          <w:numId w:val="43"/>
        </w:numPr>
      </w:pPr>
      <w:r w:rsidRPr="000463A1">
        <w:t xml:space="preserve">Körper und Raum existieren unabhängig voneinander. Der Raum existiert weiter, </w:t>
      </w:r>
      <w:r w:rsidR="00B14051" w:rsidRPr="000463A1">
        <w:t xml:space="preserve">auch </w:t>
      </w:r>
      <w:r w:rsidRPr="000463A1">
        <w:t xml:space="preserve">wenn der Körper sich nicht </w:t>
      </w:r>
      <w:r w:rsidR="00B14051" w:rsidRPr="000463A1">
        <w:t>darin</w:t>
      </w:r>
      <w:r w:rsidRPr="000463A1">
        <w:t xml:space="preserve"> befindet. Ein Raum ist eine eigene Einheit</w:t>
      </w:r>
      <w:r w:rsidR="00FF5617" w:rsidRPr="000463A1">
        <w:t xml:space="preserve"> </w:t>
      </w:r>
      <w:r w:rsidRPr="000463A1">
        <w:t xml:space="preserve">und existiert kontinuierlich. </w:t>
      </w:r>
    </w:p>
    <w:p w14:paraId="473C1699" w14:textId="77777777" w:rsidR="00A57E7F" w:rsidRPr="000463A1" w:rsidRDefault="00A57E7F" w:rsidP="00526B04">
      <w:pPr>
        <w:pStyle w:val="Textkrper"/>
        <w:numPr>
          <w:ilvl w:val="0"/>
          <w:numId w:val="43"/>
        </w:numPr>
      </w:pPr>
      <w:r w:rsidRPr="000463A1">
        <w:t>In einem solchen Raum sind die Positionen von Objekten und deren Relation zueinander für die Orientierung relevant. Dies wird als Lagerelation bezeichnet.</w:t>
      </w:r>
    </w:p>
    <w:p w14:paraId="7BC3C9E2" w14:textId="10011137" w:rsidR="00A57E7F" w:rsidRPr="000463A1" w:rsidRDefault="00A57E7F" w:rsidP="002E7429">
      <w:pPr>
        <w:pStyle w:val="Textkrper"/>
        <w:numPr>
          <w:ilvl w:val="0"/>
          <w:numId w:val="43"/>
        </w:numPr>
      </w:pPr>
      <w:r w:rsidRPr="000463A1">
        <w:t xml:space="preserve">Ein weiteres Merkmal </w:t>
      </w:r>
      <w:r w:rsidR="004D394F" w:rsidRPr="000463A1">
        <w:t>bilden</w:t>
      </w:r>
      <w:r w:rsidRPr="000463A1">
        <w:t xml:space="preserve"> räumliche Begrenzungen.</w:t>
      </w:r>
    </w:p>
    <w:p w14:paraId="594A4DB6" w14:textId="051024DF" w:rsidR="003C7DC6" w:rsidRPr="000463A1" w:rsidRDefault="00D542E4" w:rsidP="00B82DF6">
      <w:pPr>
        <w:pStyle w:val="Textkrper"/>
        <w:ind w:firstLine="0"/>
      </w:pPr>
      <w:r w:rsidRPr="000463A1">
        <w:t>Eine solche</w:t>
      </w:r>
      <w:r w:rsidR="00A57E7F" w:rsidRPr="000463A1">
        <w:t xml:space="preserve"> Raumvorstellung</w:t>
      </w:r>
      <w:r w:rsidR="00AA06AD" w:rsidRPr="000463A1">
        <w:t xml:space="preserve"> </w:t>
      </w:r>
      <w:r w:rsidRPr="000463A1">
        <w:t>wird</w:t>
      </w:r>
      <w:r w:rsidR="00AA06AD" w:rsidRPr="000463A1">
        <w:t xml:space="preserve"> i</w:t>
      </w:r>
      <w:r w:rsidR="00A57E7F" w:rsidRPr="000463A1">
        <w:t>n der Fachliteratur als absolut, territorial oder physisch bezeichnet (</w:t>
      </w:r>
      <w:r w:rsidR="00A40921" w:rsidRPr="000463A1">
        <w:t>Löw, 2015</w:t>
      </w:r>
      <w:r w:rsidR="004F6196" w:rsidRPr="000463A1">
        <w:t>).</w:t>
      </w:r>
      <w:r w:rsidR="00A57E7F" w:rsidRPr="000463A1">
        <w:t xml:space="preserve"> Eine andere Perspektive eröffnet sich mit dem sogenannten relativistischen Raumverständnis. Im Unterschied zu einem absoluten Raumbegriff konstituiert sich </w:t>
      </w:r>
      <w:r w:rsidR="00520174" w:rsidRPr="000463A1">
        <w:t xml:space="preserve">ein </w:t>
      </w:r>
      <w:r w:rsidR="00A57E7F" w:rsidRPr="000463A1">
        <w:t xml:space="preserve">relativistisch verstandener Raum als Produkt einer spezifischen Anordnung </w:t>
      </w:r>
      <w:r w:rsidR="00A57E7F" w:rsidRPr="000463A1">
        <w:lastRenderedPageBreak/>
        <w:t xml:space="preserve">von Objekten oder Individuen, die in einem Zusammenhang </w:t>
      </w:r>
      <w:r w:rsidR="002A5109" w:rsidRPr="000463A1">
        <w:t>zueinanderstehen</w:t>
      </w:r>
      <w:r w:rsidR="00A57E7F" w:rsidRPr="000463A1">
        <w:t xml:space="preserve"> </w:t>
      </w:r>
      <w:r w:rsidR="00A57E7F" w:rsidRPr="000463A1">
        <w:rPr>
          <w:bCs/>
          <w:iCs/>
        </w:rPr>
        <w:t>(Löw, 2015)</w:t>
      </w:r>
      <w:r w:rsidR="00A57E7F" w:rsidRPr="000463A1">
        <w:t xml:space="preserve">. Dies gilt zum Beispiel für die Relativität von Zeit und Lebensabschnitten (wie </w:t>
      </w:r>
      <w:r w:rsidR="002E5B5C" w:rsidRPr="000463A1">
        <w:t xml:space="preserve">die </w:t>
      </w:r>
      <w:r w:rsidR="002E5B5C" w:rsidRPr="000463A1">
        <w:rPr>
          <w:i/>
          <w:iCs/>
        </w:rPr>
        <w:t>Zeit-Räume</w:t>
      </w:r>
      <w:r w:rsidR="002E5B5C" w:rsidRPr="000463A1">
        <w:t xml:space="preserve"> </w:t>
      </w:r>
      <w:r w:rsidR="00A57E7F" w:rsidRPr="000463A1">
        <w:t xml:space="preserve">Kindheit, Berufsleben oder Alter) oder für die Relation von sozialen Schichtungen in einer Gesellschaft (Löw, 2015). Eine Mittelschicht kann </w:t>
      </w:r>
      <w:r w:rsidR="00460EA2">
        <w:t xml:space="preserve">beispielsweise </w:t>
      </w:r>
      <w:r w:rsidR="00A57E7F" w:rsidRPr="000463A1">
        <w:t>nur als solche erfasst werden, wenn sie in Relation zu einer Ober- und/oder Unterschicht gesetzt wird, ander</w:t>
      </w:r>
      <w:r w:rsidR="00CB316A">
        <w:t>e</w:t>
      </w:r>
      <w:r w:rsidR="00A57E7F" w:rsidRPr="000463A1">
        <w:t xml:space="preserve">nfalls gäbe es keine Mittelschicht. Raum ist </w:t>
      </w:r>
      <w:r w:rsidR="00C834CF">
        <w:t>mit</w:t>
      </w:r>
      <w:r w:rsidR="00A57E7F" w:rsidRPr="000463A1">
        <w:t xml:space="preserve"> einer solchen Perspektive nicht territorial zu verstehen, besitzt keine Begrenzungen</w:t>
      </w:r>
      <w:r w:rsidR="00C47A18" w:rsidRPr="000463A1">
        <w:t xml:space="preserve"> und </w:t>
      </w:r>
      <w:r w:rsidR="00A57E7F" w:rsidRPr="000463A1">
        <w:t xml:space="preserve">wandelt sich mit den ihn konstituierenden Elementen (ebd.). </w:t>
      </w:r>
    </w:p>
    <w:p w14:paraId="447FE992" w14:textId="3504F307" w:rsidR="00A57E7F" w:rsidRPr="000463A1" w:rsidRDefault="00965832" w:rsidP="003C7DC6">
      <w:pPr>
        <w:pStyle w:val="Textkrper"/>
      </w:pPr>
      <w:r w:rsidRPr="00E228F6">
        <w:rPr>
          <w:rFonts w:ascii="Open Sans SemiCondensed SemiCon" w:hAnsi="Open Sans SemiCondensed SemiCon"/>
          <w:noProof/>
        </w:rPr>
        <mc:AlternateContent>
          <mc:Choice Requires="wps">
            <w:drawing>
              <wp:anchor distT="45720" distB="45720" distL="46990" distR="46990" simplePos="0" relativeHeight="251663360" behindDoc="0" locked="0" layoutInCell="1" allowOverlap="0" wp14:anchorId="37845BBC" wp14:editId="5247994B">
                <wp:simplePos x="0" y="0"/>
                <wp:positionH relativeFrom="page">
                  <wp:posOffset>0</wp:posOffset>
                </wp:positionH>
                <wp:positionV relativeFrom="paragraph">
                  <wp:posOffset>2659870</wp:posOffset>
                </wp:positionV>
                <wp:extent cx="5615305" cy="525145"/>
                <wp:effectExtent l="0" t="0" r="0" b="0"/>
                <wp:wrapTopAndBottom/>
                <wp:docPr id="846213253" name="Textfeld 846213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525145"/>
                        </a:xfrm>
                        <a:prstGeom prst="rect">
                          <a:avLst/>
                        </a:prstGeom>
                        <a:noFill/>
                        <a:ln w="9525">
                          <a:noFill/>
                          <a:miter lim="800000"/>
                          <a:headEnd/>
                          <a:tailEnd/>
                        </a:ln>
                      </wps:spPr>
                      <wps:txbx>
                        <w:txbxContent>
                          <w:p w14:paraId="21E36B9C" w14:textId="77777777" w:rsidR="00627DFC" w:rsidRDefault="004504C2" w:rsidP="00E228F6">
                            <w:pPr>
                              <w:pStyle w:val="Hervorhebung1"/>
                              <w:rPr>
                                <w:lang w:val="de-DE"/>
                              </w:rPr>
                            </w:pPr>
                            <w:r w:rsidRPr="004504C2">
                              <w:rPr>
                                <w:lang w:val="de-DE"/>
                              </w:rPr>
                              <w:t xml:space="preserve">Was in digitalen Räumen möglich ist, hängt von der Zielsetzung und </w:t>
                            </w:r>
                          </w:p>
                          <w:p w14:paraId="621C3775" w14:textId="1D71839B" w:rsidR="00E228F6" w:rsidRPr="004B0AE6" w:rsidRDefault="004504C2" w:rsidP="00E228F6">
                            <w:pPr>
                              <w:pStyle w:val="Hervorhebung1"/>
                            </w:pPr>
                            <w:r w:rsidRPr="004504C2">
                              <w:rPr>
                                <w:lang w:val="de-DE"/>
                              </w:rPr>
                              <w:t>der Vorstellungskraft der Entwickler:innen ab.</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45BBC" id="_x0000_t202" coordsize="21600,21600" o:spt="202" path="m,l,21600r21600,l21600,xe">
                <v:stroke joinstyle="miter"/>
                <v:path gradientshapeok="t" o:connecttype="rect"/>
              </v:shapetype>
              <v:shape id="Textfeld 846213253" o:spid="_x0000_s1026" type="#_x0000_t202" alt="&quot;&quot;" style="position:absolute;left:0;text-align:left;margin-left:0;margin-top:209.45pt;width:442.15pt;height:41.35pt;z-index:25166336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" o:allowoverlap="f" filled="f" stroked="f">
                <v:textbox inset="29mm,,2.5mm">
                  <w:txbxContent>
                    <w:p w14:paraId="21E36B9C" w14:textId="77777777" w:rsidR="00627DFC" w:rsidRDefault="004504C2" w:rsidP="00E228F6">
                      <w:pPr>
                        <w:pStyle w:val="Hervorhebung1"/>
                        <w:rPr>
                          <w:lang w:val="de-DE"/>
                        </w:rPr>
                      </w:pPr>
                      <w:r w:rsidRPr="004504C2">
                        <w:rPr>
                          <w:lang w:val="de-DE"/>
                        </w:rPr>
                        <w:t xml:space="preserve">Was in digitalen Räumen möglich ist, hängt von der Zielsetzung und </w:t>
                      </w:r>
                    </w:p>
                    <w:p w14:paraId="621C3775" w14:textId="1D71839B" w:rsidR="00E228F6" w:rsidRPr="004B0AE6" w:rsidRDefault="004504C2" w:rsidP="00E228F6">
                      <w:pPr>
                        <w:pStyle w:val="Hervorhebung1"/>
                      </w:pPr>
                      <w:r w:rsidRPr="004504C2">
                        <w:rPr>
                          <w:lang w:val="de-DE"/>
                        </w:rPr>
                        <w:t>der Vorstellungskraft der Entwickler:innen ab.</w:t>
                      </w:r>
                    </w:p>
                  </w:txbxContent>
                </v:textbox>
                <w10:wrap type="topAndBottom" anchorx="page"/>
              </v:shape>
            </w:pict>
          </mc:Fallback>
        </mc:AlternateContent>
      </w:r>
      <w:r w:rsidR="00A57E7F" w:rsidRPr="000463A1">
        <w:t xml:space="preserve">Wie lässt sich </w:t>
      </w:r>
      <w:r w:rsidR="0086450E">
        <w:t xml:space="preserve">nun </w:t>
      </w:r>
      <w:r w:rsidR="00A57E7F" w:rsidRPr="000463A1">
        <w:t xml:space="preserve">ein digitaler (Lern-)Raum mittels dieser beiden theoretischen Perspektiven charakterisieren? </w:t>
      </w:r>
      <w:r w:rsidR="00245FBA">
        <w:t xml:space="preserve">Sprechen wir </w:t>
      </w:r>
      <w:r w:rsidR="00A57E7F" w:rsidRPr="000463A1">
        <w:t xml:space="preserve">von digitalen Lernräumen, </w:t>
      </w:r>
      <w:r w:rsidR="00245FBA">
        <w:t xml:space="preserve">sind </w:t>
      </w:r>
      <w:r w:rsidR="00A57E7F" w:rsidRPr="000463A1">
        <w:t xml:space="preserve">diese oft mit Attributen realer Räume versehen. Man spricht in Metaphern, die das Bild von physikalisch geprägten Räumen wachrufen. Dadurch </w:t>
      </w:r>
      <w:r w:rsidR="00000754">
        <w:t>verstehen wir</w:t>
      </w:r>
      <w:r w:rsidR="00A57E7F" w:rsidRPr="000463A1">
        <w:t xml:space="preserve"> digitale Lernräume in der Vorstellung als </w:t>
      </w:r>
      <w:r w:rsidR="00A57E7F" w:rsidRPr="000463A1">
        <w:rPr>
          <w:i/>
        </w:rPr>
        <w:t>Container</w:t>
      </w:r>
      <w:r w:rsidR="00A57E7F" w:rsidRPr="000463A1">
        <w:t xml:space="preserve"> (Löw, 2015) und vom Inhalt unabhängig. </w:t>
      </w:r>
      <w:r w:rsidR="00A21DB8">
        <w:t>Die Lernräume</w:t>
      </w:r>
      <w:r w:rsidR="00A57E7F" w:rsidRPr="000463A1">
        <w:t xml:space="preserve"> werden mit Objekten </w:t>
      </w:r>
      <w:r w:rsidR="00A57E7F" w:rsidRPr="000463A1">
        <w:rPr>
          <w:i/>
        </w:rPr>
        <w:t>eingerichtet</w:t>
      </w:r>
      <w:r w:rsidR="00A57E7F" w:rsidRPr="000463A1">
        <w:t xml:space="preserve"> und mit Material versehen, sie werden auf bestimmte Zwecke </w:t>
      </w:r>
      <w:r w:rsidR="00A57E7F" w:rsidRPr="000463A1">
        <w:rPr>
          <w:iCs/>
        </w:rPr>
        <w:t>zugeschnitten</w:t>
      </w:r>
      <w:r w:rsidR="00053291" w:rsidRPr="000463A1">
        <w:rPr>
          <w:iCs/>
        </w:rPr>
        <w:t xml:space="preserve"> und </w:t>
      </w:r>
      <w:r w:rsidR="00053291" w:rsidRPr="000463A1">
        <w:t>mit didaktischen Zielsetzungen und Tätigkeiten verbunden</w:t>
      </w:r>
      <w:r w:rsidR="00A57E7F" w:rsidRPr="000463A1">
        <w:rPr>
          <w:iCs/>
        </w:rPr>
        <w:t>.</w:t>
      </w:r>
      <w:r w:rsidR="00A57E7F" w:rsidRPr="000463A1">
        <w:t xml:space="preserve"> Lernobjekte werden vorbereitet und </w:t>
      </w:r>
      <w:r w:rsidR="00A57E7F" w:rsidRPr="000463A1">
        <w:rPr>
          <w:i/>
          <w:iCs/>
        </w:rPr>
        <w:t>platziert</w:t>
      </w:r>
      <w:r w:rsidR="00053291" w:rsidRPr="000463A1">
        <w:t xml:space="preserve">. </w:t>
      </w:r>
      <w:r w:rsidR="00A57E7F" w:rsidRPr="000463A1">
        <w:t xml:space="preserve">Weiter ist damit assoziiert, dass Schüler:innen </w:t>
      </w:r>
      <w:r w:rsidR="00A57E7F" w:rsidRPr="000463A1">
        <w:rPr>
          <w:i/>
        </w:rPr>
        <w:t>eintreten</w:t>
      </w:r>
      <w:r w:rsidR="00A57E7F" w:rsidRPr="000463A1">
        <w:t xml:space="preserve">, den so vorbereiteten Raum mit dem ihm zugedachten Zweck nutzen, Produkte hinterlassen, die auf Lernen verweisen und den Raum letztlich wieder </w:t>
      </w:r>
      <w:r w:rsidR="00A57E7F" w:rsidRPr="000463A1">
        <w:rPr>
          <w:i/>
        </w:rPr>
        <w:t>verlassen</w:t>
      </w:r>
      <w:r w:rsidR="00A57E7F" w:rsidRPr="000463A1">
        <w:t xml:space="preserve">. Eine solche </w:t>
      </w:r>
      <w:r w:rsidR="00DC5413">
        <w:t>physi</w:t>
      </w:r>
      <w:r w:rsidR="00296EE7">
        <w:t xml:space="preserve">kalische </w:t>
      </w:r>
      <w:r w:rsidR="00A57E7F" w:rsidRPr="000463A1">
        <w:t xml:space="preserve">Raumvorstellung greift für digitale Lernräume aber zu kurz. Beispielsweise </w:t>
      </w:r>
      <w:r w:rsidR="00EF7D74">
        <w:t>tritt</w:t>
      </w:r>
      <w:r w:rsidR="00A57E7F" w:rsidRPr="000463A1">
        <w:t xml:space="preserve"> ein Körper nicht tatsächlich </w:t>
      </w:r>
      <w:r w:rsidR="00F428D7" w:rsidRPr="000463A1">
        <w:rPr>
          <w:i/>
          <w:iCs/>
        </w:rPr>
        <w:t>i</w:t>
      </w:r>
      <w:r w:rsidR="00A57E7F" w:rsidRPr="000463A1">
        <w:rPr>
          <w:i/>
          <w:iCs/>
        </w:rPr>
        <w:t xml:space="preserve">n </w:t>
      </w:r>
      <w:r w:rsidR="00A57E7F" w:rsidRPr="000463A1">
        <w:t xml:space="preserve">den digitalen Lernraum </w:t>
      </w:r>
      <w:r w:rsidR="00EF7D74">
        <w:t>ein</w:t>
      </w:r>
      <w:r w:rsidR="00A57E7F" w:rsidRPr="000463A1">
        <w:t xml:space="preserve">, sondern es erscheint ein visualisierter Stellvertreter (als Cursor-Pfeil oder als Avatar). </w:t>
      </w:r>
      <w:r w:rsidR="00120E01">
        <w:t xml:space="preserve">Die </w:t>
      </w:r>
      <w:r w:rsidR="001947CF">
        <w:t>Schüler:innen</w:t>
      </w:r>
      <w:r w:rsidR="00A57E7F" w:rsidRPr="000463A1">
        <w:t xml:space="preserve"> greif</w:t>
      </w:r>
      <w:r w:rsidR="00F83849">
        <w:t>en</w:t>
      </w:r>
      <w:r w:rsidR="00A57E7F" w:rsidRPr="000463A1">
        <w:t xml:space="preserve"> via ein entsprechendes Bedienelement auf eine Nutzeroberfläche eines Programms zu und interagier</w:t>
      </w:r>
      <w:r w:rsidR="001947CF">
        <w:t>en</w:t>
      </w:r>
      <w:r w:rsidR="00A57E7F" w:rsidRPr="000463A1">
        <w:t xml:space="preserve"> mit dieser. Das Programm, das die Lernumgebung erzeugt, ist in Form von Bits und Bytes auf einem Server gespeichert, der selbst wiederum zwar physisch existiert, aber nicht in der Nähe der Nutzenden sein muss.</w:t>
      </w:r>
    </w:p>
    <w:p w14:paraId="7A306BDD" w14:textId="04686C07" w:rsidR="00A57E7F" w:rsidRPr="000463A1" w:rsidRDefault="00A57E7F" w:rsidP="00965832">
      <w:pPr>
        <w:pStyle w:val="Textkrper"/>
        <w:ind w:firstLine="0"/>
      </w:pPr>
      <w:r w:rsidRPr="000463A1">
        <w:t xml:space="preserve">Digitale Räume werden durch Algorithmen bestimmt. Manche Merkmale von real existierenden Räumen können auf diese Weise zwar künstlich hergestellt werden </w:t>
      </w:r>
      <w:r w:rsidRPr="000463A1">
        <w:rPr>
          <w:bCs/>
          <w:iCs/>
        </w:rPr>
        <w:t>(Döbeli Honegger, 2022)</w:t>
      </w:r>
      <w:r w:rsidRPr="000463A1">
        <w:t xml:space="preserve">, sind aber nicht </w:t>
      </w:r>
      <w:r w:rsidR="00F428D7" w:rsidRPr="000463A1">
        <w:t>den</w:t>
      </w:r>
      <w:r w:rsidR="00607097">
        <w:t>selben</w:t>
      </w:r>
      <w:r w:rsidR="00F428D7" w:rsidRPr="000463A1">
        <w:t xml:space="preserve"> Gesetzen</w:t>
      </w:r>
      <w:r w:rsidRPr="000463A1">
        <w:t xml:space="preserve"> unterworfen. Exemplarisch illustrieren Löw und Weidenhaus </w:t>
      </w:r>
      <w:r w:rsidRPr="000463A1">
        <w:rPr>
          <w:bCs/>
          <w:iCs/>
        </w:rPr>
        <w:t>(2018, S.</w:t>
      </w:r>
      <w:r w:rsidR="009859A6">
        <w:rPr>
          <w:bCs/>
          <w:iCs/>
        </w:rPr>
        <w:t> </w:t>
      </w:r>
      <w:r w:rsidRPr="000463A1">
        <w:rPr>
          <w:bCs/>
          <w:iCs/>
        </w:rPr>
        <w:t>210)</w:t>
      </w:r>
      <w:r w:rsidRPr="000463A1">
        <w:t xml:space="preserve"> dies wie folgt:</w:t>
      </w:r>
    </w:p>
    <w:p w14:paraId="2631C32E" w14:textId="0F4F9C78" w:rsidR="00A57E7F" w:rsidRPr="000463A1" w:rsidRDefault="00A57E7F" w:rsidP="008F04B5">
      <w:pPr>
        <w:pStyle w:val="Zitat1"/>
        <w:rPr>
          <w:rFonts w:cs="Open Sans SemiCondensed"/>
        </w:rPr>
      </w:pPr>
      <w:r w:rsidRPr="000463A1">
        <w:rPr>
          <w:rFonts w:cs="Open Sans SemiCondensed"/>
        </w:rPr>
        <w:t>Ein Chatroom beispielsweise ist Nutzeroberfläche eines Kommunikationsprogramms. Zunächst ist irrelevant, wo sich dieser befindet (der physische Ort des Servers, auf dem das Programm läuft). Entscheidender aber ist, dass die Lagerelationen der Kommunikationspartner keinerlei Bedeutung haben</w:t>
      </w:r>
      <w:r w:rsidR="008F04B5" w:rsidRPr="000463A1">
        <w:rPr>
          <w:rFonts w:cs="Open Sans SemiCondensed"/>
        </w:rPr>
        <w:t>.</w:t>
      </w:r>
    </w:p>
    <w:p w14:paraId="6BF6EA4F" w14:textId="054D66E3" w:rsidR="003C7DC6" w:rsidRPr="000463A1" w:rsidRDefault="00A57E7F" w:rsidP="003C7DC6">
      <w:pPr>
        <w:pStyle w:val="Textkrper"/>
        <w:ind w:firstLine="0"/>
      </w:pPr>
      <w:r w:rsidRPr="000463A1">
        <w:t>Es spielt also keine Rolle, von</w:t>
      </w:r>
      <w:r w:rsidR="00FE6D09">
        <w:t xml:space="preserve"> wo sich jemand</w:t>
      </w:r>
      <w:r w:rsidRPr="000463A1">
        <w:t xml:space="preserve"> in den Chatroom respektive einen digitalen Lernraum der Schule einloggt. Ebenso </w:t>
      </w:r>
      <w:r w:rsidR="00BE776D">
        <w:t>ist es irrelevant</w:t>
      </w:r>
      <w:r w:rsidRPr="000463A1">
        <w:t>, welche räumliche Position die Chat</w:t>
      </w:r>
      <w:r w:rsidR="00954D18">
        <w:t>-T</w:t>
      </w:r>
      <w:r w:rsidRPr="000463A1">
        <w:t xml:space="preserve">eilnehmer:innen einnehmen. In einem real existierenden Raum ist diese Lagerelation der </w:t>
      </w:r>
      <w:r w:rsidR="007C0D2A" w:rsidRPr="000463A1">
        <w:t>Personen</w:t>
      </w:r>
      <w:r w:rsidRPr="000463A1">
        <w:t xml:space="preserve"> aber bedeutungsvoll: An einem Fangspiel im Klassenzimmer beispielsweise kann </w:t>
      </w:r>
      <w:r w:rsidR="002A0369">
        <w:t xml:space="preserve">sich </w:t>
      </w:r>
      <w:r w:rsidRPr="000463A1">
        <w:t>nur</w:t>
      </w:r>
      <w:r w:rsidR="002A0369">
        <w:t xml:space="preserve"> beteiligen</w:t>
      </w:r>
      <w:r w:rsidRPr="000463A1">
        <w:t>, we</w:t>
      </w:r>
      <w:r w:rsidR="002A0369">
        <w:t xml:space="preserve">r </w:t>
      </w:r>
      <w:r w:rsidRPr="000463A1">
        <w:t xml:space="preserve">sich selbst auch dort befindet. Die räumlichen Positionen respektive die Lageverhältnisse der Mitspielenden zueinander bleiben während des gesamten Spielverlaufs sehr zentral. Games oder andere Echtzeit-Simulationen </w:t>
      </w:r>
      <w:r w:rsidR="00B07E64">
        <w:t xml:space="preserve">nutzen </w:t>
      </w:r>
      <w:r w:rsidRPr="000463A1">
        <w:t xml:space="preserve">die künstliche Erzeugung von Lagerelationen dazu, das Spielerlebnis zu intensivieren. Auf diese Weise kann ein Spielcharakter durch die Game-Landschaft und in Relation zu anderen Figuren navigiert und die Illusion erzeugt werden, sich selbst </w:t>
      </w:r>
      <w:r w:rsidRPr="000463A1">
        <w:rPr>
          <w:i/>
          <w:iCs/>
        </w:rPr>
        <w:t xml:space="preserve">durch </w:t>
      </w:r>
      <w:r w:rsidRPr="000463A1">
        <w:t xml:space="preserve">diesen Raum zu bewegen. </w:t>
      </w:r>
      <w:r w:rsidR="0075454E" w:rsidRPr="000463A1">
        <w:t>Letztlich</w:t>
      </w:r>
      <w:r w:rsidRPr="000463A1">
        <w:t xml:space="preserve"> wird diesem </w:t>
      </w:r>
      <w:r w:rsidR="002B6D0D" w:rsidRPr="000463A1">
        <w:t>Raum</w:t>
      </w:r>
      <w:r w:rsidRPr="000463A1">
        <w:t xml:space="preserve"> </w:t>
      </w:r>
      <w:r w:rsidR="00B730AA">
        <w:t xml:space="preserve">aber </w:t>
      </w:r>
      <w:r w:rsidRPr="000463A1">
        <w:t xml:space="preserve">nur in unserer Vorstellung ein physikalischer Charakter zugeschrieben. </w:t>
      </w:r>
    </w:p>
    <w:p w14:paraId="7042B3FD" w14:textId="2282AA9B" w:rsidR="00EE4674" w:rsidRPr="000463A1" w:rsidRDefault="00A57E7F" w:rsidP="003C7DC6">
      <w:pPr>
        <w:pStyle w:val="Textkrper"/>
      </w:pPr>
      <w:r w:rsidRPr="000463A1">
        <w:t xml:space="preserve">Was in digitalen Räumen möglich ist, hängt von der Zielsetzung und der Vorstellungskraft der Entwickler:innen ab. </w:t>
      </w:r>
      <w:r w:rsidR="007655AD">
        <w:t>Zur Beschreibung dieser Räume</w:t>
      </w:r>
      <w:r w:rsidR="007655AD" w:rsidRPr="007655AD">
        <w:t xml:space="preserve"> </w:t>
      </w:r>
      <w:r w:rsidR="007655AD" w:rsidRPr="000463A1">
        <w:t>erweist sich ein relativistische</w:t>
      </w:r>
      <w:r w:rsidR="007655AD">
        <w:t>s</w:t>
      </w:r>
      <w:r w:rsidR="007655AD" w:rsidRPr="000463A1">
        <w:t xml:space="preserve"> Raum</w:t>
      </w:r>
      <w:r w:rsidR="007655AD">
        <w:t>verständnis</w:t>
      </w:r>
      <w:r w:rsidR="007655AD" w:rsidRPr="000463A1">
        <w:t xml:space="preserve"> als hilfreich</w:t>
      </w:r>
      <w:r w:rsidR="004D0CA1">
        <w:t>er</w:t>
      </w:r>
      <w:r w:rsidR="007655AD">
        <w:t xml:space="preserve">, </w:t>
      </w:r>
      <w:r w:rsidRPr="000463A1">
        <w:t>da die Konstruktion dieser Umgebungen auch in Wechselwirkung mit sozialen Routinen, Haltungen und Annahmen zu Lernprozessen der Entwickler:innen steht (</w:t>
      </w:r>
      <w:r w:rsidR="0076415A" w:rsidRPr="000463A1">
        <w:t>Löw &amp; Weidenhaus, 2018</w:t>
      </w:r>
      <w:r w:rsidRPr="000463A1">
        <w:t>).</w:t>
      </w:r>
      <w:r w:rsidR="00B7277B">
        <w:t xml:space="preserve"> </w:t>
      </w:r>
      <w:r w:rsidR="00E4194E">
        <w:t>So gesehen</w:t>
      </w:r>
      <w:r w:rsidR="005F6D83">
        <w:t xml:space="preserve"> </w:t>
      </w:r>
      <w:r w:rsidR="000F089D">
        <w:t>en</w:t>
      </w:r>
      <w:r w:rsidR="00A61BD0">
        <w:t>t</w:t>
      </w:r>
      <w:r w:rsidR="000F089D">
        <w:t xml:space="preserve">steht </w:t>
      </w:r>
      <w:r w:rsidR="0019628E">
        <w:t xml:space="preserve">ein relativistischer </w:t>
      </w:r>
      <w:r w:rsidRPr="000463A1">
        <w:t>Raum erst durch bestimmte Verhältnisse</w:t>
      </w:r>
      <w:r w:rsidR="00797737">
        <w:t>. E</w:t>
      </w:r>
      <w:r w:rsidR="00123870">
        <w:t xml:space="preserve">r </w:t>
      </w:r>
      <w:r w:rsidR="00A61BD0">
        <w:t xml:space="preserve">wird </w:t>
      </w:r>
      <w:r w:rsidRPr="000463A1">
        <w:t xml:space="preserve">dadurch strukturiert und </w:t>
      </w:r>
      <w:r w:rsidR="00123870">
        <w:t xml:space="preserve">wirkt </w:t>
      </w:r>
      <w:r w:rsidR="006568E2">
        <w:t xml:space="preserve">gleichzeitig </w:t>
      </w:r>
      <w:r w:rsidRPr="000463A1">
        <w:t>strukturierend auf die damit konfrontierten Individuen.</w:t>
      </w:r>
      <w:r w:rsidR="000D0C4F" w:rsidRPr="000463A1">
        <w:t xml:space="preserve"> </w:t>
      </w:r>
      <w:r w:rsidRPr="000463A1">
        <w:t>So lässt sich erklären, warum die dem digitalen Raum zugrunde</w:t>
      </w:r>
      <w:r w:rsidR="00E64998">
        <w:t xml:space="preserve"> </w:t>
      </w:r>
      <w:r w:rsidRPr="000463A1">
        <w:t xml:space="preserve">liegenden Normvorstellungen in Relation zu den </w:t>
      </w:r>
      <w:r w:rsidRPr="000463A1">
        <w:lastRenderedPageBreak/>
        <w:t xml:space="preserve">Entwickler:innen zu sehen sind und sich im Weiteren auf die Nutzenden (Lehrpersonen wie auch Schüler:innen) auswirken können. </w:t>
      </w:r>
      <w:r w:rsidR="00891FA3" w:rsidRPr="00A57E7F">
        <w:rPr>
          <w:lang w:val="de"/>
        </w:rPr>
        <w:t>Wie und womit durch digitale Lernräume gelernt werden kann, wird dadurch mitbestimmt, zu welchem Zweck</w:t>
      </w:r>
      <w:r w:rsidR="00891FA3">
        <w:rPr>
          <w:lang w:val="de"/>
        </w:rPr>
        <w:t xml:space="preserve"> </w:t>
      </w:r>
      <w:r w:rsidR="00891FA3" w:rsidRPr="00A57E7F">
        <w:rPr>
          <w:lang w:val="de"/>
        </w:rPr>
        <w:t xml:space="preserve">sie </w:t>
      </w:r>
      <w:r w:rsidR="00891FA3">
        <w:rPr>
          <w:lang w:val="de"/>
        </w:rPr>
        <w:t>aus Sicht der Entwickler:innen</w:t>
      </w:r>
      <w:r w:rsidR="00891FA3" w:rsidRPr="00A57E7F">
        <w:rPr>
          <w:lang w:val="de"/>
        </w:rPr>
        <w:t xml:space="preserve"> programmiert worden sind. </w:t>
      </w:r>
      <w:r w:rsidRPr="000463A1">
        <w:t>Das schliesst ein, wie offen oder eingeschränkt digitale Lernräume programmiert wurden. Und schliesslich kann und sollte der Blick darauf gerichtet werden, wie die Nutzenden mit dem entsprechenden digitalen Lernraum umgehen. Im Folgenden wird mittels des Begriffs der Teilhabe versucht, diesen Blick auf die Nutzenden einzunehmen.</w:t>
      </w:r>
    </w:p>
    <w:p w14:paraId="2DECCF66" w14:textId="47252388" w:rsidR="005E0C51" w:rsidRPr="000463A1" w:rsidRDefault="005E0C51" w:rsidP="005E0C51">
      <w:pPr>
        <w:pStyle w:val="berschrift1"/>
      </w:pPr>
      <w:r w:rsidRPr="000463A1">
        <w:t xml:space="preserve">Digitaler Lernraum </w:t>
      </w:r>
      <w:r w:rsidR="00E80B91">
        <w:t xml:space="preserve">kann </w:t>
      </w:r>
      <w:r w:rsidRPr="000463A1">
        <w:t>Teilhabe und Ausschluss</w:t>
      </w:r>
      <w:r w:rsidR="00E80B91">
        <w:t xml:space="preserve"> gleichzeitig hervorbringen</w:t>
      </w:r>
    </w:p>
    <w:p w14:paraId="629B86A1" w14:textId="19F7AD37" w:rsidR="007445B1" w:rsidRPr="00C577AB" w:rsidRDefault="00B67E52" w:rsidP="00E059A5">
      <w:pPr>
        <w:jc w:val="both"/>
        <w:rPr>
          <w:strike/>
        </w:rPr>
      </w:pPr>
      <w:r w:rsidRPr="00B67E52">
        <w:rPr>
          <w:rFonts w:ascii="Open Sans SemiCondensed SemiCon" w:hAnsi="Open Sans SemiCondensed SemiCon"/>
          <w:noProof/>
        </w:rPr>
        <mc:AlternateContent>
          <mc:Choice Requires="wps">
            <w:drawing>
              <wp:anchor distT="45720" distB="45720" distL="46990" distR="46990" simplePos="0" relativeHeight="251659264" behindDoc="0" locked="0" layoutInCell="1" allowOverlap="0" wp14:anchorId="322E9DA0" wp14:editId="47351CEB">
                <wp:simplePos x="0" y="0"/>
                <wp:positionH relativeFrom="page">
                  <wp:align>left</wp:align>
                </wp:positionH>
                <wp:positionV relativeFrom="paragraph">
                  <wp:posOffset>1312545</wp:posOffset>
                </wp:positionV>
                <wp:extent cx="5615305" cy="525145"/>
                <wp:effectExtent l="0" t="0" r="0" b="0"/>
                <wp:wrapTopAndBottom/>
                <wp:docPr id="2059549867" name="Textfeld 20595498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525145"/>
                        </a:xfrm>
                        <a:prstGeom prst="rect">
                          <a:avLst/>
                        </a:prstGeom>
                        <a:noFill/>
                        <a:ln w="9525">
                          <a:noFill/>
                          <a:miter lim="800000"/>
                          <a:headEnd/>
                          <a:tailEnd/>
                        </a:ln>
                      </wps:spPr>
                      <wps:txbx>
                        <w:txbxContent>
                          <w:p w14:paraId="09CB2090" w14:textId="77777777" w:rsidR="003F5458" w:rsidRDefault="003B576A" w:rsidP="00B67E52">
                            <w:pPr>
                              <w:pStyle w:val="Hervorhebung1"/>
                              <w:rPr>
                                <w:lang w:val="de-DE"/>
                              </w:rPr>
                            </w:pPr>
                            <w:r>
                              <w:rPr>
                                <w:lang w:val="de-DE"/>
                              </w:rPr>
                              <w:t>S</w:t>
                            </w:r>
                            <w:r w:rsidRPr="003B576A">
                              <w:rPr>
                                <w:lang w:val="de-DE"/>
                              </w:rPr>
                              <w:t xml:space="preserve">chon bei der Wahl der passenden Geräte- und Softwareanbieter </w:t>
                            </w:r>
                            <w:r>
                              <w:rPr>
                                <w:lang w:val="de-DE"/>
                              </w:rPr>
                              <w:t xml:space="preserve">müssen </w:t>
                            </w:r>
                          </w:p>
                          <w:p w14:paraId="4B66C37D" w14:textId="66BC25C7" w:rsidR="00B67E52" w:rsidRPr="004B0AE6" w:rsidRDefault="003B576A" w:rsidP="00B67E52">
                            <w:pPr>
                              <w:pStyle w:val="Hervorhebung1"/>
                            </w:pPr>
                            <w:r w:rsidRPr="003B576A">
                              <w:rPr>
                                <w:lang w:val="de-DE"/>
                              </w:rPr>
                              <w:t>die Aspekte Teilhabe und Ausschluss mit</w:t>
                            </w:r>
                            <w:r>
                              <w:rPr>
                                <w:lang w:val="de-DE"/>
                              </w:rPr>
                              <w:t>gedacht werden.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E9DA0" id="Textfeld 2059549867" o:spid="_x0000_s1027" type="#_x0000_t202" alt="&quot;&quot;" style="position:absolute;left:0;text-align:left;margin-left:0;margin-top:103.35pt;width:442.15pt;height:41.35pt;z-index:251659264;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" o:allowoverlap="f" filled="f" stroked="f">
                <v:textbox inset="29mm,,2.5mm">
                  <w:txbxContent>
                    <w:p w14:paraId="09CB2090" w14:textId="77777777" w:rsidR="003F5458" w:rsidRDefault="003B576A" w:rsidP="00B67E52">
                      <w:pPr>
                        <w:pStyle w:val="Hervorhebung1"/>
                        <w:rPr>
                          <w:lang w:val="de-DE"/>
                        </w:rPr>
                      </w:pPr>
                      <w:r>
                        <w:rPr>
                          <w:lang w:val="de-DE"/>
                        </w:rPr>
                        <w:t>S</w:t>
                      </w:r>
                      <w:r w:rsidRPr="003B576A">
                        <w:rPr>
                          <w:lang w:val="de-DE"/>
                        </w:rPr>
                        <w:t xml:space="preserve">chon bei der Wahl der passenden Geräte- und Softwareanbieter </w:t>
                      </w:r>
                      <w:r>
                        <w:rPr>
                          <w:lang w:val="de-DE"/>
                        </w:rPr>
                        <w:t xml:space="preserve">müssen </w:t>
                      </w:r>
                    </w:p>
                    <w:p w14:paraId="4B66C37D" w14:textId="66BC25C7" w:rsidR="00B67E52" w:rsidRPr="004B0AE6" w:rsidRDefault="003B576A" w:rsidP="00B67E52">
                      <w:pPr>
                        <w:pStyle w:val="Hervorhebung1"/>
                      </w:pPr>
                      <w:r w:rsidRPr="003B576A">
                        <w:rPr>
                          <w:lang w:val="de-DE"/>
                        </w:rPr>
                        <w:t>die Aspekte Teilhabe und Ausschluss mit</w:t>
                      </w:r>
                      <w:r>
                        <w:rPr>
                          <w:lang w:val="de-DE"/>
                        </w:rPr>
                        <w:t>gedacht werden.</w:t>
                      </w:r>
                    </w:p>
                  </w:txbxContent>
                </v:textbox>
                <w10:wrap type="topAndBottom" anchorx="page"/>
              </v:shape>
            </w:pict>
          </mc:Fallback>
        </mc:AlternateContent>
      </w:r>
      <w:r w:rsidR="00386CD5" w:rsidRPr="000463A1">
        <w:t xml:space="preserve">Hummrich (2022) schlägt vor, </w:t>
      </w:r>
      <w:r w:rsidR="005E7EE0" w:rsidRPr="000463A1">
        <w:t xml:space="preserve">die </w:t>
      </w:r>
      <w:r w:rsidR="00386CD5" w:rsidRPr="000463A1">
        <w:t xml:space="preserve">Prozesse Teilhabe </w:t>
      </w:r>
      <w:r w:rsidR="005E7EE0" w:rsidRPr="000463A1">
        <w:t>und</w:t>
      </w:r>
      <w:r w:rsidR="00386CD5" w:rsidRPr="000463A1">
        <w:t xml:space="preserve"> Ausschluss</w:t>
      </w:r>
      <w:r w:rsidR="00EB2913">
        <w:rPr>
          <w:rStyle w:val="Funotenzeichen"/>
        </w:rPr>
        <w:footnoteReference w:id="2"/>
      </w:r>
      <w:r w:rsidR="00386CD5" w:rsidRPr="000463A1">
        <w:t xml:space="preserve"> gleichzeitig in den Blick zu nehmen, da in inklusiven Unterrichtssettings häufig ausschliessende Elemente eingesetzt werden. </w:t>
      </w:r>
      <w:r w:rsidR="00A03391" w:rsidRPr="000463A1">
        <w:t>Auch</w:t>
      </w:r>
      <w:r w:rsidR="00386CD5" w:rsidRPr="000463A1">
        <w:t xml:space="preserve"> </w:t>
      </w:r>
      <w:r w:rsidR="00386CD5" w:rsidRPr="000463A1">
        <w:rPr>
          <w:i/>
        </w:rPr>
        <w:t>digitaler Raum</w:t>
      </w:r>
      <w:r w:rsidR="00386CD5" w:rsidRPr="000463A1">
        <w:t xml:space="preserve"> animiert zu bestimmten Handhabungsweisen</w:t>
      </w:r>
      <w:r w:rsidR="00A40921" w:rsidRPr="000463A1">
        <w:t xml:space="preserve">, </w:t>
      </w:r>
      <w:r w:rsidR="00B36926">
        <w:t>die</w:t>
      </w:r>
      <w:r w:rsidR="00A40921" w:rsidRPr="000463A1">
        <w:t xml:space="preserve"> zu </w:t>
      </w:r>
      <w:r w:rsidR="00386CD5" w:rsidRPr="000463A1">
        <w:t xml:space="preserve">Teilhabe und gleichzeitig Ausschluss auf verschiedenen Ebenen </w:t>
      </w:r>
      <w:r w:rsidR="00486137" w:rsidRPr="000463A1">
        <w:t>führen k</w:t>
      </w:r>
      <w:r w:rsidR="00A1205C">
        <w:t>ö</w:t>
      </w:r>
      <w:r w:rsidR="00486137" w:rsidRPr="000463A1">
        <w:t>nn</w:t>
      </w:r>
      <w:r w:rsidR="00A1205C">
        <w:t>en</w:t>
      </w:r>
      <w:r w:rsidR="00386CD5" w:rsidRPr="000463A1">
        <w:t xml:space="preserve">. Als Beispiel: Um eine bestimmte Zielgruppe zu erreichen, </w:t>
      </w:r>
      <w:r w:rsidR="00FF4DED">
        <w:t>verwendet</w:t>
      </w:r>
      <w:r w:rsidR="00FF30DC">
        <w:t xml:space="preserve"> </w:t>
      </w:r>
      <w:r w:rsidR="00386CD5" w:rsidRPr="000463A1">
        <w:t xml:space="preserve">eine Website Leichte Sprache. Wird die Navigation </w:t>
      </w:r>
      <w:r w:rsidR="00BF2152" w:rsidRPr="000463A1">
        <w:t>der</w:t>
      </w:r>
      <w:r w:rsidR="00386CD5" w:rsidRPr="000463A1">
        <w:t xml:space="preserve"> Website aber durch viele zusätzliche Begriffserklärungen erschwert, führt dies womöglich zum Ausschluss ebendieser Zielgruppe</w:t>
      </w:r>
      <w:r w:rsidR="00D64415">
        <w:t>.</w:t>
      </w:r>
      <w:r w:rsidR="001C1F98" w:rsidRPr="000463A1">
        <w:rPr>
          <w:rStyle w:val="Funotenzeichen"/>
        </w:rPr>
        <w:footnoteReference w:id="3"/>
      </w:r>
      <w:r w:rsidR="00386CD5" w:rsidRPr="000463A1">
        <w:t xml:space="preserve"> </w:t>
      </w:r>
    </w:p>
    <w:p w14:paraId="672D4ED8" w14:textId="75517BA5" w:rsidR="00386CD5" w:rsidRPr="000463A1" w:rsidRDefault="00871E6B" w:rsidP="00B67E52">
      <w:pPr>
        <w:spacing w:before="60" w:after="60"/>
        <w:jc w:val="both"/>
      </w:pPr>
      <w:r>
        <w:t xml:space="preserve">Um darüber nachzudenken, wie Teilhabe in digitalen Lernräumen ermöglicht werden kann, </w:t>
      </w:r>
      <w:r w:rsidR="00386CD5" w:rsidRPr="000463A1">
        <w:t xml:space="preserve">ist nun hilfreich, die Ebene der Institution Schule, jene der Klasse sowie jene des Individuums mithilfe des </w:t>
      </w:r>
      <w:bookmarkStart w:id="0" w:name="_Hlk173161394"/>
      <w:r w:rsidR="00386CD5" w:rsidRPr="000463A1">
        <w:t xml:space="preserve">Teilhabe-Verständnisses nach </w:t>
      </w:r>
      <w:r w:rsidR="00386CD5" w:rsidRPr="000463A1">
        <w:rPr>
          <w:highlight w:val="white"/>
        </w:rPr>
        <w:t>von</w:t>
      </w:r>
      <w:r w:rsidR="00386CD5" w:rsidRPr="000463A1">
        <w:t xml:space="preserve"> Kardorff </w:t>
      </w:r>
      <w:bookmarkEnd w:id="0"/>
      <w:r w:rsidR="00160FAF" w:rsidRPr="000463A1">
        <w:fldChar w:fldCharType="begin"/>
      </w:r>
      <w:r w:rsidR="00160FAF" w:rsidRPr="000463A1">
        <w:instrText>HYPERLINK "https://www.zotero.org/google-docs/?jIoXLY" \h</w:instrText>
      </w:r>
      <w:r w:rsidR="00160FAF" w:rsidRPr="000463A1">
        <w:fldChar w:fldCharType="separate"/>
      </w:r>
      <w:r w:rsidR="00386CD5" w:rsidRPr="000463A1">
        <w:t>(2014</w:t>
      </w:r>
      <w:r w:rsidR="00160FAF" w:rsidRPr="000463A1">
        <w:fldChar w:fldCharType="end"/>
      </w:r>
      <w:hyperlink r:id="rId14">
        <w:r w:rsidR="00386CD5" w:rsidRPr="000463A1">
          <w:t>)</w:t>
        </w:r>
      </w:hyperlink>
      <w:r w:rsidR="00386CD5" w:rsidRPr="000463A1">
        <w:t xml:space="preserve"> zu betrachten</w:t>
      </w:r>
      <w:r w:rsidR="00EC12F7">
        <w:t>.</w:t>
      </w:r>
      <w:r w:rsidR="00656E8E">
        <w:rPr>
          <w:rStyle w:val="Funotenzeichen"/>
        </w:rPr>
        <w:footnoteReference w:id="4"/>
      </w:r>
      <w:r w:rsidR="003A3AC9" w:rsidRPr="000463A1">
        <w:t xml:space="preserve"> </w:t>
      </w:r>
      <w:r w:rsidR="00386CD5" w:rsidRPr="000463A1">
        <w:t xml:space="preserve">Der Autor unterscheidet zunächst institutionelle Teilhabemöglichkeiten von der individuellen Teilnahme. </w:t>
      </w:r>
      <w:r w:rsidR="00E97F62">
        <w:t xml:space="preserve">Auf der Ebene der Institution geht es </w:t>
      </w:r>
      <w:r w:rsidR="00D30A75">
        <w:t xml:space="preserve">erstens </w:t>
      </w:r>
      <w:r w:rsidR="00E97F62">
        <w:t xml:space="preserve">um </w:t>
      </w:r>
      <w:r w:rsidR="00386CD5" w:rsidRPr="000463A1">
        <w:t xml:space="preserve">den </w:t>
      </w:r>
      <w:r w:rsidR="000463A1" w:rsidRPr="000463A1">
        <w:rPr>
          <w:color w:val="202124"/>
        </w:rPr>
        <w:t>«</w:t>
      </w:r>
      <w:r w:rsidR="00386CD5" w:rsidRPr="000463A1">
        <w:t xml:space="preserve">Anspruch auf gleichberechtigte und inklusive </w:t>
      </w:r>
      <w:r w:rsidR="00386CD5" w:rsidRPr="000463A1">
        <w:rPr>
          <w:i/>
        </w:rPr>
        <w:t>Teilhabe</w:t>
      </w:r>
      <w:r w:rsidR="00386CD5" w:rsidRPr="000463A1">
        <w:t xml:space="preserve"> besonders von benachteiligten Personen(gruppen) an zentralen Bereichen der Gesellschaft wie Bildung, Arbeit und Soziale Sicherung</w:t>
      </w:r>
      <w:r w:rsidR="00D63AA1" w:rsidRPr="000463A1">
        <w:t>»</w:t>
      </w:r>
      <w:r w:rsidR="00386CD5" w:rsidRPr="000463A1">
        <w:t xml:space="preserve"> (ebd., S.</w:t>
      </w:r>
      <w:r w:rsidR="006D48E5">
        <w:t> </w:t>
      </w:r>
      <w:r w:rsidR="00386CD5" w:rsidRPr="000463A1">
        <w:t>10; Hervorh</w:t>
      </w:r>
      <w:r w:rsidR="00D63AA1" w:rsidRPr="000463A1">
        <w:t>ebung</w:t>
      </w:r>
      <w:r w:rsidR="00386CD5" w:rsidRPr="000463A1">
        <w:t xml:space="preserve"> im Original). Bereits auf Ebene der Institution gilt es, die technische Infrastruktur so zu gestalten, dass </w:t>
      </w:r>
      <w:r w:rsidR="00C20039">
        <w:t xml:space="preserve">der </w:t>
      </w:r>
      <w:r w:rsidR="00C20039" w:rsidRPr="000463A1">
        <w:t xml:space="preserve">Zugang zu digitalen Endgeräten </w:t>
      </w:r>
      <w:r w:rsidR="00C20039">
        <w:t xml:space="preserve">für </w:t>
      </w:r>
      <w:r w:rsidR="00386CD5" w:rsidRPr="000463A1">
        <w:t>alle garantiert</w:t>
      </w:r>
      <w:r w:rsidR="00C20039">
        <w:t xml:space="preserve"> ist</w:t>
      </w:r>
      <w:r w:rsidR="00386CD5" w:rsidRPr="000463A1">
        <w:t xml:space="preserve"> und </w:t>
      </w:r>
      <w:r w:rsidR="00C20039">
        <w:t xml:space="preserve">dass </w:t>
      </w:r>
      <w:r w:rsidR="00D72267">
        <w:t xml:space="preserve">die </w:t>
      </w:r>
      <w:r w:rsidR="00D72267" w:rsidRPr="000463A1">
        <w:t xml:space="preserve">Schüler:innen </w:t>
      </w:r>
      <w:r w:rsidR="00386CD5" w:rsidRPr="000463A1">
        <w:t>in medienkompetenter Anwendung geschult werden (Niesyto, 2019). Um Schüler:innen mit Beeinträchtigungen nicht bereits auf dieser Ebene auszuschliessen, gilt es, auf Barrierefreiheit bei den Geräten, deren Nutzungsweise und ihre</w:t>
      </w:r>
      <w:r w:rsidR="00640A1E" w:rsidRPr="000463A1">
        <w:t>m</w:t>
      </w:r>
      <w:r w:rsidR="00386CD5" w:rsidRPr="000463A1">
        <w:t xml:space="preserve"> Einsatz im Unterricht zu achten. So kann einer Benachteiligung hinsichtlich des Zugangs</w:t>
      </w:r>
      <w:r w:rsidR="001216C9">
        <w:t>,</w:t>
      </w:r>
      <w:r w:rsidR="00386CD5" w:rsidRPr="000463A1">
        <w:t xml:space="preserve"> der Zugänglichkeit </w:t>
      </w:r>
      <w:r w:rsidR="00823476">
        <w:t xml:space="preserve">sowie </w:t>
      </w:r>
      <w:r w:rsidR="00386CD5" w:rsidRPr="000463A1">
        <w:t xml:space="preserve">der Nutzung selbst begegnet werden, die sich insbesondere bei Menschen mit Beeinträchtigungen stärker zeigt als bei Menschen ohne Beeinträchtigungen. In diesem Zusammenhang wird auch vom </w:t>
      </w:r>
      <w:r w:rsidR="00386CD5" w:rsidRPr="00633DCB">
        <w:rPr>
          <w:i/>
          <w:iCs/>
        </w:rPr>
        <w:t>Digital Disability Divide</w:t>
      </w:r>
      <w:r w:rsidR="00386CD5" w:rsidRPr="000463A1">
        <w:t xml:space="preserve"> (Sachdeva et al., 2015) gesprochen. Da bereits die Gestaltung und Konfiguration der technischen Infrastruktur einen Einfluss auf die weiteren Unterrichtsmöglichkeiten ausübt, gilt es schon bei der Wahl der passenden Geräte- und Softwareanbieter die Aspekte Teilhabe und Ausschluss mitzudenken </w:t>
      </w:r>
      <w:hyperlink r:id="rId15">
        <w:r w:rsidR="00386CD5" w:rsidRPr="000463A1">
          <w:t>(Troeger</w:t>
        </w:r>
        <w:r w:rsidR="006C4643">
          <w:t xml:space="preserve"> et al.</w:t>
        </w:r>
        <w:r w:rsidR="00386CD5" w:rsidRPr="000463A1">
          <w:t>, 2023)</w:t>
        </w:r>
      </w:hyperlink>
      <w:r w:rsidR="00386CD5" w:rsidRPr="000463A1">
        <w:t xml:space="preserve">. Schulische Heilpädagog:innen können einbezogen werden, um </w:t>
      </w:r>
      <w:r w:rsidR="009E12B5">
        <w:t xml:space="preserve">die Wahl </w:t>
      </w:r>
      <w:r w:rsidR="00386CD5" w:rsidRPr="000463A1">
        <w:t xml:space="preserve">nicht nur aus einer technischen Perspektive zu </w:t>
      </w:r>
      <w:r w:rsidR="00A82BAC">
        <w:t>treffen</w:t>
      </w:r>
      <w:r w:rsidR="00386CD5" w:rsidRPr="000463A1">
        <w:t>.</w:t>
      </w:r>
    </w:p>
    <w:p w14:paraId="394150C4" w14:textId="78FBAE67" w:rsidR="00FD49A2" w:rsidRPr="000463A1" w:rsidRDefault="00386CD5" w:rsidP="00F555E9">
      <w:pPr>
        <w:spacing w:before="60" w:after="60"/>
        <w:ind w:firstLine="142"/>
        <w:jc w:val="both"/>
      </w:pPr>
      <w:r w:rsidRPr="000463A1">
        <w:t xml:space="preserve">Auf Ebene des Individuums wird </w:t>
      </w:r>
      <w:r w:rsidR="00140B30" w:rsidRPr="000463A1">
        <w:t xml:space="preserve">zweitens </w:t>
      </w:r>
      <w:r w:rsidRPr="000463A1">
        <w:t xml:space="preserve">der Aspekt der </w:t>
      </w:r>
      <w:r w:rsidRPr="00BE639F">
        <w:rPr>
          <w:i/>
          <w:iCs/>
        </w:rPr>
        <w:t>Teilnahme</w:t>
      </w:r>
      <w:r w:rsidRPr="000463A1">
        <w:t xml:space="preserve"> aufgeführt. Von Kardorff (2014) meint damit die Möglichkeit des Individuums, an Entscheidungen in Prozessen aktiv oder passiv teilnehmen zu können.</w:t>
      </w:r>
      <w:r w:rsidR="0061590D">
        <w:t xml:space="preserve"> </w:t>
      </w:r>
      <w:r w:rsidR="00A31D46">
        <w:t xml:space="preserve">Hierbei wird das </w:t>
      </w:r>
      <w:r w:rsidR="00534186">
        <w:t>Grundbedürfnis</w:t>
      </w:r>
      <w:r w:rsidR="00A31D46">
        <w:t xml:space="preserve"> nach Autonomie befriedigt, da die Schüler:innen eigenständig über die Art der Mitwirkung </w:t>
      </w:r>
      <w:r w:rsidR="00A31D46">
        <w:lastRenderedPageBreak/>
        <w:t>entscheiden können</w:t>
      </w:r>
      <w:r w:rsidR="00534186">
        <w:t xml:space="preserve"> (</w:t>
      </w:r>
      <w:r w:rsidR="000C2339">
        <w:t>Ryan &amp; Deci</w:t>
      </w:r>
      <w:r w:rsidR="00534186">
        <w:t>, 2000).</w:t>
      </w:r>
      <w:r w:rsidRPr="000463A1">
        <w:t xml:space="preserve"> In der Schule zeigt sich dieser Aspekt </w:t>
      </w:r>
      <w:r w:rsidR="004D48DB">
        <w:t>an</w:t>
      </w:r>
      <w:r w:rsidRPr="000463A1">
        <w:t xml:space="preserve"> der Aktivität von Schüler:innen</w:t>
      </w:r>
      <w:r w:rsidR="008711D5">
        <w:t>,</w:t>
      </w:r>
      <w:r w:rsidRPr="000463A1">
        <w:t xml:space="preserve"> an für sie relevanten Inhalten zu partizipieren.</w:t>
      </w:r>
    </w:p>
    <w:p w14:paraId="7CDADB10" w14:textId="7747BD52" w:rsidR="00FD49A2" w:rsidRPr="000463A1" w:rsidRDefault="003550B8" w:rsidP="00F555E9">
      <w:pPr>
        <w:spacing w:before="60" w:after="60"/>
        <w:ind w:firstLine="142"/>
        <w:jc w:val="both"/>
      </w:pPr>
      <w:r w:rsidRPr="000463A1">
        <w:t>Drittens</w:t>
      </w:r>
      <w:r w:rsidR="00386CD5" w:rsidRPr="000463A1">
        <w:t xml:space="preserve"> ist der Aspekt der </w:t>
      </w:r>
      <w:r w:rsidR="00386CD5" w:rsidRPr="00BE639F">
        <w:rPr>
          <w:i/>
          <w:iCs/>
        </w:rPr>
        <w:t>Teil-Gabe</w:t>
      </w:r>
      <w:r w:rsidR="00386CD5" w:rsidRPr="000463A1">
        <w:t xml:space="preserve"> zu nennen. Diesen beschreibt von Kardorff </w:t>
      </w:r>
      <w:r w:rsidR="00C6660B" w:rsidRPr="000463A1">
        <w:t>(</w:t>
      </w:r>
      <w:r w:rsidR="00C6660B">
        <w:t>2014</w:t>
      </w:r>
      <w:r w:rsidR="00C6660B" w:rsidRPr="000463A1">
        <w:t>, S.</w:t>
      </w:r>
      <w:r w:rsidR="00C6660B">
        <w:t> </w:t>
      </w:r>
      <w:r w:rsidR="00C6660B" w:rsidRPr="000463A1">
        <w:t xml:space="preserve">10) </w:t>
      </w:r>
      <w:r w:rsidRPr="000463A1">
        <w:t>«</w:t>
      </w:r>
      <w:r w:rsidR="00386CD5" w:rsidRPr="000463A1">
        <w:t>als gesellschaftliche Reziprozitätserwartung für gewährte Leistungen durch die aktive Übernahme von Selbstverantwortung und sozial-moralischen Verpflichtungen</w:t>
      </w:r>
      <w:r w:rsidRPr="000463A1">
        <w:t>»</w:t>
      </w:r>
      <w:r w:rsidR="00C6660B">
        <w:t>.</w:t>
      </w:r>
      <w:r w:rsidR="00386CD5" w:rsidRPr="000463A1">
        <w:t xml:space="preserve"> </w:t>
      </w:r>
      <w:r w:rsidR="00A37830" w:rsidRPr="000463A1">
        <w:t xml:space="preserve">Auf </w:t>
      </w:r>
      <w:r w:rsidR="00386CD5" w:rsidRPr="000463A1">
        <w:t xml:space="preserve">Schüler:innen </w:t>
      </w:r>
      <w:r w:rsidR="00A37830" w:rsidRPr="000463A1">
        <w:t>übertragen meint dies</w:t>
      </w:r>
      <w:r w:rsidR="00746116" w:rsidRPr="000463A1">
        <w:t xml:space="preserve">: </w:t>
      </w:r>
      <w:r w:rsidR="001B7463">
        <w:t>E</w:t>
      </w:r>
      <w:r w:rsidR="00746116" w:rsidRPr="000463A1">
        <w:t>s ist</w:t>
      </w:r>
      <w:r w:rsidR="00386CD5" w:rsidRPr="000463A1">
        <w:t xml:space="preserve"> erwünscht</w:t>
      </w:r>
      <w:r w:rsidR="00746116" w:rsidRPr="000463A1">
        <w:t xml:space="preserve"> </w:t>
      </w:r>
      <w:r w:rsidR="004737CE" w:rsidRPr="000463A1">
        <w:t xml:space="preserve">und </w:t>
      </w:r>
      <w:r w:rsidR="00BF5154" w:rsidRPr="000463A1">
        <w:t xml:space="preserve">wird </w:t>
      </w:r>
      <w:r w:rsidR="004737CE" w:rsidRPr="000463A1">
        <w:t>gewährt</w:t>
      </w:r>
      <w:r w:rsidR="00386CD5" w:rsidRPr="000463A1">
        <w:t xml:space="preserve">, dass sie ihre </w:t>
      </w:r>
      <w:r w:rsidR="00FC4C21" w:rsidRPr="000463A1">
        <w:t>erworbenen Fähigkeiten</w:t>
      </w:r>
      <w:r w:rsidR="00386CD5" w:rsidRPr="000463A1">
        <w:t xml:space="preserve"> </w:t>
      </w:r>
      <w:r w:rsidR="0051537A" w:rsidRPr="000463A1">
        <w:t xml:space="preserve">in die Gemeinschaft </w:t>
      </w:r>
      <w:r w:rsidR="00FB4E77" w:rsidRPr="000463A1">
        <w:t xml:space="preserve">selbstverantwortlich </w:t>
      </w:r>
      <w:r w:rsidR="00386CD5" w:rsidRPr="000463A1">
        <w:t>einbringen.</w:t>
      </w:r>
    </w:p>
    <w:p w14:paraId="4F1E0A40" w14:textId="18C80022" w:rsidR="00013301" w:rsidRDefault="00386CD5" w:rsidP="00F555E9">
      <w:pPr>
        <w:spacing w:before="60" w:after="60"/>
        <w:ind w:firstLine="142"/>
        <w:jc w:val="both"/>
      </w:pPr>
      <w:r w:rsidRPr="000463A1">
        <w:rPr>
          <w:highlight w:val="white"/>
        </w:rPr>
        <w:t xml:space="preserve">Als vierten Aspekt </w:t>
      </w:r>
      <w:r w:rsidR="003550B8" w:rsidRPr="000463A1">
        <w:rPr>
          <w:highlight w:val="white"/>
        </w:rPr>
        <w:t>nennt von</w:t>
      </w:r>
      <w:r w:rsidRPr="000463A1">
        <w:rPr>
          <w:highlight w:val="white"/>
        </w:rPr>
        <w:t xml:space="preserve"> Kardorff schliesslich d</w:t>
      </w:r>
      <w:r w:rsidR="00A915DD" w:rsidRPr="000463A1">
        <w:rPr>
          <w:highlight w:val="white"/>
        </w:rPr>
        <w:t>a</w:t>
      </w:r>
      <w:r w:rsidRPr="000463A1">
        <w:rPr>
          <w:highlight w:val="white"/>
        </w:rPr>
        <w:t xml:space="preserve">s </w:t>
      </w:r>
      <w:r w:rsidRPr="001164B3">
        <w:rPr>
          <w:i/>
          <w:iCs/>
        </w:rPr>
        <w:t>Teil-Sein.</w:t>
      </w:r>
      <w:r w:rsidRPr="000463A1">
        <w:rPr>
          <w:highlight w:val="white"/>
        </w:rPr>
        <w:t xml:space="preserve"> Damit ist gemeint, dass alle Menschen diskriminierungsfreie sowie bedingungslose Anerkennung ihrer Individualität erfahren und sie sich dadurch als zugehöriger Teil </w:t>
      </w:r>
      <w:r w:rsidR="00A915DD" w:rsidRPr="000463A1">
        <w:rPr>
          <w:highlight w:val="white"/>
        </w:rPr>
        <w:t>«</w:t>
      </w:r>
      <w:r w:rsidRPr="000463A1">
        <w:rPr>
          <w:highlight w:val="white"/>
        </w:rPr>
        <w:t xml:space="preserve">zu einem </w:t>
      </w:r>
      <w:r w:rsidR="003C610A">
        <w:rPr>
          <w:rFonts w:cs="Open Sans SemiCondensed"/>
          <w:highlight w:val="white"/>
        </w:rPr>
        <w:t>‹</w:t>
      </w:r>
      <w:r w:rsidRPr="000463A1">
        <w:rPr>
          <w:highlight w:val="white"/>
        </w:rPr>
        <w:t>Ganzen</w:t>
      </w:r>
      <w:r w:rsidR="003C610A">
        <w:rPr>
          <w:rFonts w:cs="Open Sans SemiCondensed"/>
          <w:highlight w:val="white"/>
        </w:rPr>
        <w:t>›</w:t>
      </w:r>
      <w:r w:rsidRPr="000463A1">
        <w:rPr>
          <w:highlight w:val="white"/>
        </w:rPr>
        <w:t xml:space="preserve"> der Gesellschaft und zu einer Gemeinschaft im Alltag</w:t>
      </w:r>
      <w:r w:rsidR="00A915DD" w:rsidRPr="000463A1">
        <w:rPr>
          <w:highlight w:val="white"/>
        </w:rPr>
        <w:t>»</w:t>
      </w:r>
      <w:r w:rsidRPr="000463A1">
        <w:rPr>
          <w:highlight w:val="white"/>
        </w:rPr>
        <w:t xml:space="preserve"> verstehen (ebd.). </w:t>
      </w:r>
      <w:r w:rsidR="00742608">
        <w:rPr>
          <w:highlight w:val="white"/>
        </w:rPr>
        <w:t>Das bedeutet f</w:t>
      </w:r>
      <w:r w:rsidRPr="000463A1">
        <w:rPr>
          <w:highlight w:val="white"/>
        </w:rPr>
        <w:t xml:space="preserve">ür Schüler:innen einer Klasse, dass sie in ihren individuellen Anliegen ernstgenommen werden, ihre Perspektive anerkannt wird und sie sich als Teil der Klasse erleben (dürfen). </w:t>
      </w:r>
    </w:p>
    <w:p w14:paraId="6B594E03" w14:textId="08945956" w:rsidR="00B743AC" w:rsidRPr="000463A1" w:rsidRDefault="00447DC8" w:rsidP="00B644D7">
      <w:pPr>
        <w:spacing w:before="60" w:after="60"/>
        <w:ind w:firstLine="142"/>
        <w:jc w:val="both"/>
      </w:pPr>
      <w:r w:rsidRPr="00447DC8">
        <w:rPr>
          <w:rFonts w:ascii="Open Sans SemiCondensed SemiCon" w:hAnsi="Open Sans SemiCondensed SemiCon"/>
          <w:noProof/>
        </w:rPr>
        <mc:AlternateContent>
          <mc:Choice Requires="wps">
            <w:drawing>
              <wp:anchor distT="45720" distB="45720" distL="46990" distR="46990" simplePos="0" relativeHeight="251661312" behindDoc="0" locked="0" layoutInCell="1" allowOverlap="0" wp14:anchorId="79F936D6" wp14:editId="2FFF5893">
                <wp:simplePos x="0" y="0"/>
                <wp:positionH relativeFrom="page">
                  <wp:posOffset>0</wp:posOffset>
                </wp:positionH>
                <wp:positionV relativeFrom="paragraph">
                  <wp:posOffset>3429693</wp:posOffset>
                </wp:positionV>
                <wp:extent cx="5615305" cy="525145"/>
                <wp:effectExtent l="0" t="0" r="0" b="0"/>
                <wp:wrapTopAndBottom/>
                <wp:docPr id="1720644377" name="Textfeld 17206443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525145"/>
                        </a:xfrm>
                        <a:prstGeom prst="rect">
                          <a:avLst/>
                        </a:prstGeom>
                        <a:noFill/>
                        <a:ln w="9525">
                          <a:noFill/>
                          <a:miter lim="800000"/>
                          <a:headEnd/>
                          <a:tailEnd/>
                        </a:ln>
                      </wps:spPr>
                      <wps:txbx>
                        <w:txbxContent>
                          <w:p w14:paraId="1DBC85C6" w14:textId="77777777" w:rsidR="00447DC8" w:rsidRDefault="00447DC8" w:rsidP="00447DC8">
                            <w:pPr>
                              <w:pStyle w:val="Hervorhebung1"/>
                              <w:rPr>
                                <w:lang w:val="de-DE"/>
                              </w:rPr>
                            </w:pPr>
                            <w:r w:rsidRPr="00447DC8">
                              <w:rPr>
                                <w:lang w:val="de-DE"/>
                              </w:rPr>
                              <w:t>Im Umgang mit digitalen Lernräumen gilt es,</w:t>
                            </w:r>
                            <w:r>
                              <w:rPr>
                                <w:lang w:val="de-DE"/>
                              </w:rPr>
                              <w:t xml:space="preserve"> auch</w:t>
                            </w:r>
                            <w:r w:rsidRPr="00447DC8">
                              <w:rPr>
                                <w:lang w:val="de-DE"/>
                              </w:rPr>
                              <w:t xml:space="preserve"> die Aspekte Teil-Gabe und </w:t>
                            </w:r>
                          </w:p>
                          <w:p w14:paraId="2719A9F1" w14:textId="2599F0ED" w:rsidR="00447DC8" w:rsidRPr="004B0AE6" w:rsidRDefault="00447DC8" w:rsidP="00447DC8">
                            <w:pPr>
                              <w:pStyle w:val="Hervorhebung1"/>
                            </w:pPr>
                            <w:r w:rsidRPr="00447DC8">
                              <w:rPr>
                                <w:lang w:val="de-DE"/>
                              </w:rPr>
                              <w:t>Teil-Sein zu berücksichtigen</w:t>
                            </w:r>
                            <w:r>
                              <w:rPr>
                                <w:lang w:val="de-DE"/>
                              </w:rP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936D6" id="Textfeld 1720644377" o:spid="_x0000_s1028" type="#_x0000_t202" alt="&quot;&quot;" style="position:absolute;left:0;text-align:left;margin-left:0;margin-top:270.05pt;width:442.15pt;height:41.35pt;z-index:251661312;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" o:allowoverlap="f" filled="f" stroked="f">
                <v:textbox inset="29mm,,2.5mm">
                  <w:txbxContent>
                    <w:p w14:paraId="1DBC85C6" w14:textId="77777777" w:rsidR="00447DC8" w:rsidRDefault="00447DC8" w:rsidP="00447DC8">
                      <w:pPr>
                        <w:pStyle w:val="Hervorhebung1"/>
                        <w:rPr>
                          <w:lang w:val="de-DE"/>
                        </w:rPr>
                      </w:pPr>
                      <w:r w:rsidRPr="00447DC8">
                        <w:rPr>
                          <w:lang w:val="de-DE"/>
                        </w:rPr>
                        <w:t>Im Umgang mit digitalen Lernräumen gilt es,</w:t>
                      </w:r>
                      <w:r>
                        <w:rPr>
                          <w:lang w:val="de-DE"/>
                        </w:rPr>
                        <w:t xml:space="preserve"> auch</w:t>
                      </w:r>
                      <w:r w:rsidRPr="00447DC8">
                        <w:rPr>
                          <w:lang w:val="de-DE"/>
                        </w:rPr>
                        <w:t xml:space="preserve"> die Aspekte Teil-Gabe und </w:t>
                      </w:r>
                    </w:p>
                    <w:p w14:paraId="2719A9F1" w14:textId="2599F0ED" w:rsidR="00447DC8" w:rsidRPr="004B0AE6" w:rsidRDefault="00447DC8" w:rsidP="00447DC8">
                      <w:pPr>
                        <w:pStyle w:val="Hervorhebung1"/>
                      </w:pPr>
                      <w:r w:rsidRPr="00447DC8">
                        <w:rPr>
                          <w:lang w:val="de-DE"/>
                        </w:rPr>
                        <w:t>Teil-Sein zu berücksichtigen</w:t>
                      </w:r>
                      <w:r>
                        <w:rPr>
                          <w:lang w:val="de-DE"/>
                        </w:rPr>
                        <w:t>.</w:t>
                      </w:r>
                    </w:p>
                  </w:txbxContent>
                </v:textbox>
                <w10:wrap type="topAndBottom" anchorx="page"/>
              </v:shape>
            </w:pict>
          </mc:Fallback>
        </mc:AlternateContent>
      </w:r>
      <w:r w:rsidR="00386CD5" w:rsidRPr="000463A1">
        <w:t>Dieses differenzierte Verständnis</w:t>
      </w:r>
      <w:r w:rsidR="00F842CE">
        <w:t xml:space="preserve"> von Teilhabe</w:t>
      </w:r>
      <w:r w:rsidR="00386CD5" w:rsidRPr="000463A1">
        <w:t xml:space="preserve"> lässt sich </w:t>
      </w:r>
      <w:r w:rsidR="00336C31" w:rsidRPr="000463A1">
        <w:t>nun auf</w:t>
      </w:r>
      <w:r w:rsidR="00386CD5" w:rsidRPr="000463A1">
        <w:t xml:space="preserve"> digitale Lernräume</w:t>
      </w:r>
      <w:r w:rsidR="00336C31" w:rsidRPr="000463A1">
        <w:t xml:space="preserve"> übertragen</w:t>
      </w:r>
      <w:r w:rsidR="00386CD5" w:rsidRPr="000463A1">
        <w:t xml:space="preserve">. </w:t>
      </w:r>
      <w:r w:rsidR="00C321D5" w:rsidRPr="000463A1">
        <w:t>Neben</w:t>
      </w:r>
      <w:r w:rsidR="00386CD5" w:rsidRPr="000463A1">
        <w:t xml:space="preserve"> der Teilhabe auf institutioneller Ebene (gewährleistete</w:t>
      </w:r>
      <w:r w:rsidR="00E75503">
        <w:t>r Zugang zu</w:t>
      </w:r>
      <w:r w:rsidR="00386CD5" w:rsidRPr="000463A1">
        <w:t xml:space="preserve"> Lebensbereichen der Gesellschaft) und der Teilnahme auf individueller Ebene (Entscheidung über aktive oder passive Nutzung) </w:t>
      </w:r>
      <w:r w:rsidR="001434F3" w:rsidRPr="000463A1">
        <w:t>gilt es nun</w:t>
      </w:r>
      <w:r w:rsidR="00E75503">
        <w:t>,</w:t>
      </w:r>
      <w:r w:rsidR="00386CD5" w:rsidRPr="000463A1">
        <w:t xml:space="preserve"> im Umgang mit digitalen Lernräumen die Aspekte Teil-Gabe und Teil-Sein </w:t>
      </w:r>
      <w:r w:rsidR="00A22B79" w:rsidRPr="000463A1">
        <w:t>mitzuberücksichtigen</w:t>
      </w:r>
      <w:r w:rsidR="00386CD5" w:rsidRPr="000463A1">
        <w:t>.</w:t>
      </w:r>
      <w:r w:rsidR="00A22B79" w:rsidRPr="000463A1">
        <w:t xml:space="preserve"> Was bedeutet das?</w:t>
      </w:r>
      <w:r w:rsidR="00386CD5" w:rsidRPr="000463A1">
        <w:t xml:space="preserve"> Wenn eine Schülerin beispielsweise wiederholt das gleiche digitale Lernspiel spielt</w:t>
      </w:r>
      <w:r w:rsidR="00CE101D">
        <w:t xml:space="preserve">, </w:t>
      </w:r>
      <w:r w:rsidR="00063764">
        <w:t>ist</w:t>
      </w:r>
      <w:r w:rsidR="00CE101D">
        <w:t xml:space="preserve"> für sie nach einer gewissen Zeit kein </w:t>
      </w:r>
      <w:r w:rsidR="007B3094">
        <w:t>Kompetenzzuwachs</w:t>
      </w:r>
      <w:r w:rsidR="00CE101D">
        <w:t xml:space="preserve"> mehr möglich</w:t>
      </w:r>
      <w:r w:rsidR="00063764">
        <w:t>. S</w:t>
      </w:r>
      <w:r w:rsidR="00CE101D">
        <w:t>o wird der Aspekt der Teil-Gabe nicht erfüllt.</w:t>
      </w:r>
      <w:r w:rsidR="00885325">
        <w:t xml:space="preserve"> </w:t>
      </w:r>
      <w:r w:rsidR="009677DF">
        <w:t>Denn f</w:t>
      </w:r>
      <w:r w:rsidR="00085F6D">
        <w:t xml:space="preserve">ür </w:t>
      </w:r>
      <w:r w:rsidR="00E457BA">
        <w:t>diesen Aspekt</w:t>
      </w:r>
      <w:r w:rsidR="00085F6D">
        <w:t xml:space="preserve"> ist zentral, </w:t>
      </w:r>
      <w:r w:rsidR="00AD7E16">
        <w:t>dass ein digitales Lernspiel Kompetenzzuwachs und damit auch Kompetenzerleben</w:t>
      </w:r>
      <w:r w:rsidR="00B80494">
        <w:t xml:space="preserve"> ermöglicht</w:t>
      </w:r>
      <w:r w:rsidR="00E4324D">
        <w:t xml:space="preserve"> </w:t>
      </w:r>
      <w:r w:rsidR="00E4324D" w:rsidRPr="00E4324D">
        <w:t>(Ryan &amp; Deci, 2000)</w:t>
      </w:r>
      <w:r w:rsidR="00B80494">
        <w:t>.</w:t>
      </w:r>
      <w:r w:rsidR="00386CD5" w:rsidRPr="000463A1">
        <w:t xml:space="preserve"> </w:t>
      </w:r>
      <w:r w:rsidR="002D54D7" w:rsidRPr="000463A1">
        <w:t>Gemeint</w:t>
      </w:r>
      <w:r w:rsidR="00386CD5" w:rsidRPr="000463A1">
        <w:t xml:space="preserve"> sind Kompetenzen, die für die Nutzung notwendig sind, aber auch solche, die durch die Nutzung des </w:t>
      </w:r>
      <w:r w:rsidR="002D54D7" w:rsidRPr="000463A1">
        <w:t>Spiels</w:t>
      </w:r>
      <w:r w:rsidR="00386CD5" w:rsidRPr="000463A1">
        <w:t xml:space="preserve"> selbst erworben werden können</w:t>
      </w:r>
      <w:r w:rsidR="001576AD">
        <w:t xml:space="preserve"> und darüber hinaus von Relevanz sind</w:t>
      </w:r>
      <w:r w:rsidR="00386CD5" w:rsidRPr="000463A1">
        <w:t xml:space="preserve">. Mit Hummrich </w:t>
      </w:r>
      <w:hyperlink r:id="rId16">
        <w:r w:rsidR="00386CD5" w:rsidRPr="000463A1">
          <w:t>(2022)</w:t>
        </w:r>
      </w:hyperlink>
      <w:r w:rsidR="00386CD5" w:rsidRPr="000463A1">
        <w:t xml:space="preserve"> argumentiert </w:t>
      </w:r>
      <w:r w:rsidR="00BE4E44" w:rsidRPr="000463A1">
        <w:t xml:space="preserve">lautet </w:t>
      </w:r>
      <w:r w:rsidR="00386CD5" w:rsidRPr="000463A1">
        <w:t>das Ziel, dass die Schülerin d</w:t>
      </w:r>
      <w:r w:rsidR="00BE4E44" w:rsidRPr="000463A1">
        <w:t>urch die</w:t>
      </w:r>
      <w:r w:rsidR="00386CD5" w:rsidRPr="000463A1">
        <w:t xml:space="preserve"> erworbenen Kompetenzen ihre Teilnahme selbstbestimmt umsetzen</w:t>
      </w:r>
      <w:r w:rsidR="00D2111D" w:rsidRPr="000463A1">
        <w:t xml:space="preserve"> und </w:t>
      </w:r>
      <w:r>
        <w:t xml:space="preserve">sich </w:t>
      </w:r>
      <w:r w:rsidR="00D2111D" w:rsidRPr="000463A1">
        <w:t>in die Gemeinschaft ein</w:t>
      </w:r>
      <w:r w:rsidR="00F624AC">
        <w:t>bringen</w:t>
      </w:r>
      <w:r w:rsidR="00386CD5" w:rsidRPr="000463A1">
        <w:t xml:space="preserve"> kann. </w:t>
      </w:r>
      <w:r w:rsidR="00B644D7">
        <w:t>Und schliesslich ist f</w:t>
      </w:r>
      <w:r w:rsidR="00386CD5" w:rsidRPr="000463A1">
        <w:t>ür den Aspekt Teil-Sein (von Kardorff, 2014)</w:t>
      </w:r>
      <w:r w:rsidR="00271C55">
        <w:t xml:space="preserve"> zentral</w:t>
      </w:r>
      <w:r w:rsidR="00386CD5" w:rsidRPr="000463A1">
        <w:t xml:space="preserve">, dass sich </w:t>
      </w:r>
      <w:r w:rsidR="00B668B4">
        <w:t>alle Schüler:innen</w:t>
      </w:r>
      <w:r w:rsidR="00386CD5" w:rsidRPr="000463A1">
        <w:t xml:space="preserve"> </w:t>
      </w:r>
      <w:r w:rsidR="009D050F" w:rsidRPr="000463A1">
        <w:t xml:space="preserve">in der Klasse </w:t>
      </w:r>
      <w:r w:rsidR="00386CD5" w:rsidRPr="000463A1">
        <w:t>als gleichwertig anerkannt erleben k</w:t>
      </w:r>
      <w:r w:rsidR="00B668B4">
        <w:t xml:space="preserve">önnen und einander als </w:t>
      </w:r>
      <w:r w:rsidR="00283EA7">
        <w:t>gleichwertig anerkennen</w:t>
      </w:r>
      <w:r w:rsidR="00386CD5" w:rsidRPr="000463A1">
        <w:t xml:space="preserve">. Spielt die Schülerin dieses Spiel beispielsweise nur für sich, während der Rest der Klasse einer anderen Aufgabe nachgeht, </w:t>
      </w:r>
      <w:r w:rsidR="00746A5A">
        <w:t>erlebt die</w:t>
      </w:r>
      <w:r w:rsidR="00386CD5" w:rsidRPr="000463A1">
        <w:t xml:space="preserve"> Schülerin inhaltliche</w:t>
      </w:r>
      <w:r w:rsidR="00746A5A">
        <w:t>n</w:t>
      </w:r>
      <w:r w:rsidR="00386CD5" w:rsidRPr="000463A1">
        <w:t xml:space="preserve"> und räumliche</w:t>
      </w:r>
      <w:r w:rsidR="00746A5A">
        <w:t>n</w:t>
      </w:r>
      <w:r w:rsidR="00386CD5" w:rsidRPr="000463A1">
        <w:t xml:space="preserve"> Ausschluss</w:t>
      </w:r>
      <w:r w:rsidR="00271C55">
        <w:t>.</w:t>
      </w:r>
      <w:r w:rsidR="00386CD5" w:rsidRPr="000463A1">
        <w:t xml:space="preserve"> </w:t>
      </w:r>
      <w:r w:rsidR="006A7F77">
        <w:t xml:space="preserve">Umgekehrt können die anderen Schüler:innen sie dadurch nicht als </w:t>
      </w:r>
      <w:r w:rsidR="008C7E5E">
        <w:t xml:space="preserve">Teil der Klasse erleben. </w:t>
      </w:r>
      <w:r w:rsidR="00271C55">
        <w:t>Ü</w:t>
      </w:r>
      <w:r w:rsidR="00386CD5" w:rsidRPr="000463A1">
        <w:t>ber einen längeren Zeitraum</w:t>
      </w:r>
      <w:r w:rsidR="00271C55">
        <w:t xml:space="preserve"> </w:t>
      </w:r>
      <w:r w:rsidR="007E4FBF">
        <w:t>wirkt dies</w:t>
      </w:r>
      <w:r w:rsidR="00386CD5" w:rsidRPr="000463A1">
        <w:t xml:space="preserve"> isolierend und </w:t>
      </w:r>
      <w:r w:rsidR="00B24A12" w:rsidRPr="000463A1">
        <w:t>das</w:t>
      </w:r>
      <w:r w:rsidR="00386CD5" w:rsidRPr="000463A1">
        <w:t xml:space="preserve"> Teil-Sein </w:t>
      </w:r>
      <w:r w:rsidR="00D30E00">
        <w:t xml:space="preserve">wird </w:t>
      </w:r>
      <w:r w:rsidR="00386CD5" w:rsidRPr="000463A1">
        <w:t>vernachlässigt.</w:t>
      </w:r>
      <w:r w:rsidR="00A2039E">
        <w:t xml:space="preserve"> </w:t>
      </w:r>
      <w:r w:rsidR="001C78E3">
        <w:t>Die Schülerin fühlt sich nicht sozial eingebunden</w:t>
      </w:r>
      <w:r w:rsidR="00F52329">
        <w:t>, was sich negativ auf ihre Motivation, am Unterricht zu partizipieren, auswirken kann (</w:t>
      </w:r>
      <w:r w:rsidR="005F220E">
        <w:t>Ryan &amp; Deci</w:t>
      </w:r>
      <w:r w:rsidR="00F52329">
        <w:t xml:space="preserve">, </w:t>
      </w:r>
      <w:r w:rsidR="00C5566B">
        <w:t>2000).</w:t>
      </w:r>
    </w:p>
    <w:p w14:paraId="2A844CBD" w14:textId="61877AF9" w:rsidR="00B743AC" w:rsidRPr="000463A1" w:rsidRDefault="00B743AC" w:rsidP="00B743AC">
      <w:pPr>
        <w:pStyle w:val="berschrift1"/>
      </w:pPr>
      <w:r w:rsidRPr="000463A1">
        <w:t>Ein vorläufiges Fazit</w:t>
      </w:r>
    </w:p>
    <w:p w14:paraId="5F069A21" w14:textId="50830497" w:rsidR="00F5178E" w:rsidRPr="000463A1" w:rsidRDefault="00E21562" w:rsidP="00E21562">
      <w:pPr>
        <w:jc w:val="both"/>
      </w:pPr>
      <w:r w:rsidRPr="000463A1">
        <w:t xml:space="preserve">Dieser Beitrag </w:t>
      </w:r>
      <w:r w:rsidR="00313546">
        <w:t>ist</w:t>
      </w:r>
      <w:r w:rsidRPr="000463A1">
        <w:t xml:space="preserve"> ein Versuch, Überlegungen zu</w:t>
      </w:r>
      <w:r w:rsidR="00947E8E" w:rsidRPr="000463A1">
        <w:t>m Einbezug</w:t>
      </w:r>
      <w:r w:rsidRPr="000463A1">
        <w:t xml:space="preserve"> von digitalen Lernräumen </w:t>
      </w:r>
      <w:r w:rsidR="00761572" w:rsidRPr="000463A1">
        <w:t xml:space="preserve">im Unterricht </w:t>
      </w:r>
      <w:r w:rsidRPr="000463A1">
        <w:t>zu formulieren, um Inklusion zu ermöglichen und Ausschluss zu verhindern. Folgende vorläufige Erkenntnisse resultieren aus der Bearbeitung:</w:t>
      </w:r>
    </w:p>
    <w:p w14:paraId="7578A734" w14:textId="72D0D4DD" w:rsidR="00E21562" w:rsidRPr="000463A1" w:rsidRDefault="00E21562" w:rsidP="00F555E9">
      <w:pPr>
        <w:spacing w:before="60" w:after="60"/>
        <w:ind w:firstLine="142"/>
        <w:jc w:val="both"/>
      </w:pPr>
      <w:r w:rsidRPr="000463A1">
        <w:t xml:space="preserve">Bereits bei der Planung und Implementierung der technischen Infrastruktur einer Schule </w:t>
      </w:r>
      <w:r w:rsidR="007C70A3">
        <w:t>sind</w:t>
      </w:r>
      <w:r w:rsidRPr="000463A1">
        <w:t xml:space="preserve"> die Aspekte Zugang und Barrierefreiheit Voraussetzungen für die Teilhabe aller. Hier eingeschlossen ist der Blick auf die Wahl von Geräte- und Softwareanbieter, um deren Einfluss im Klassenzimmer nicht unhinterfragt zuzulassen.</w:t>
      </w:r>
    </w:p>
    <w:p w14:paraId="79EDA033" w14:textId="19ED80BE" w:rsidR="00780AC5" w:rsidRPr="000463A1" w:rsidRDefault="00E21562" w:rsidP="00F555E9">
      <w:pPr>
        <w:spacing w:before="60" w:after="60"/>
        <w:ind w:firstLine="142"/>
        <w:jc w:val="both"/>
      </w:pPr>
      <w:r w:rsidRPr="000463A1">
        <w:t>Die Beschreibung digitaler Lernräume bedient sich oft Raummetaphern, die</w:t>
      </w:r>
      <w:r w:rsidR="00587F1C">
        <w:t xml:space="preserve"> einer physikalischen Vorstellung von Raum entsprechen</w:t>
      </w:r>
      <w:r w:rsidRPr="000463A1">
        <w:t>. Digitale Lernräume lassen sich mit real</w:t>
      </w:r>
      <w:r w:rsidR="009E5C7D" w:rsidRPr="000463A1">
        <w:t xml:space="preserve">en </w:t>
      </w:r>
      <w:r w:rsidRPr="000463A1">
        <w:t>Räumen jedoch nicht vergleichen, da diese physikalischen Gesetzmässigkeiten gehorchen, digitale Lernräume hingegen nicht.</w:t>
      </w:r>
    </w:p>
    <w:p w14:paraId="30B36C21" w14:textId="6004903C" w:rsidR="00E21562" w:rsidRPr="000463A1" w:rsidRDefault="00C13D6B" w:rsidP="00F555E9">
      <w:pPr>
        <w:spacing w:before="60" w:after="60"/>
        <w:ind w:firstLine="142"/>
        <w:jc w:val="both"/>
      </w:pPr>
      <w:r>
        <w:t>Demgegenüber lässt a</w:t>
      </w:r>
      <w:r w:rsidR="00E21562" w:rsidRPr="000463A1">
        <w:t xml:space="preserve">uch ein relativistischer Raumbegriff die Eigenheiten von digitalen Lernräumen in dieser groben Analyse nicht abschliessend fassbar machen. Diese Perspektive macht </w:t>
      </w:r>
      <w:r w:rsidR="0082433F">
        <w:t xml:space="preserve">jedoch </w:t>
      </w:r>
      <w:r w:rsidR="00E21562" w:rsidRPr="000463A1">
        <w:t xml:space="preserve">die </w:t>
      </w:r>
      <w:r w:rsidR="00CE775C">
        <w:t>verschiedenen</w:t>
      </w:r>
      <w:r w:rsidR="00E21562" w:rsidRPr="000463A1">
        <w:t xml:space="preserve"> Relationen </w:t>
      </w:r>
      <w:r w:rsidR="004605E1" w:rsidRPr="000463A1">
        <w:t xml:space="preserve">deutlich </w:t>
      </w:r>
      <w:r w:rsidR="00E21562" w:rsidRPr="000463A1">
        <w:lastRenderedPageBreak/>
        <w:t>zwischen Schüler:in</w:t>
      </w:r>
      <w:r w:rsidR="001948A6">
        <w:t>nen</w:t>
      </w:r>
      <w:r w:rsidR="00E21562" w:rsidRPr="000463A1">
        <w:t xml:space="preserve">, Lerninhalt, Lernprogramm, Lehrpersonen und Entwickler:innen hinsichtlich Teilhabe und Ausschluss. Auch wenn ein digitales Spiel weitgehend zugänglich und barrierefrei gestaltet ist, so kann es in der Einbindung in den Unterricht trotzdem Exklusion herbeiführen. Das heisst, auch wenn ein Schüler ein Lernspiel öffnen und </w:t>
      </w:r>
      <w:r w:rsidR="00EB347C" w:rsidRPr="000463A1">
        <w:t>es</w:t>
      </w:r>
      <w:r w:rsidR="00E21562" w:rsidRPr="000463A1">
        <w:t xml:space="preserve"> selbstständig spielen kann, sind Teil-Gabe und Teil-Sein in der didaktischen Planung </w:t>
      </w:r>
      <w:r w:rsidR="00FD49A2" w:rsidRPr="000463A1">
        <w:t xml:space="preserve">und Umsetzung </w:t>
      </w:r>
      <w:r w:rsidR="00E21562" w:rsidRPr="000463A1">
        <w:t xml:space="preserve">nicht </w:t>
      </w:r>
      <w:r w:rsidR="001F4A8C">
        <w:t xml:space="preserve">zwingend </w:t>
      </w:r>
      <w:r w:rsidR="0021106D">
        <w:t>gewährleistet</w:t>
      </w:r>
      <w:r w:rsidR="00E21562" w:rsidRPr="000463A1">
        <w:t>. Inklusiver Unterricht, der digitale Technologien</w:t>
      </w:r>
      <w:r w:rsidR="002D0133">
        <w:t xml:space="preserve"> </w:t>
      </w:r>
      <w:r w:rsidR="00D57A93">
        <w:t>verwendet</w:t>
      </w:r>
      <w:r w:rsidR="00E21562" w:rsidRPr="000463A1">
        <w:t xml:space="preserve">, erfordert </w:t>
      </w:r>
      <w:r w:rsidR="00D57A93">
        <w:t>neben</w:t>
      </w:r>
      <w:r w:rsidR="006B3CA5">
        <w:t xml:space="preserve"> </w:t>
      </w:r>
      <w:r w:rsidR="00E21562" w:rsidRPr="000463A1">
        <w:t>didaktische</w:t>
      </w:r>
      <w:r w:rsidR="00D57A93">
        <w:t>n</w:t>
      </w:r>
      <w:r w:rsidR="00E21562" w:rsidRPr="000463A1">
        <w:t xml:space="preserve"> Überlegungen also </w:t>
      </w:r>
      <w:r w:rsidR="003269A6">
        <w:t xml:space="preserve">auch </w:t>
      </w:r>
      <w:r w:rsidR="00E21562" w:rsidRPr="000463A1">
        <w:t xml:space="preserve">die Reflexion von Konzepten wie </w:t>
      </w:r>
      <w:r w:rsidR="00E21562" w:rsidRPr="000463A1">
        <w:rPr>
          <w:i/>
        </w:rPr>
        <w:t>Raum</w:t>
      </w:r>
      <w:r w:rsidR="00E21562" w:rsidRPr="000463A1">
        <w:t xml:space="preserve"> oder </w:t>
      </w:r>
      <w:r w:rsidR="00E21562" w:rsidRPr="000463A1">
        <w:rPr>
          <w:i/>
        </w:rPr>
        <w:t>Teilhabe</w:t>
      </w:r>
      <w:r w:rsidR="00E21562" w:rsidRPr="000463A1">
        <w:t xml:space="preserve">. </w:t>
      </w:r>
      <w:r w:rsidR="000A69BC" w:rsidRPr="000463A1">
        <w:t>Zudem</w:t>
      </w:r>
      <w:r w:rsidR="00E21562" w:rsidRPr="000463A1">
        <w:t xml:space="preserve"> ist der Einbezug </w:t>
      </w:r>
      <w:r w:rsidR="00D0198E">
        <w:t xml:space="preserve">von </w:t>
      </w:r>
      <w:r w:rsidR="00E21562" w:rsidRPr="000463A1">
        <w:t>sensibilisierte</w:t>
      </w:r>
      <w:r w:rsidR="00D0198E">
        <w:t>n</w:t>
      </w:r>
      <w:r w:rsidR="00E21562" w:rsidRPr="000463A1">
        <w:t xml:space="preserve"> Fachpersonen der </w:t>
      </w:r>
      <w:r w:rsidR="00B33D74">
        <w:t>S</w:t>
      </w:r>
      <w:r w:rsidR="00E21562" w:rsidRPr="000463A1">
        <w:t xml:space="preserve">chulischen Heilpädagogik unabdingbar, um einem möglichen </w:t>
      </w:r>
      <w:r w:rsidR="00E21562" w:rsidRPr="00107DED">
        <w:rPr>
          <w:i/>
          <w:iCs/>
        </w:rPr>
        <w:t>Digital Disability Divide</w:t>
      </w:r>
      <w:r w:rsidR="00E21562" w:rsidRPr="000463A1">
        <w:t xml:space="preserve"> (Sachdeva et al., 2015) entgegenzuwirken und den Blick auf Ein- und Ausschluss zu schärfen. </w:t>
      </w:r>
    </w:p>
    <w:tbl>
      <w:tblPr>
        <w:tblStyle w:val="Tabellenraster"/>
        <w:tblW w:w="54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gridCol w:w="3024"/>
        <w:gridCol w:w="3022"/>
      </w:tblGrid>
      <w:tr w:rsidR="006B5540" w:rsidRPr="000463A1" w14:paraId="4ACA756E" w14:textId="77777777" w:rsidTr="003E5E6E">
        <w:tc>
          <w:tcPr>
            <w:tcW w:w="1938" w:type="pct"/>
            <w:vAlign w:val="center"/>
          </w:tcPr>
          <w:p w14:paraId="58FDCEFD" w14:textId="77777777" w:rsidR="006B5540" w:rsidRPr="000463A1" w:rsidRDefault="006B5540" w:rsidP="00402D4E">
            <w:pPr>
              <w:pStyle w:val="Textkrper"/>
              <w:ind w:firstLine="0"/>
            </w:pPr>
            <w:r w:rsidRPr="000463A1">
              <w:rPr>
                <w:noProof/>
              </w:rPr>
              <w:drawing>
                <wp:inline distT="0" distB="0" distL="0" distR="0" wp14:anchorId="5AF341EA" wp14:editId="7529FDF7">
                  <wp:extent cx="1036320" cy="1036320"/>
                  <wp:effectExtent l="0" t="0" r="0"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531" w:type="pct"/>
            <w:vAlign w:val="center"/>
          </w:tcPr>
          <w:p w14:paraId="1BFAADC2" w14:textId="77777777" w:rsidR="006B5540" w:rsidRPr="000463A1" w:rsidRDefault="006B5540" w:rsidP="00402D4E">
            <w:pPr>
              <w:pStyle w:val="Textkrper"/>
              <w:ind w:firstLine="0"/>
              <w:rPr>
                <w:noProof/>
              </w:rPr>
            </w:pPr>
            <w:r w:rsidRPr="000463A1">
              <w:rPr>
                <w:noProof/>
              </w:rPr>
              <w:drawing>
                <wp:inline distT="0" distB="0" distL="0" distR="0" wp14:anchorId="1BECAC39" wp14:editId="74D6F2B5">
                  <wp:extent cx="1036320" cy="1036320"/>
                  <wp:effectExtent l="0" t="0" r="0" b="0"/>
                  <wp:docPr id="7"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530" w:type="pct"/>
            <w:vAlign w:val="center"/>
          </w:tcPr>
          <w:p w14:paraId="7AE8A9E3" w14:textId="47F9F90A" w:rsidR="006B5540" w:rsidRPr="000463A1" w:rsidRDefault="006B5540" w:rsidP="007F5E1D">
            <w:pPr>
              <w:pStyle w:val="Textkrper"/>
              <w:rPr>
                <w:noProof/>
              </w:rPr>
            </w:pPr>
          </w:p>
        </w:tc>
      </w:tr>
      <w:tr w:rsidR="006B5540" w:rsidRPr="000463A1" w14:paraId="30FB88F0" w14:textId="77777777" w:rsidTr="003E5E6E">
        <w:trPr>
          <w:trHeight w:val="960"/>
        </w:trPr>
        <w:tc>
          <w:tcPr>
            <w:tcW w:w="1938" w:type="pct"/>
          </w:tcPr>
          <w:p w14:paraId="3E3D0DEA" w14:textId="77777777" w:rsidR="001F0BE3" w:rsidRPr="000463A1" w:rsidRDefault="006D4C35" w:rsidP="007B4390">
            <w:pPr>
              <w:pStyle w:val="Textkrper3"/>
            </w:pPr>
            <w:r w:rsidRPr="000463A1">
              <w:t>Verena Muheim</w:t>
            </w:r>
            <w:r w:rsidR="006B5540" w:rsidRPr="000463A1">
              <w:br/>
            </w:r>
            <w:r w:rsidRPr="000463A1">
              <w:t>Advanced Lecturer</w:t>
            </w:r>
          </w:p>
          <w:p w14:paraId="2828B73A" w14:textId="77777777" w:rsidR="00B33D74" w:rsidRDefault="000376B9" w:rsidP="007B4390">
            <w:pPr>
              <w:pStyle w:val="Textkrper3"/>
            </w:pPr>
            <w:r w:rsidRPr="000463A1">
              <w:t xml:space="preserve">Institut für Professionalisierung und </w:t>
            </w:r>
          </w:p>
          <w:p w14:paraId="5407E27D" w14:textId="7982C0BB" w:rsidR="006B5540" w:rsidRPr="000463A1" w:rsidRDefault="000376B9" w:rsidP="007B4390">
            <w:pPr>
              <w:pStyle w:val="Textkrper3"/>
            </w:pPr>
            <w:r w:rsidRPr="000463A1">
              <w:t>Systementwicklung (IPSE)</w:t>
            </w:r>
          </w:p>
          <w:p w14:paraId="4D88B3F8" w14:textId="2118B0C7" w:rsidR="006B5540" w:rsidRPr="000463A1" w:rsidRDefault="006D4C35" w:rsidP="007B4390">
            <w:pPr>
              <w:pStyle w:val="Textkrper3"/>
            </w:pPr>
            <w:r w:rsidRPr="000463A1">
              <w:t>Interkantonale Hochschule für Heilpädagogik HfH</w:t>
            </w:r>
          </w:p>
          <w:p w14:paraId="106D13C7" w14:textId="4031F104" w:rsidR="001F0BE3" w:rsidRPr="000463A1" w:rsidRDefault="001F0BE3" w:rsidP="001F0BE3">
            <w:pPr>
              <w:pStyle w:val="Textkrper3"/>
            </w:pPr>
            <w:hyperlink r:id="rId19" w:history="1">
              <w:r w:rsidRPr="000463A1">
                <w:rPr>
                  <w:rStyle w:val="Hyperlink"/>
                </w:rPr>
                <w:t>verena.muheim@hfh.ch</w:t>
              </w:r>
            </w:hyperlink>
          </w:p>
        </w:tc>
        <w:tc>
          <w:tcPr>
            <w:tcW w:w="1531" w:type="pct"/>
          </w:tcPr>
          <w:p w14:paraId="7449495D" w14:textId="77777777" w:rsidR="001F0BE3" w:rsidRPr="000463A1" w:rsidRDefault="006D4C35" w:rsidP="006B08DD">
            <w:r w:rsidRPr="000463A1">
              <w:t>Federica Hofer</w:t>
            </w:r>
            <w:r w:rsidR="006B5540" w:rsidRPr="000463A1">
              <w:br/>
            </w:r>
            <w:r w:rsidR="001F0BE3" w:rsidRPr="000463A1">
              <w:t>W</w:t>
            </w:r>
            <w:r w:rsidR="006B08DD" w:rsidRPr="000463A1">
              <w:t>issenschaftliche Mitarbeiterin</w:t>
            </w:r>
          </w:p>
          <w:p w14:paraId="3F92DFC9" w14:textId="56DBE2D2" w:rsidR="006B08DD" w:rsidRPr="000463A1" w:rsidRDefault="006B08DD" w:rsidP="006B08DD">
            <w:r w:rsidRPr="000463A1">
              <w:t>Institut für Diversität und inklusive Bildung</w:t>
            </w:r>
            <w:r w:rsidR="00994164">
              <w:t xml:space="preserve"> (IDB)</w:t>
            </w:r>
          </w:p>
          <w:p w14:paraId="619CB8CD" w14:textId="77777777" w:rsidR="006C3B6D" w:rsidRPr="000463A1" w:rsidRDefault="006C3B6D" w:rsidP="006C3B6D">
            <w:r w:rsidRPr="000463A1">
              <w:t>Pädagogische Hochschule Luzern</w:t>
            </w:r>
          </w:p>
          <w:p w14:paraId="15032233" w14:textId="2DD9A823" w:rsidR="001F0BE3" w:rsidRPr="000463A1" w:rsidRDefault="001F0BE3" w:rsidP="001F0BE3">
            <w:pPr>
              <w:pStyle w:val="Textkrper3"/>
            </w:pPr>
            <w:hyperlink r:id="rId20" w:history="1">
              <w:r w:rsidRPr="000463A1">
                <w:rPr>
                  <w:rStyle w:val="Hyperlink"/>
                </w:rPr>
                <w:t>federica.hofer@phlu.ch</w:t>
              </w:r>
            </w:hyperlink>
          </w:p>
        </w:tc>
        <w:tc>
          <w:tcPr>
            <w:tcW w:w="1530" w:type="pct"/>
          </w:tcPr>
          <w:p w14:paraId="3D16DBD0" w14:textId="3213D347" w:rsidR="006B5540" w:rsidRPr="000463A1" w:rsidRDefault="006B5540" w:rsidP="007B4390">
            <w:pPr>
              <w:pStyle w:val="Textkrper3"/>
            </w:pPr>
          </w:p>
        </w:tc>
      </w:tr>
    </w:tbl>
    <w:p w14:paraId="3CC138E1" w14:textId="1B00247D" w:rsidR="00D232F1" w:rsidRPr="000463A1" w:rsidRDefault="00D232F1" w:rsidP="007B4390">
      <w:pPr>
        <w:pStyle w:val="berschrift1"/>
      </w:pPr>
      <w:r w:rsidRPr="000463A1">
        <w:t>Literatur</w:t>
      </w:r>
    </w:p>
    <w:p w14:paraId="78498A37" w14:textId="56ADC0D2" w:rsidR="00AC7B1C" w:rsidRDefault="00AC7B1C" w:rsidP="005162D9">
      <w:pPr>
        <w:widowControl w:val="0"/>
        <w:pBdr>
          <w:top w:val="nil"/>
          <w:left w:val="nil"/>
          <w:bottom w:val="nil"/>
          <w:right w:val="nil"/>
          <w:between w:val="nil"/>
        </w:pBdr>
        <w:ind w:left="720" w:hanging="720"/>
      </w:pPr>
      <w:r w:rsidRPr="00AC7B1C">
        <w:t xml:space="preserve">Bartelheimer, P. &amp; Kädtler, J. (2012). Produktion und Teilhabe – Konzepte und Profil sozioökonomischer Berichterstattung. In Forschungsbund Sozioökonomische Berichterstattung (Hrsg.), </w:t>
      </w:r>
      <w:r w:rsidRPr="00BA03A9">
        <w:rPr>
          <w:i/>
          <w:iCs/>
        </w:rPr>
        <w:t>Berichterstattung zur sozioökonomischen Entwicklung in Deutschland – Teilhabe im Umbruch. Zweiter Bericht</w:t>
      </w:r>
      <w:r w:rsidRPr="00AC7B1C">
        <w:t xml:space="preserve"> (S.</w:t>
      </w:r>
      <w:r w:rsidR="00216D00">
        <w:t> </w:t>
      </w:r>
      <w:r w:rsidRPr="00AC7B1C">
        <w:t>41–85). VS Verlag</w:t>
      </w:r>
      <w:r w:rsidR="00343B68">
        <w:t xml:space="preserve"> für Sozialwissenschaften</w:t>
      </w:r>
      <w:r w:rsidRPr="00AC7B1C">
        <w:t>.</w:t>
      </w:r>
    </w:p>
    <w:p w14:paraId="6A95FCE5" w14:textId="55B412FE" w:rsidR="007D2200" w:rsidRPr="00EE1FA7" w:rsidRDefault="0070197C" w:rsidP="005162D9">
      <w:pPr>
        <w:widowControl w:val="0"/>
        <w:pBdr>
          <w:top w:val="nil"/>
          <w:left w:val="nil"/>
          <w:bottom w:val="nil"/>
          <w:right w:val="nil"/>
          <w:between w:val="nil"/>
        </w:pBdr>
        <w:ind w:left="720" w:hanging="720"/>
      </w:pPr>
      <w:r w:rsidRPr="000463A1">
        <w:t xml:space="preserve">Döbeli Honegger, B. (2022). Was unter </w:t>
      </w:r>
      <w:r w:rsidR="00C11A30">
        <w:t>«</w:t>
      </w:r>
      <w:r w:rsidRPr="000463A1">
        <w:t>Individuelle Förderung und Digitalität</w:t>
      </w:r>
      <w:r w:rsidR="00C11A30">
        <w:t>»</w:t>
      </w:r>
      <w:r w:rsidRPr="000463A1">
        <w:t xml:space="preserve"> verstanden wird, ist oft sehr individuell...</w:t>
      </w:r>
      <w:r w:rsidR="00C11A30">
        <w:t> </w:t>
      </w:r>
      <w:r w:rsidRPr="000463A1">
        <w:t xml:space="preserve">und wird zunehmend von der eingesetzten Software geprägt. </w:t>
      </w:r>
      <w:r w:rsidRPr="00EE1FA7">
        <w:rPr>
          <w:i/>
        </w:rPr>
        <w:t xml:space="preserve">DDS </w:t>
      </w:r>
      <w:r w:rsidR="00135F1E" w:rsidRPr="00EE1FA7">
        <w:t>–</w:t>
      </w:r>
      <w:r w:rsidRPr="00EE1FA7">
        <w:rPr>
          <w:i/>
        </w:rPr>
        <w:t xml:space="preserve"> Die Deutsche Schule</w:t>
      </w:r>
      <w:hyperlink r:id="rId21">
        <w:r w:rsidRPr="00EE1FA7">
          <w:t xml:space="preserve">, </w:t>
        </w:r>
      </w:hyperlink>
      <w:r w:rsidRPr="00EE1FA7">
        <w:rPr>
          <w:i/>
        </w:rPr>
        <w:t>114</w:t>
      </w:r>
      <w:r w:rsidR="00C11A30" w:rsidRPr="00EE1FA7">
        <w:rPr>
          <w:i/>
        </w:rPr>
        <w:t> </w:t>
      </w:r>
      <w:r w:rsidRPr="00AE0412">
        <w:t xml:space="preserve">(3), </w:t>
      </w:r>
      <w:r w:rsidRPr="00EE1FA7">
        <w:t>298–311.</w:t>
      </w:r>
      <w:r w:rsidR="00841BB7" w:rsidRPr="00EE1FA7">
        <w:t xml:space="preserve"> </w:t>
      </w:r>
      <w:hyperlink r:id="rId22" w:history="1">
        <w:r w:rsidR="007D2200" w:rsidRPr="00EE1FA7">
          <w:rPr>
            <w:rStyle w:val="Hyperlink"/>
          </w:rPr>
          <w:t>https://doi.org/10.31244/dds.2022.03.08</w:t>
        </w:r>
      </w:hyperlink>
    </w:p>
    <w:p w14:paraId="0AA17C97" w14:textId="4D089D4B" w:rsidR="00692413" w:rsidRPr="00EE1FA7" w:rsidRDefault="00937661" w:rsidP="0070197C">
      <w:pPr>
        <w:widowControl w:val="0"/>
        <w:pBdr>
          <w:top w:val="nil"/>
          <w:left w:val="nil"/>
          <w:bottom w:val="nil"/>
          <w:right w:val="nil"/>
          <w:between w:val="nil"/>
        </w:pBdr>
        <w:ind w:left="720" w:hanging="720"/>
      </w:pPr>
      <w:r w:rsidRPr="0073682E">
        <w:t>Florian, L. &amp; Black-Hawkins</w:t>
      </w:r>
      <w:r w:rsidR="00692413" w:rsidRPr="0073682E">
        <w:t>, K. (2011).</w:t>
      </w:r>
      <w:r w:rsidR="00216D00" w:rsidRPr="0073682E">
        <w:t xml:space="preserve"> </w:t>
      </w:r>
      <w:r w:rsidR="00554A27">
        <w:rPr>
          <w:lang w:val="en-US"/>
        </w:rPr>
        <w:t xml:space="preserve">Exploring inclusive pedagogy. </w:t>
      </w:r>
      <w:r w:rsidR="00554A27" w:rsidRPr="00216D00">
        <w:rPr>
          <w:i/>
          <w:iCs/>
          <w:lang w:val="en-US"/>
        </w:rPr>
        <w:t>British Educational Research Journal</w:t>
      </w:r>
      <w:r w:rsidR="008735B0" w:rsidRPr="00216D00">
        <w:rPr>
          <w:i/>
          <w:iCs/>
          <w:lang w:val="en-US"/>
        </w:rPr>
        <w:t>,</w:t>
      </w:r>
      <w:r w:rsidR="00554A27" w:rsidRPr="00216D00">
        <w:rPr>
          <w:i/>
          <w:iCs/>
          <w:lang w:val="en-US"/>
        </w:rPr>
        <w:t xml:space="preserve"> </w:t>
      </w:r>
      <w:r w:rsidR="008735B0" w:rsidRPr="00216D00">
        <w:rPr>
          <w:i/>
          <w:iCs/>
          <w:lang w:val="en-US"/>
        </w:rPr>
        <w:t>37</w:t>
      </w:r>
      <w:r w:rsidR="00216D00">
        <w:rPr>
          <w:i/>
          <w:iCs/>
          <w:lang w:val="en-US"/>
        </w:rPr>
        <w:t> </w:t>
      </w:r>
      <w:r w:rsidR="008735B0">
        <w:rPr>
          <w:lang w:val="en-US"/>
        </w:rPr>
        <w:t>(5), 813</w:t>
      </w:r>
      <w:r w:rsidR="00216D00">
        <w:rPr>
          <w:lang w:val="en-US"/>
        </w:rPr>
        <w:t>–</w:t>
      </w:r>
      <w:r w:rsidR="008735B0">
        <w:rPr>
          <w:lang w:val="en-US"/>
        </w:rPr>
        <w:t>828.</w:t>
      </w:r>
      <w:r w:rsidR="00BB3192">
        <w:rPr>
          <w:lang w:val="en-US"/>
        </w:rPr>
        <w:t xml:space="preserve"> </w:t>
      </w:r>
      <w:hyperlink r:id="rId23" w:history="1">
        <w:r w:rsidR="00216D00" w:rsidRPr="00EE1FA7">
          <w:rPr>
            <w:rStyle w:val="Hyperlink"/>
          </w:rPr>
          <w:t>https://doi.org/10.1080/01411926.2010.501096</w:t>
        </w:r>
      </w:hyperlink>
    </w:p>
    <w:p w14:paraId="5BB58EA4" w14:textId="64AE37D9" w:rsidR="0070197C" w:rsidRDefault="0070197C" w:rsidP="0070197C">
      <w:pPr>
        <w:widowControl w:val="0"/>
        <w:pBdr>
          <w:top w:val="nil"/>
          <w:left w:val="nil"/>
          <w:bottom w:val="nil"/>
          <w:right w:val="nil"/>
          <w:between w:val="nil"/>
        </w:pBdr>
        <w:ind w:left="720" w:hanging="720"/>
      </w:pPr>
      <w:r w:rsidRPr="00F42612">
        <w:t xml:space="preserve">Hummrich, M. (2022). </w:t>
      </w:r>
      <w:r w:rsidRPr="000463A1">
        <w:t xml:space="preserve">Schule und Raum. Inklusion und Exklusion als Prozessdimensionen sozialer Differenzierung. </w:t>
      </w:r>
      <w:r w:rsidRPr="000463A1">
        <w:rPr>
          <w:i/>
        </w:rPr>
        <w:t>Die deutsche Schule</w:t>
      </w:r>
      <w:hyperlink r:id="rId24">
        <w:r w:rsidRPr="000463A1">
          <w:t xml:space="preserve">, </w:t>
        </w:r>
      </w:hyperlink>
      <w:hyperlink r:id="rId25">
        <w:r w:rsidRPr="000463A1">
          <w:rPr>
            <w:i/>
          </w:rPr>
          <w:t>114</w:t>
        </w:r>
      </w:hyperlink>
      <w:r w:rsidR="002F182B">
        <w:rPr>
          <w:i/>
        </w:rPr>
        <w:t> </w:t>
      </w:r>
      <w:r w:rsidRPr="000463A1">
        <w:t>(1), 22–33.</w:t>
      </w:r>
      <w:r w:rsidR="004875E1" w:rsidRPr="000463A1">
        <w:t xml:space="preserve"> </w:t>
      </w:r>
      <w:hyperlink r:id="rId26" w:history="1">
        <w:r w:rsidR="002F182B" w:rsidRPr="001A05B3">
          <w:rPr>
            <w:rStyle w:val="Hyperlink"/>
          </w:rPr>
          <w:t>https://doi.org/10.25656/01:24320</w:t>
        </w:r>
      </w:hyperlink>
    </w:p>
    <w:p w14:paraId="5F2E019E" w14:textId="261F9737" w:rsidR="0070197C" w:rsidRPr="000463A1" w:rsidRDefault="0070197C" w:rsidP="0070197C">
      <w:pPr>
        <w:widowControl w:val="0"/>
        <w:pBdr>
          <w:top w:val="nil"/>
          <w:left w:val="nil"/>
          <w:bottom w:val="nil"/>
          <w:right w:val="nil"/>
          <w:between w:val="nil"/>
        </w:pBdr>
        <w:ind w:left="720" w:hanging="720"/>
        <w:rPr>
          <w:sz w:val="18"/>
          <w:szCs w:val="18"/>
        </w:rPr>
      </w:pPr>
      <w:r w:rsidRPr="000463A1">
        <w:t xml:space="preserve">von Kardorff, E. (2014). Partizipation im aktuellen gesellschaftlichen Diskurs – Anmerkungen zur Vielfalt eines Konzepts und seiner Rolle in der Sozialarbeit. </w:t>
      </w:r>
      <w:r w:rsidRPr="000463A1">
        <w:rPr>
          <w:i/>
        </w:rPr>
        <w:t>Archiv für Wissenschaft und Praxis der sozialen Arbeit</w:t>
      </w:r>
      <w:r w:rsidRPr="000463A1">
        <w:t>, 2, 4–15.</w:t>
      </w:r>
    </w:p>
    <w:p w14:paraId="0300F4A7" w14:textId="0E69C0B9" w:rsidR="0070197C" w:rsidRPr="000463A1" w:rsidRDefault="0070197C" w:rsidP="0070197C">
      <w:pPr>
        <w:widowControl w:val="0"/>
        <w:pBdr>
          <w:top w:val="nil"/>
          <w:left w:val="nil"/>
          <w:bottom w:val="nil"/>
          <w:right w:val="nil"/>
          <w:between w:val="nil"/>
        </w:pBdr>
        <w:ind w:left="720" w:hanging="720"/>
        <w:rPr>
          <w:sz w:val="18"/>
          <w:szCs w:val="18"/>
        </w:rPr>
      </w:pPr>
      <w:r w:rsidRPr="000463A1">
        <w:t xml:space="preserve">Löw, M. (2015). </w:t>
      </w:r>
      <w:r w:rsidRPr="000463A1">
        <w:rPr>
          <w:i/>
        </w:rPr>
        <w:t>Raumsoziologie</w:t>
      </w:r>
      <w:r w:rsidRPr="000463A1">
        <w:t xml:space="preserve"> (8.</w:t>
      </w:r>
      <w:r w:rsidR="005A778A">
        <w:t> </w:t>
      </w:r>
      <w:r w:rsidRPr="000463A1">
        <w:t>Aufl</w:t>
      </w:r>
      <w:r w:rsidR="00366229">
        <w:t>.</w:t>
      </w:r>
      <w:r w:rsidRPr="000463A1">
        <w:t>). Suhrkamp.</w:t>
      </w:r>
    </w:p>
    <w:p w14:paraId="56B64D82" w14:textId="0A1320C6" w:rsidR="0070197C" w:rsidRPr="000463A1" w:rsidRDefault="0070197C" w:rsidP="0070197C">
      <w:pPr>
        <w:widowControl w:val="0"/>
        <w:pBdr>
          <w:top w:val="nil"/>
          <w:left w:val="nil"/>
          <w:bottom w:val="nil"/>
          <w:right w:val="nil"/>
          <w:between w:val="nil"/>
        </w:pBdr>
        <w:ind w:left="720" w:hanging="720"/>
        <w:rPr>
          <w:sz w:val="18"/>
          <w:szCs w:val="18"/>
        </w:rPr>
      </w:pPr>
      <w:r w:rsidRPr="000463A1">
        <w:t xml:space="preserve">Löw, M. &amp; Weidenhaus, G. (2018). Relationale Räume mit Grenzen. Grundbegriffe der Analyse alltagsweltlicher Raumphänomene. In A. Brenneis, O. Honer, S. Keesser, A. Ripper &amp; S. Vetter-Schultheiss (Hrsg.), </w:t>
      </w:r>
      <w:r w:rsidRPr="000463A1">
        <w:rPr>
          <w:i/>
        </w:rPr>
        <w:t xml:space="preserve">Technik </w:t>
      </w:r>
      <w:r w:rsidR="00D07BAC" w:rsidRPr="000463A1">
        <w:t>–</w:t>
      </w:r>
      <w:r w:rsidRPr="000463A1">
        <w:rPr>
          <w:i/>
        </w:rPr>
        <w:t xml:space="preserve"> Macht </w:t>
      </w:r>
      <w:r w:rsidR="00D07BAC" w:rsidRPr="000463A1">
        <w:t>–</w:t>
      </w:r>
      <w:r w:rsidRPr="000463A1">
        <w:rPr>
          <w:i/>
        </w:rPr>
        <w:t xml:space="preserve"> Raum. Technikzukünfte, Wissenschaft und Gesellschaft</w:t>
      </w:r>
      <w:r w:rsidRPr="000463A1">
        <w:t xml:space="preserve"> (S.</w:t>
      </w:r>
      <w:r w:rsidR="005A778A">
        <w:t> </w:t>
      </w:r>
      <w:r w:rsidRPr="000463A1">
        <w:t>207–227). VS Verlag für Sozialwissenschaften.</w:t>
      </w:r>
    </w:p>
    <w:p w14:paraId="476B00B9" w14:textId="7A088DA4" w:rsidR="005F220E" w:rsidRPr="005F220E" w:rsidRDefault="005F220E" w:rsidP="005F220E">
      <w:pPr>
        <w:widowControl w:val="0"/>
        <w:pBdr>
          <w:top w:val="nil"/>
          <w:left w:val="nil"/>
          <w:bottom w:val="nil"/>
          <w:right w:val="nil"/>
          <w:between w:val="nil"/>
        </w:pBdr>
        <w:ind w:left="720" w:hanging="720"/>
      </w:pPr>
      <w:r w:rsidRPr="00EE1FA7">
        <w:t>Ryan, R.</w:t>
      </w:r>
      <w:r w:rsidR="00216D00" w:rsidRPr="00EE1FA7">
        <w:t> </w:t>
      </w:r>
      <w:r w:rsidRPr="00EE1FA7">
        <w:t>M. &amp; Deci, E.</w:t>
      </w:r>
      <w:r w:rsidR="00216D00" w:rsidRPr="00EE1FA7">
        <w:t> </w:t>
      </w:r>
      <w:r w:rsidRPr="00EE1FA7">
        <w:t xml:space="preserve">L. (2000). </w:t>
      </w:r>
      <w:r w:rsidRPr="00216D00">
        <w:rPr>
          <w:lang w:val="en-US"/>
        </w:rPr>
        <w:t xml:space="preserve">Self-determination theory and the facilitation of intrinsic motivation, social development, and well-being. </w:t>
      </w:r>
      <w:r w:rsidRPr="005F220E">
        <w:rPr>
          <w:i/>
          <w:iCs/>
        </w:rPr>
        <w:t>American Psychologist, 55</w:t>
      </w:r>
      <w:r w:rsidR="00216D00">
        <w:rPr>
          <w:i/>
          <w:iCs/>
        </w:rPr>
        <w:t> </w:t>
      </w:r>
      <w:r w:rsidRPr="005F220E">
        <w:t xml:space="preserve">(1), 68–78. </w:t>
      </w:r>
      <w:hyperlink r:id="rId27" w:tgtFrame="_blank" w:tooltip="https://psycnet.apa.org/doi/10.1037/0003-066x.55.1.68" w:history="1">
        <w:r w:rsidRPr="005F220E">
          <w:rPr>
            <w:rStyle w:val="Hyperlink"/>
          </w:rPr>
          <w:t>https://doi.org/10.1037/0003-066X.55.1.68</w:t>
        </w:r>
      </w:hyperlink>
    </w:p>
    <w:p w14:paraId="5800E407" w14:textId="1E4962EE" w:rsidR="003A0A42" w:rsidRPr="003E5E6E" w:rsidRDefault="0070197C" w:rsidP="00732C74">
      <w:pPr>
        <w:widowControl w:val="0"/>
        <w:pBdr>
          <w:top w:val="nil"/>
          <w:left w:val="nil"/>
          <w:bottom w:val="nil"/>
          <w:right w:val="nil"/>
          <w:between w:val="nil"/>
        </w:pBdr>
        <w:ind w:left="720" w:hanging="720"/>
      </w:pPr>
      <w:r w:rsidRPr="000463A1">
        <w:t xml:space="preserve">Troeger, J., Zakharova, I., Macgilchrist, F. &amp; Jarke, J. (2023). Digital ist besser!? </w:t>
      </w:r>
      <w:r w:rsidR="00D07BAC" w:rsidRPr="000463A1">
        <w:t>–</w:t>
      </w:r>
      <w:r w:rsidRPr="000463A1">
        <w:t xml:space="preserve"> Wie Software das Verständnis von guter Schule neu definiert. In A. Bock, A. Breiter, S. Hartong, J. Jarke, S. Jornitz, A. Lange </w:t>
      </w:r>
      <w:r w:rsidR="0066295F" w:rsidRPr="000463A1">
        <w:t>&amp; F. Ma</w:t>
      </w:r>
      <w:r w:rsidR="00670F80" w:rsidRPr="000463A1">
        <w:t xml:space="preserve">cgilchrist </w:t>
      </w:r>
      <w:r w:rsidRPr="000463A1">
        <w:t xml:space="preserve">(Hrsg.), </w:t>
      </w:r>
      <w:r w:rsidRPr="000463A1">
        <w:rPr>
          <w:i/>
        </w:rPr>
        <w:t>Die datafizierte Schule</w:t>
      </w:r>
      <w:r w:rsidRPr="000463A1">
        <w:t xml:space="preserve"> (S.</w:t>
      </w:r>
      <w:r w:rsidR="005A778A">
        <w:t> </w:t>
      </w:r>
      <w:r w:rsidRPr="000463A1">
        <w:t>93–130). Springer VS</w:t>
      </w:r>
      <w:r w:rsidR="00732C74">
        <w:t xml:space="preserve">. </w:t>
      </w:r>
      <w:hyperlink r:id="rId28" w:history="1">
        <w:r w:rsidR="00732C74" w:rsidRPr="00732C74">
          <w:rPr>
            <w:rStyle w:val="Hyperlink"/>
          </w:rPr>
          <w:t>https://doi.org/10.1007/978-3-658-38651-</w:t>
        </w:r>
        <w:r w:rsidR="00732C74" w:rsidRPr="001A05B3">
          <w:rPr>
            <w:rStyle w:val="Hyperlink"/>
          </w:rPr>
          <w:t>1</w:t>
        </w:r>
      </w:hyperlink>
    </w:p>
    <w:sectPr w:rsidR="003A0A42" w:rsidRPr="003E5E6E" w:rsidSect="00907031">
      <w:headerReference w:type="default" r:id="rId29"/>
      <w:footerReference w:type="default" r:id="rId30"/>
      <w:pgSz w:w="11907" w:h="16840" w:code="9"/>
      <w:pgMar w:top="1418" w:right="1418" w:bottom="1134" w:left="1418" w:header="720" w:footer="567" w:gutter="0"/>
      <w:pgNumType w:start="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A8088" w14:textId="77777777" w:rsidR="00FA08A5" w:rsidRDefault="00FA08A5">
      <w:pPr>
        <w:spacing w:line="240" w:lineRule="auto"/>
      </w:pPr>
      <w:r>
        <w:separator/>
      </w:r>
    </w:p>
  </w:endnote>
  <w:endnote w:type="continuationSeparator" w:id="0">
    <w:p w14:paraId="5D1F2136" w14:textId="77777777" w:rsidR="00FA08A5" w:rsidRDefault="00FA08A5">
      <w:pPr>
        <w:spacing w:line="240" w:lineRule="auto"/>
      </w:pPr>
      <w:r>
        <w:continuationSeparator/>
      </w:r>
    </w:p>
  </w:endnote>
  <w:endnote w:type="continuationNotice" w:id="1">
    <w:p w14:paraId="45B26BA6" w14:textId="77777777" w:rsidR="00FA08A5" w:rsidRDefault="00FA08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4E933006-F9EA-4BA1-B8BC-4E2E76AC8E73}"/>
    <w:embedBold r:id="rId2" w:fontKey="{20B6C8E8-55C7-408F-980B-5A3DA39FFE1E}"/>
    <w:embedItalic r:id="rId3" w:fontKey="{6B328455-C748-4EE4-AD48-1B306C082EA5}"/>
    <w:embedBoldItalic r:id="rId4" w:fontKey="{5A5C5487-B50A-456B-B0EC-24B7414F91C4}"/>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Condensed SemiCon">
    <w:altName w:val="Times New Roman"/>
    <w:charset w:val="00"/>
    <w:family w:val="auto"/>
    <w:pitch w:val="variable"/>
    <w:sig w:usb0="E00002FF" w:usb1="4000201B" w:usb2="00000028"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88F75" w14:textId="2EDA4888" w:rsidR="004B3A29" w:rsidRPr="007B448B" w:rsidRDefault="0073682E" w:rsidP="001D3BFB">
    <w:pPr>
      <w:pStyle w:val="Fuzeile"/>
      <w:rPr>
        <w:szCs w:val="22"/>
      </w:rPr>
    </w:pPr>
    <w:r w:rsidRPr="0073682E">
      <w:rPr>
        <w:rFonts w:eastAsia="Open Sans SemiCondensed" w:cs="Times New Roman"/>
        <w:noProof/>
        <w:sz w:val="20"/>
        <w:lang w:val="en-US"/>
      </w:rPr>
      <mc:AlternateContent>
        <mc:Choice Requires="wps">
          <w:drawing>
            <wp:anchor distT="0" distB="0" distL="114300" distR="114300" simplePos="0" relativeHeight="251660288" behindDoc="0" locked="0" layoutInCell="1" allowOverlap="1" wp14:anchorId="071D4295" wp14:editId="5A045048">
              <wp:simplePos x="0" y="0"/>
              <wp:positionH relativeFrom="column">
                <wp:posOffset>-1162050</wp:posOffset>
              </wp:positionH>
              <wp:positionV relativeFrom="paragraph">
                <wp:posOffset>-647700</wp:posOffset>
              </wp:positionV>
              <wp:extent cx="1086886" cy="356237"/>
              <wp:effectExtent l="288925" t="0" r="288290"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86886" cy="356237"/>
                      </a:xfrm>
                      <a:prstGeom prst="rect">
                        <a:avLst/>
                      </a:prstGeom>
                      <a:noFill/>
                      <a:ln>
                        <a:noFill/>
                      </a:ln>
                    </wps:spPr>
                    <wps:txbx>
                      <w:txbxContent>
                        <w:p w14:paraId="3E7E4B9F" w14:textId="77777777" w:rsidR="0073682E" w:rsidRPr="00787B6E" w:rsidRDefault="0073682E" w:rsidP="0073682E">
                          <w:pPr>
                            <w:rPr>
                              <w:rFonts w:eastAsia="+mn-ea" w:cs="Open Sans SemiCondensed"/>
                              <w:b/>
                              <w:bCs/>
                              <w:color w:val="252B46"/>
                              <w:kern w:val="24"/>
                              <w:sz w:val="28"/>
                              <w:szCs w:val="28"/>
                            </w:rPr>
                          </w:pP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 </w:t>
                          </w: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D4295" id="Rechteck 1" o:spid="_x0000_s1029" style="position:absolute;margin-left:-91.5pt;margin-top:-51pt;width:85.6pt;height:28.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" filled="f" stroked="f">
              <v:textbox style="layout-flow:vertical;mso-layout-flow-alt:bottom-to-top">
                <w:txbxContent>
                  <w:p w14:paraId="3E7E4B9F" w14:textId="77777777" w:rsidR="0073682E" w:rsidRPr="00787B6E" w:rsidRDefault="0073682E" w:rsidP="0073682E">
                    <w:pPr>
                      <w:rPr>
                        <w:rFonts w:eastAsia="+mn-ea" w:cs="Open Sans SemiCondensed"/>
                        <w:b/>
                        <w:bCs/>
                        <w:color w:val="252B46"/>
                        <w:kern w:val="24"/>
                        <w:sz w:val="28"/>
                        <w:szCs w:val="28"/>
                      </w:rPr>
                    </w:pP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 </w:t>
                    </w:r>
                    <w:r w:rsidRPr="00787B6E">
                      <w:rPr>
                        <w:rFonts w:eastAsia="+mn-ea" w:cs="Open Sans SemiCondensed"/>
                        <w:b/>
                        <w:bCs/>
                        <w:color w:val="252B46"/>
                        <w:kern w:val="24"/>
                        <w:sz w:val="28"/>
                        <w:szCs w:val="28"/>
                      </w:rPr>
                      <w:t>:</w:t>
                    </w:r>
                    <w:r>
                      <w:rPr>
                        <w:rFonts w:eastAsia="+mn-ea" w:cs="Open Sans SemiCondensed"/>
                        <w:b/>
                        <w:bCs/>
                        <w:color w:val="252B46"/>
                        <w:kern w:val="24"/>
                        <w:sz w:val="28"/>
                        <w:szCs w:val="28"/>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6C5C8" w14:textId="77777777" w:rsidR="00FA08A5" w:rsidRPr="00777A2F" w:rsidRDefault="00FA08A5"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87E8F93" w14:textId="77777777" w:rsidR="00FA08A5" w:rsidRDefault="00FA08A5">
      <w:r>
        <w:continuationSeparator/>
      </w:r>
    </w:p>
  </w:footnote>
  <w:footnote w:type="continuationNotice" w:id="1">
    <w:p w14:paraId="0C89E932" w14:textId="77777777" w:rsidR="00FA08A5" w:rsidRDefault="00FA08A5">
      <w:pPr>
        <w:spacing w:line="240" w:lineRule="auto"/>
      </w:pPr>
    </w:p>
  </w:footnote>
  <w:footnote w:id="2">
    <w:p w14:paraId="1C401B85" w14:textId="6628F643" w:rsidR="00EB2913" w:rsidRDefault="00EB2913">
      <w:pPr>
        <w:pStyle w:val="Funotentext"/>
      </w:pPr>
      <w:r>
        <w:rPr>
          <w:rStyle w:val="Funotenzeichen"/>
        </w:rPr>
        <w:footnoteRef/>
      </w:r>
      <w:r>
        <w:t xml:space="preserve"> </w:t>
      </w:r>
      <w:r w:rsidR="006F3AE6">
        <w:t>Wir schliessen hier ans Verständnis von Teilhabe und Ausschluss im Kontext der Ungleichheits</w:t>
      </w:r>
      <w:r w:rsidR="00CE795E">
        <w:t xml:space="preserve">theorie an, die </w:t>
      </w:r>
      <w:r w:rsidR="0028730C">
        <w:t>diese Begriffe</w:t>
      </w:r>
      <w:r w:rsidR="00CE795E">
        <w:t xml:space="preserve"> als gegensätzlich versteht (</w:t>
      </w:r>
      <w:r w:rsidR="00A11FA6">
        <w:t xml:space="preserve">Bartelheimer &amp; </w:t>
      </w:r>
      <w:r w:rsidR="000E38A0">
        <w:t>Kädtler, 2012).</w:t>
      </w:r>
    </w:p>
  </w:footnote>
  <w:footnote w:id="3">
    <w:p w14:paraId="63772FD3" w14:textId="3531A247" w:rsidR="001C1F98" w:rsidRDefault="001C1F98">
      <w:pPr>
        <w:pStyle w:val="Funotentext"/>
      </w:pPr>
      <w:r>
        <w:rPr>
          <w:rStyle w:val="Funotenzeichen"/>
        </w:rPr>
        <w:footnoteRef/>
      </w:r>
      <w:r>
        <w:t xml:space="preserve"> </w:t>
      </w:r>
      <w:r w:rsidR="00815EB4">
        <w:t xml:space="preserve">Die </w:t>
      </w:r>
      <w:r w:rsidRPr="001C1F98">
        <w:t xml:space="preserve">internationalen Standards für barrierefreie Webinhalte (WCAG, </w:t>
      </w:r>
      <w:hyperlink r:id="rId1" w:history="1">
        <w:r w:rsidR="00CD35BE" w:rsidRPr="001A05B3">
          <w:rPr>
            <w:rStyle w:val="Hyperlink"/>
            <w:sz w:val="18"/>
          </w:rPr>
          <w:t>www.access-for-all.ch</w:t>
        </w:r>
      </w:hyperlink>
      <w:r w:rsidRPr="001C1F98">
        <w:t xml:space="preserve">) </w:t>
      </w:r>
      <w:r w:rsidR="00815EB4">
        <w:t xml:space="preserve">bieten eine Hilfestellung </w:t>
      </w:r>
      <w:r w:rsidR="00B8424B">
        <w:t>zu</w:t>
      </w:r>
      <w:r w:rsidRPr="001C1F98">
        <w:t>m Umgang mit diesen Herausforderungen.</w:t>
      </w:r>
    </w:p>
  </w:footnote>
  <w:footnote w:id="4">
    <w:p w14:paraId="779D460A" w14:textId="4A8EA08C" w:rsidR="00656E8E" w:rsidRDefault="00656E8E">
      <w:pPr>
        <w:pStyle w:val="Funotentext"/>
      </w:pPr>
      <w:r>
        <w:rPr>
          <w:rStyle w:val="Funotenzeichen"/>
        </w:rPr>
        <w:footnoteRef/>
      </w:r>
      <w:r>
        <w:t xml:space="preserve"> </w:t>
      </w:r>
      <w:r w:rsidR="00294186">
        <w:t>Florian un</w:t>
      </w:r>
      <w:r w:rsidR="000C2B0B">
        <w:t>d</w:t>
      </w:r>
      <w:r w:rsidR="00294186">
        <w:t xml:space="preserve"> </w:t>
      </w:r>
      <w:r w:rsidR="00351DC2">
        <w:t>Black-Hawkins (201</w:t>
      </w:r>
      <w:r w:rsidR="00CA6AB2">
        <w:t>1</w:t>
      </w:r>
      <w:r w:rsidR="00351DC2">
        <w:t xml:space="preserve">) </w:t>
      </w:r>
      <w:r w:rsidR="00CA6AB2">
        <w:t xml:space="preserve">präsentieren in ihrem Artikel </w:t>
      </w:r>
      <w:r w:rsidR="00A245B5">
        <w:t>mit dem</w:t>
      </w:r>
      <w:r w:rsidR="00CA6AB2">
        <w:t xml:space="preserve"> «Framework of Participation»</w:t>
      </w:r>
      <w:r w:rsidR="00A245B5">
        <w:t xml:space="preserve"> ein ähnliches Modell</w:t>
      </w:r>
      <w:r w:rsidR="00CA6AB2">
        <w:t xml:space="preserve">, das </w:t>
      </w:r>
      <w:r w:rsidR="000C2B0B">
        <w:t xml:space="preserve">den Fokus im Unterschied zu von Kardorff (2014) </w:t>
      </w:r>
      <w:r w:rsidR="00A245B5">
        <w:t xml:space="preserve">jedoch </w:t>
      </w:r>
      <w:r w:rsidR="000C2B0B">
        <w:t xml:space="preserve">stärker auf die Lehrpersonensicht </w:t>
      </w:r>
      <w:r w:rsidR="002E05DD">
        <w:t>auf inklusiven Unterricht legt.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A562" w14:textId="6D694DCC" w:rsidR="007B448B" w:rsidRPr="0030000C"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5CFE6E8B" wp14:editId="27E3ABFB">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C1057"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30000C">
      <w:rPr>
        <w:lang w:val="de-CH"/>
      </w:rPr>
      <w:t>INKLUSIVE LERNRÄUME</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30000C">
      <w:rPr>
        <w:b w:val="0"/>
        <w:bCs/>
        <w:lang w:val="de-CH"/>
      </w:rPr>
      <w:t>30</w:t>
    </w:r>
    <w:r w:rsidR="00237079" w:rsidRPr="00237079">
      <w:rPr>
        <w:b w:val="0"/>
        <w:bCs/>
        <w:lang w:val="de-CH"/>
      </w:rPr>
      <w:t xml:space="preserve">, </w:t>
    </w:r>
    <w:r w:rsidR="0030000C">
      <w:rPr>
        <w:b w:val="0"/>
        <w:bCs/>
        <w:lang w:val="de-CH"/>
      </w:rPr>
      <w:t>08</w:t>
    </w:r>
    <w:r w:rsidR="00237079" w:rsidRPr="00237079">
      <w:rPr>
        <w:b w:val="0"/>
        <w:bCs/>
        <w:lang w:val="de-CH"/>
      </w:rPr>
      <w:t>/</w:t>
    </w:r>
    <w:r w:rsidR="0030000C">
      <w:rPr>
        <w:b w:val="0"/>
        <w:bCs/>
        <w:lang w:val="de-CH"/>
      </w:rPr>
      <w:t>2024</w:t>
    </w:r>
  </w:p>
  <w:p w14:paraId="137A0C76" w14:textId="4CD85B05" w:rsidR="00237079" w:rsidRPr="00F21F42" w:rsidRDefault="00B7489C" w:rsidP="00F21F42">
    <w:pPr>
      <w:pStyle w:val="Themenschwerpunkt"/>
      <w:rPr>
        <w:b w:val="0"/>
        <w:bCs/>
        <w:lang w:val="de-CH"/>
      </w:rPr>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2848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5A32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9CD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285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85A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4270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C425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853137C"/>
    <w:multiLevelType w:val="multilevel"/>
    <w:tmpl w:val="4468C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6"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CC31B3"/>
    <w:multiLevelType w:val="multilevel"/>
    <w:tmpl w:val="E324888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3"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4176099"/>
    <w:multiLevelType w:val="hybridMultilevel"/>
    <w:tmpl w:val="52F86A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6"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5"/>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2"/>
  </w:num>
  <w:num w:numId="13" w16cid:durableId="1517846161">
    <w:abstractNumId w:val="30"/>
  </w:num>
  <w:num w:numId="14" w16cid:durableId="1128471426">
    <w:abstractNumId w:val="11"/>
  </w:num>
  <w:num w:numId="15" w16cid:durableId="1886675913">
    <w:abstractNumId w:val="28"/>
  </w:num>
  <w:num w:numId="16" w16cid:durableId="669143170">
    <w:abstractNumId w:val="40"/>
  </w:num>
  <w:num w:numId="17" w16cid:durableId="1816487952">
    <w:abstractNumId w:val="12"/>
  </w:num>
  <w:num w:numId="18" w16cid:durableId="1320425882">
    <w:abstractNumId w:val="35"/>
  </w:num>
  <w:num w:numId="19" w16cid:durableId="574709185">
    <w:abstractNumId w:val="43"/>
  </w:num>
  <w:num w:numId="20" w16cid:durableId="11883124">
    <w:abstractNumId w:val="41"/>
  </w:num>
  <w:num w:numId="21" w16cid:durableId="379716589">
    <w:abstractNumId w:val="29"/>
  </w:num>
  <w:num w:numId="22" w16cid:durableId="2088532560">
    <w:abstractNumId w:val="16"/>
  </w:num>
  <w:num w:numId="23" w16cid:durableId="904416417">
    <w:abstractNumId w:val="33"/>
  </w:num>
  <w:num w:numId="24" w16cid:durableId="1284269733">
    <w:abstractNumId w:val="37"/>
  </w:num>
  <w:num w:numId="25" w16cid:durableId="1202477524">
    <w:abstractNumId w:val="23"/>
  </w:num>
  <w:num w:numId="26" w16cid:durableId="93403316">
    <w:abstractNumId w:val="24"/>
  </w:num>
  <w:num w:numId="27" w16cid:durableId="1629702137">
    <w:abstractNumId w:val="31"/>
  </w:num>
  <w:num w:numId="28" w16cid:durableId="1363939546">
    <w:abstractNumId w:val="25"/>
  </w:num>
  <w:num w:numId="29" w16cid:durableId="1104112459">
    <w:abstractNumId w:val="38"/>
  </w:num>
  <w:num w:numId="30" w16cid:durableId="461922985">
    <w:abstractNumId w:val="39"/>
  </w:num>
  <w:num w:numId="31" w16cid:durableId="1674143091">
    <w:abstractNumId w:val="20"/>
  </w:num>
  <w:num w:numId="32" w16cid:durableId="383021627">
    <w:abstractNumId w:val="18"/>
  </w:num>
  <w:num w:numId="33" w16cid:durableId="930551164">
    <w:abstractNumId w:val="32"/>
  </w:num>
  <w:num w:numId="34" w16cid:durableId="603652748">
    <w:abstractNumId w:val="42"/>
  </w:num>
  <w:num w:numId="35" w16cid:durableId="391268124">
    <w:abstractNumId w:val="36"/>
  </w:num>
  <w:num w:numId="36" w16cid:durableId="139350252">
    <w:abstractNumId w:val="27"/>
  </w:num>
  <w:num w:numId="37" w16cid:durableId="1571379088">
    <w:abstractNumId w:val="21"/>
  </w:num>
  <w:num w:numId="38" w16cid:durableId="1164659798">
    <w:abstractNumId w:val="34"/>
  </w:num>
  <w:num w:numId="39" w16cid:durableId="1291790616">
    <w:abstractNumId w:val="14"/>
  </w:num>
  <w:num w:numId="40" w16cid:durableId="1479614155">
    <w:abstractNumId w:val="10"/>
  </w:num>
  <w:num w:numId="41" w16cid:durableId="1818760894">
    <w:abstractNumId w:val="17"/>
  </w:num>
  <w:num w:numId="42" w16cid:durableId="345837390">
    <w:abstractNumId w:val="13"/>
  </w:num>
  <w:num w:numId="43" w16cid:durableId="1480804379">
    <w:abstractNumId w:val="19"/>
  </w:num>
  <w:num w:numId="44" w16cid:durableId="1104806466">
    <w:abstractNumId w:val="26"/>
  </w:num>
  <w:num w:numId="45" w16cid:durableId="669525633">
    <w:abstractNumId w:val="1"/>
  </w:num>
  <w:num w:numId="46" w16cid:durableId="16043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8D"/>
    <w:rsid w:val="00000754"/>
    <w:rsid w:val="00001F46"/>
    <w:rsid w:val="00013301"/>
    <w:rsid w:val="0001441D"/>
    <w:rsid w:val="00015C87"/>
    <w:rsid w:val="00016375"/>
    <w:rsid w:val="00016BFF"/>
    <w:rsid w:val="00020A29"/>
    <w:rsid w:val="000222DF"/>
    <w:rsid w:val="00023AA7"/>
    <w:rsid w:val="00024143"/>
    <w:rsid w:val="000302CB"/>
    <w:rsid w:val="0003314D"/>
    <w:rsid w:val="000348E6"/>
    <w:rsid w:val="000352CE"/>
    <w:rsid w:val="00035BAA"/>
    <w:rsid w:val="00036063"/>
    <w:rsid w:val="00036AFC"/>
    <w:rsid w:val="0003759C"/>
    <w:rsid w:val="000376B9"/>
    <w:rsid w:val="00043AC5"/>
    <w:rsid w:val="00045F65"/>
    <w:rsid w:val="00046117"/>
    <w:rsid w:val="000463A1"/>
    <w:rsid w:val="00053291"/>
    <w:rsid w:val="00053353"/>
    <w:rsid w:val="00056ABE"/>
    <w:rsid w:val="00063764"/>
    <w:rsid w:val="0006794E"/>
    <w:rsid w:val="00067C03"/>
    <w:rsid w:val="000759D7"/>
    <w:rsid w:val="000801DC"/>
    <w:rsid w:val="00085EA5"/>
    <w:rsid w:val="00085F6D"/>
    <w:rsid w:val="000A2D23"/>
    <w:rsid w:val="000A69BC"/>
    <w:rsid w:val="000B2181"/>
    <w:rsid w:val="000B5BB8"/>
    <w:rsid w:val="000C1275"/>
    <w:rsid w:val="000C2339"/>
    <w:rsid w:val="000C2B0B"/>
    <w:rsid w:val="000C743D"/>
    <w:rsid w:val="000D0AF9"/>
    <w:rsid w:val="000D0C4F"/>
    <w:rsid w:val="000D3765"/>
    <w:rsid w:val="000D3C1B"/>
    <w:rsid w:val="000E38A0"/>
    <w:rsid w:val="000E6A66"/>
    <w:rsid w:val="000E732C"/>
    <w:rsid w:val="000F089D"/>
    <w:rsid w:val="000F0956"/>
    <w:rsid w:val="000F4B54"/>
    <w:rsid w:val="000F5288"/>
    <w:rsid w:val="0010334E"/>
    <w:rsid w:val="00107DED"/>
    <w:rsid w:val="001114E2"/>
    <w:rsid w:val="001150A5"/>
    <w:rsid w:val="00115EF5"/>
    <w:rsid w:val="001161D6"/>
    <w:rsid w:val="001164B3"/>
    <w:rsid w:val="00117142"/>
    <w:rsid w:val="00120CBF"/>
    <w:rsid w:val="00120E01"/>
    <w:rsid w:val="001216C9"/>
    <w:rsid w:val="00123870"/>
    <w:rsid w:val="0012743D"/>
    <w:rsid w:val="00130C6E"/>
    <w:rsid w:val="0013195A"/>
    <w:rsid w:val="00135F1E"/>
    <w:rsid w:val="001368E0"/>
    <w:rsid w:val="001406A7"/>
    <w:rsid w:val="00140B30"/>
    <w:rsid w:val="00141C64"/>
    <w:rsid w:val="00142D6D"/>
    <w:rsid w:val="001434F3"/>
    <w:rsid w:val="00151BCA"/>
    <w:rsid w:val="00153133"/>
    <w:rsid w:val="001576AD"/>
    <w:rsid w:val="00157D7E"/>
    <w:rsid w:val="00160FAF"/>
    <w:rsid w:val="00161CAA"/>
    <w:rsid w:val="00163F18"/>
    <w:rsid w:val="00167858"/>
    <w:rsid w:val="00170031"/>
    <w:rsid w:val="00175AF6"/>
    <w:rsid w:val="00190AB8"/>
    <w:rsid w:val="001947CF"/>
    <w:rsid w:val="001948A6"/>
    <w:rsid w:val="00194DCD"/>
    <w:rsid w:val="0019628E"/>
    <w:rsid w:val="001A0120"/>
    <w:rsid w:val="001A2EEC"/>
    <w:rsid w:val="001A5D45"/>
    <w:rsid w:val="001B05BD"/>
    <w:rsid w:val="001B16E8"/>
    <w:rsid w:val="001B18DF"/>
    <w:rsid w:val="001B25F3"/>
    <w:rsid w:val="001B45EA"/>
    <w:rsid w:val="001B4FC3"/>
    <w:rsid w:val="001B7463"/>
    <w:rsid w:val="001B7781"/>
    <w:rsid w:val="001C1F98"/>
    <w:rsid w:val="001C2B01"/>
    <w:rsid w:val="001C78E3"/>
    <w:rsid w:val="001D15D0"/>
    <w:rsid w:val="001D3BFB"/>
    <w:rsid w:val="001E3BE9"/>
    <w:rsid w:val="001E53FD"/>
    <w:rsid w:val="001F0BE3"/>
    <w:rsid w:val="001F2A01"/>
    <w:rsid w:val="001F483A"/>
    <w:rsid w:val="001F4A8C"/>
    <w:rsid w:val="001F4E89"/>
    <w:rsid w:val="001F5E59"/>
    <w:rsid w:val="001F71EB"/>
    <w:rsid w:val="001F7BB2"/>
    <w:rsid w:val="00202A19"/>
    <w:rsid w:val="0020358C"/>
    <w:rsid w:val="00203CE1"/>
    <w:rsid w:val="0020467E"/>
    <w:rsid w:val="0021106D"/>
    <w:rsid w:val="0021507C"/>
    <w:rsid w:val="00216D00"/>
    <w:rsid w:val="0022463F"/>
    <w:rsid w:val="002320A0"/>
    <w:rsid w:val="00235A6C"/>
    <w:rsid w:val="002365F3"/>
    <w:rsid w:val="002366A4"/>
    <w:rsid w:val="00237079"/>
    <w:rsid w:val="00241303"/>
    <w:rsid w:val="002443A6"/>
    <w:rsid w:val="00245FBA"/>
    <w:rsid w:val="002460D4"/>
    <w:rsid w:val="002470B4"/>
    <w:rsid w:val="00267E10"/>
    <w:rsid w:val="00271C55"/>
    <w:rsid w:val="002764FC"/>
    <w:rsid w:val="00276B2C"/>
    <w:rsid w:val="00282B22"/>
    <w:rsid w:val="002837C6"/>
    <w:rsid w:val="00283EA7"/>
    <w:rsid w:val="00284EA0"/>
    <w:rsid w:val="002862AA"/>
    <w:rsid w:val="0028730C"/>
    <w:rsid w:val="00290B1B"/>
    <w:rsid w:val="002918B8"/>
    <w:rsid w:val="00294186"/>
    <w:rsid w:val="00294961"/>
    <w:rsid w:val="00294BD8"/>
    <w:rsid w:val="00295668"/>
    <w:rsid w:val="00296EE7"/>
    <w:rsid w:val="002979B1"/>
    <w:rsid w:val="002A0369"/>
    <w:rsid w:val="002A5109"/>
    <w:rsid w:val="002B2453"/>
    <w:rsid w:val="002B28D4"/>
    <w:rsid w:val="002B6D0D"/>
    <w:rsid w:val="002C4BFD"/>
    <w:rsid w:val="002C5235"/>
    <w:rsid w:val="002D0133"/>
    <w:rsid w:val="002D39A1"/>
    <w:rsid w:val="002D54D7"/>
    <w:rsid w:val="002D573F"/>
    <w:rsid w:val="002E05DD"/>
    <w:rsid w:val="002E13B6"/>
    <w:rsid w:val="002E27B1"/>
    <w:rsid w:val="002E3785"/>
    <w:rsid w:val="002E49FA"/>
    <w:rsid w:val="002E51CC"/>
    <w:rsid w:val="002E5374"/>
    <w:rsid w:val="002E5B5C"/>
    <w:rsid w:val="002E7429"/>
    <w:rsid w:val="002F182B"/>
    <w:rsid w:val="0030000C"/>
    <w:rsid w:val="00300E78"/>
    <w:rsid w:val="0030447C"/>
    <w:rsid w:val="003054FA"/>
    <w:rsid w:val="00307EC7"/>
    <w:rsid w:val="00311FD8"/>
    <w:rsid w:val="00313546"/>
    <w:rsid w:val="00313831"/>
    <w:rsid w:val="00313DBB"/>
    <w:rsid w:val="0031429B"/>
    <w:rsid w:val="00322024"/>
    <w:rsid w:val="003222A6"/>
    <w:rsid w:val="003243AF"/>
    <w:rsid w:val="003269A6"/>
    <w:rsid w:val="003356BC"/>
    <w:rsid w:val="00336C31"/>
    <w:rsid w:val="00343B68"/>
    <w:rsid w:val="00351199"/>
    <w:rsid w:val="00351DC2"/>
    <w:rsid w:val="003525DA"/>
    <w:rsid w:val="003550B8"/>
    <w:rsid w:val="003608DF"/>
    <w:rsid w:val="00360D6A"/>
    <w:rsid w:val="003610B4"/>
    <w:rsid w:val="003634E7"/>
    <w:rsid w:val="0036460A"/>
    <w:rsid w:val="0036569A"/>
    <w:rsid w:val="00365730"/>
    <w:rsid w:val="00366229"/>
    <w:rsid w:val="003674B3"/>
    <w:rsid w:val="00375A9C"/>
    <w:rsid w:val="003819B7"/>
    <w:rsid w:val="00382314"/>
    <w:rsid w:val="00383074"/>
    <w:rsid w:val="00386CD5"/>
    <w:rsid w:val="00386CFF"/>
    <w:rsid w:val="003947B8"/>
    <w:rsid w:val="003A0A42"/>
    <w:rsid w:val="003A0EA7"/>
    <w:rsid w:val="003A21AD"/>
    <w:rsid w:val="003A2717"/>
    <w:rsid w:val="003A3AC9"/>
    <w:rsid w:val="003A43E6"/>
    <w:rsid w:val="003B4C81"/>
    <w:rsid w:val="003B576A"/>
    <w:rsid w:val="003C0D97"/>
    <w:rsid w:val="003C3308"/>
    <w:rsid w:val="003C4CF7"/>
    <w:rsid w:val="003C610A"/>
    <w:rsid w:val="003C7D7C"/>
    <w:rsid w:val="003C7DC6"/>
    <w:rsid w:val="003D0D92"/>
    <w:rsid w:val="003D221C"/>
    <w:rsid w:val="003D502F"/>
    <w:rsid w:val="003E022D"/>
    <w:rsid w:val="003E0578"/>
    <w:rsid w:val="003E1CFC"/>
    <w:rsid w:val="003E36CD"/>
    <w:rsid w:val="003E5E6E"/>
    <w:rsid w:val="003F5458"/>
    <w:rsid w:val="003F55DF"/>
    <w:rsid w:val="003F5811"/>
    <w:rsid w:val="003F6A6B"/>
    <w:rsid w:val="003F78C2"/>
    <w:rsid w:val="004027D5"/>
    <w:rsid w:val="00402D4E"/>
    <w:rsid w:val="0040331B"/>
    <w:rsid w:val="00404F18"/>
    <w:rsid w:val="004108D3"/>
    <w:rsid w:val="00413702"/>
    <w:rsid w:val="00414332"/>
    <w:rsid w:val="00421D05"/>
    <w:rsid w:val="00426606"/>
    <w:rsid w:val="00430096"/>
    <w:rsid w:val="004310D7"/>
    <w:rsid w:val="00432F97"/>
    <w:rsid w:val="004356C1"/>
    <w:rsid w:val="004364A6"/>
    <w:rsid w:val="00440888"/>
    <w:rsid w:val="00441F45"/>
    <w:rsid w:val="004421C7"/>
    <w:rsid w:val="00447DC8"/>
    <w:rsid w:val="004504C2"/>
    <w:rsid w:val="0045144F"/>
    <w:rsid w:val="0045149B"/>
    <w:rsid w:val="004532BD"/>
    <w:rsid w:val="00454BCF"/>
    <w:rsid w:val="004605E1"/>
    <w:rsid w:val="004609F9"/>
    <w:rsid w:val="00460EA2"/>
    <w:rsid w:val="004617E4"/>
    <w:rsid w:val="00467E46"/>
    <w:rsid w:val="0047060F"/>
    <w:rsid w:val="0047168D"/>
    <w:rsid w:val="00472859"/>
    <w:rsid w:val="004737CE"/>
    <w:rsid w:val="004749EF"/>
    <w:rsid w:val="00476566"/>
    <w:rsid w:val="004815EE"/>
    <w:rsid w:val="00486137"/>
    <w:rsid w:val="00486270"/>
    <w:rsid w:val="004875E1"/>
    <w:rsid w:val="004927CF"/>
    <w:rsid w:val="00493D2A"/>
    <w:rsid w:val="004956F0"/>
    <w:rsid w:val="004A2854"/>
    <w:rsid w:val="004A46CA"/>
    <w:rsid w:val="004B1834"/>
    <w:rsid w:val="004B29F8"/>
    <w:rsid w:val="004B3001"/>
    <w:rsid w:val="004B3A29"/>
    <w:rsid w:val="004B3CE3"/>
    <w:rsid w:val="004B437C"/>
    <w:rsid w:val="004B47AB"/>
    <w:rsid w:val="004C13EB"/>
    <w:rsid w:val="004C4A76"/>
    <w:rsid w:val="004D059C"/>
    <w:rsid w:val="004D0CA1"/>
    <w:rsid w:val="004D394F"/>
    <w:rsid w:val="004D48DB"/>
    <w:rsid w:val="004D542D"/>
    <w:rsid w:val="004D58AC"/>
    <w:rsid w:val="004D7511"/>
    <w:rsid w:val="004E232F"/>
    <w:rsid w:val="004E4F71"/>
    <w:rsid w:val="004F2C14"/>
    <w:rsid w:val="004F5C23"/>
    <w:rsid w:val="004F6196"/>
    <w:rsid w:val="00502BA7"/>
    <w:rsid w:val="00503D63"/>
    <w:rsid w:val="00504F8A"/>
    <w:rsid w:val="005055D5"/>
    <w:rsid w:val="005113ED"/>
    <w:rsid w:val="0051537A"/>
    <w:rsid w:val="005162D9"/>
    <w:rsid w:val="00520174"/>
    <w:rsid w:val="00521559"/>
    <w:rsid w:val="00526410"/>
    <w:rsid w:val="00526B04"/>
    <w:rsid w:val="005276D5"/>
    <w:rsid w:val="00530E98"/>
    <w:rsid w:val="00531F94"/>
    <w:rsid w:val="00532704"/>
    <w:rsid w:val="00533DA1"/>
    <w:rsid w:val="00534186"/>
    <w:rsid w:val="0053494A"/>
    <w:rsid w:val="00535FED"/>
    <w:rsid w:val="00541E4F"/>
    <w:rsid w:val="00546490"/>
    <w:rsid w:val="00552E5F"/>
    <w:rsid w:val="00553F67"/>
    <w:rsid w:val="00554A27"/>
    <w:rsid w:val="0056578A"/>
    <w:rsid w:val="0056595B"/>
    <w:rsid w:val="0057086E"/>
    <w:rsid w:val="00571774"/>
    <w:rsid w:val="00571C0D"/>
    <w:rsid w:val="00572C4C"/>
    <w:rsid w:val="005742A7"/>
    <w:rsid w:val="00575AB3"/>
    <w:rsid w:val="0057605E"/>
    <w:rsid w:val="00576E09"/>
    <w:rsid w:val="00577261"/>
    <w:rsid w:val="00581DB2"/>
    <w:rsid w:val="00585ED0"/>
    <w:rsid w:val="00587EF6"/>
    <w:rsid w:val="00587F1C"/>
    <w:rsid w:val="00592B57"/>
    <w:rsid w:val="00594747"/>
    <w:rsid w:val="00594844"/>
    <w:rsid w:val="005A39E0"/>
    <w:rsid w:val="005A646E"/>
    <w:rsid w:val="005A6F41"/>
    <w:rsid w:val="005A778A"/>
    <w:rsid w:val="005A7AE7"/>
    <w:rsid w:val="005C6DD2"/>
    <w:rsid w:val="005D00D0"/>
    <w:rsid w:val="005D15B8"/>
    <w:rsid w:val="005E0C51"/>
    <w:rsid w:val="005E150A"/>
    <w:rsid w:val="005E28CB"/>
    <w:rsid w:val="005E7DD5"/>
    <w:rsid w:val="005E7EE0"/>
    <w:rsid w:val="005F220E"/>
    <w:rsid w:val="005F6D83"/>
    <w:rsid w:val="00603783"/>
    <w:rsid w:val="0060470D"/>
    <w:rsid w:val="006065EE"/>
    <w:rsid w:val="00607097"/>
    <w:rsid w:val="006074C9"/>
    <w:rsid w:val="006111D5"/>
    <w:rsid w:val="006111F5"/>
    <w:rsid w:val="00612DF4"/>
    <w:rsid w:val="0061590D"/>
    <w:rsid w:val="00623E11"/>
    <w:rsid w:val="00627DFC"/>
    <w:rsid w:val="00630CBB"/>
    <w:rsid w:val="00633DCB"/>
    <w:rsid w:val="00640A1E"/>
    <w:rsid w:val="006411DE"/>
    <w:rsid w:val="006448C5"/>
    <w:rsid w:val="00645C03"/>
    <w:rsid w:val="00650BBD"/>
    <w:rsid w:val="00654F1D"/>
    <w:rsid w:val="006555BD"/>
    <w:rsid w:val="006568E2"/>
    <w:rsid w:val="00656E8E"/>
    <w:rsid w:val="00661B2F"/>
    <w:rsid w:val="0066295F"/>
    <w:rsid w:val="00665839"/>
    <w:rsid w:val="006676E2"/>
    <w:rsid w:val="00670F80"/>
    <w:rsid w:val="00675AE1"/>
    <w:rsid w:val="00676209"/>
    <w:rsid w:val="00682B8C"/>
    <w:rsid w:val="00683ED1"/>
    <w:rsid w:val="00685EB4"/>
    <w:rsid w:val="006875D2"/>
    <w:rsid w:val="00691368"/>
    <w:rsid w:val="00691631"/>
    <w:rsid w:val="00692413"/>
    <w:rsid w:val="00696681"/>
    <w:rsid w:val="006A4C05"/>
    <w:rsid w:val="006A50A9"/>
    <w:rsid w:val="006A7CE6"/>
    <w:rsid w:val="006A7F77"/>
    <w:rsid w:val="006B08DD"/>
    <w:rsid w:val="006B3CA5"/>
    <w:rsid w:val="006B4939"/>
    <w:rsid w:val="006B5540"/>
    <w:rsid w:val="006C2B84"/>
    <w:rsid w:val="006C3B6D"/>
    <w:rsid w:val="006C3DFC"/>
    <w:rsid w:val="006C4643"/>
    <w:rsid w:val="006D1B55"/>
    <w:rsid w:val="006D4302"/>
    <w:rsid w:val="006D48E5"/>
    <w:rsid w:val="006D4C35"/>
    <w:rsid w:val="006D5428"/>
    <w:rsid w:val="006D5D28"/>
    <w:rsid w:val="006E210A"/>
    <w:rsid w:val="006E260B"/>
    <w:rsid w:val="006F3AE6"/>
    <w:rsid w:val="006F50B0"/>
    <w:rsid w:val="0070197C"/>
    <w:rsid w:val="00702BE5"/>
    <w:rsid w:val="00710490"/>
    <w:rsid w:val="007155B8"/>
    <w:rsid w:val="00715B4D"/>
    <w:rsid w:val="007170A8"/>
    <w:rsid w:val="00732C74"/>
    <w:rsid w:val="0073682E"/>
    <w:rsid w:val="007373E7"/>
    <w:rsid w:val="00741BC7"/>
    <w:rsid w:val="00741CE7"/>
    <w:rsid w:val="007424F5"/>
    <w:rsid w:val="00742608"/>
    <w:rsid w:val="0074442C"/>
    <w:rsid w:val="007445B1"/>
    <w:rsid w:val="00746116"/>
    <w:rsid w:val="00746A5A"/>
    <w:rsid w:val="0075454E"/>
    <w:rsid w:val="007545FE"/>
    <w:rsid w:val="00761572"/>
    <w:rsid w:val="00761CEE"/>
    <w:rsid w:val="00762491"/>
    <w:rsid w:val="0076415A"/>
    <w:rsid w:val="00764DC1"/>
    <w:rsid w:val="00764FC4"/>
    <w:rsid w:val="007655AD"/>
    <w:rsid w:val="00775449"/>
    <w:rsid w:val="00777A2F"/>
    <w:rsid w:val="00780AC5"/>
    <w:rsid w:val="00781EA7"/>
    <w:rsid w:val="00786823"/>
    <w:rsid w:val="00787B6E"/>
    <w:rsid w:val="0079058B"/>
    <w:rsid w:val="00790847"/>
    <w:rsid w:val="00791C8D"/>
    <w:rsid w:val="00796B22"/>
    <w:rsid w:val="00797737"/>
    <w:rsid w:val="007A3489"/>
    <w:rsid w:val="007A5CAB"/>
    <w:rsid w:val="007A75E1"/>
    <w:rsid w:val="007A7E68"/>
    <w:rsid w:val="007B3094"/>
    <w:rsid w:val="007B3467"/>
    <w:rsid w:val="007B4390"/>
    <w:rsid w:val="007B448B"/>
    <w:rsid w:val="007B4F54"/>
    <w:rsid w:val="007B5701"/>
    <w:rsid w:val="007B62B5"/>
    <w:rsid w:val="007C0D2A"/>
    <w:rsid w:val="007C0FB7"/>
    <w:rsid w:val="007C5AB3"/>
    <w:rsid w:val="007C70A3"/>
    <w:rsid w:val="007D0AF7"/>
    <w:rsid w:val="007D2200"/>
    <w:rsid w:val="007D243C"/>
    <w:rsid w:val="007D6C82"/>
    <w:rsid w:val="007E3CCB"/>
    <w:rsid w:val="007E4FBF"/>
    <w:rsid w:val="007E78D0"/>
    <w:rsid w:val="007F40A5"/>
    <w:rsid w:val="007F43B0"/>
    <w:rsid w:val="007F5E1D"/>
    <w:rsid w:val="0080610A"/>
    <w:rsid w:val="00806748"/>
    <w:rsid w:val="008124F9"/>
    <w:rsid w:val="008152E5"/>
    <w:rsid w:val="00815EB4"/>
    <w:rsid w:val="008217EF"/>
    <w:rsid w:val="00823476"/>
    <w:rsid w:val="0082433F"/>
    <w:rsid w:val="00830A17"/>
    <w:rsid w:val="008315F0"/>
    <w:rsid w:val="00833276"/>
    <w:rsid w:val="008334C7"/>
    <w:rsid w:val="00834489"/>
    <w:rsid w:val="008351F7"/>
    <w:rsid w:val="0083643E"/>
    <w:rsid w:val="00837BF7"/>
    <w:rsid w:val="00841BB7"/>
    <w:rsid w:val="00843343"/>
    <w:rsid w:val="0084612C"/>
    <w:rsid w:val="00850B84"/>
    <w:rsid w:val="00850DA1"/>
    <w:rsid w:val="0085290D"/>
    <w:rsid w:val="00853805"/>
    <w:rsid w:val="00855097"/>
    <w:rsid w:val="008551FA"/>
    <w:rsid w:val="00857F76"/>
    <w:rsid w:val="0086305F"/>
    <w:rsid w:val="0086450E"/>
    <w:rsid w:val="00870508"/>
    <w:rsid w:val="008707C9"/>
    <w:rsid w:val="008711D5"/>
    <w:rsid w:val="00871E6B"/>
    <w:rsid w:val="008733EC"/>
    <w:rsid w:val="008735B0"/>
    <w:rsid w:val="00880F9B"/>
    <w:rsid w:val="00882B9B"/>
    <w:rsid w:val="00885325"/>
    <w:rsid w:val="008854C8"/>
    <w:rsid w:val="00891E7D"/>
    <w:rsid w:val="00891FA3"/>
    <w:rsid w:val="008924D4"/>
    <w:rsid w:val="008963CD"/>
    <w:rsid w:val="008A2229"/>
    <w:rsid w:val="008A30DB"/>
    <w:rsid w:val="008A4A8A"/>
    <w:rsid w:val="008A502C"/>
    <w:rsid w:val="008A64B1"/>
    <w:rsid w:val="008C0FAB"/>
    <w:rsid w:val="008C67B6"/>
    <w:rsid w:val="008C6EDB"/>
    <w:rsid w:val="008C7E5E"/>
    <w:rsid w:val="008D0397"/>
    <w:rsid w:val="008D07E2"/>
    <w:rsid w:val="008D1807"/>
    <w:rsid w:val="008D485F"/>
    <w:rsid w:val="008D4B2B"/>
    <w:rsid w:val="008D6402"/>
    <w:rsid w:val="008E3C28"/>
    <w:rsid w:val="008F04B5"/>
    <w:rsid w:val="008F2E4E"/>
    <w:rsid w:val="008F76D9"/>
    <w:rsid w:val="009000E1"/>
    <w:rsid w:val="00906CBA"/>
    <w:rsid w:val="00907031"/>
    <w:rsid w:val="00912D8D"/>
    <w:rsid w:val="00912E02"/>
    <w:rsid w:val="00920846"/>
    <w:rsid w:val="00920A21"/>
    <w:rsid w:val="0092265E"/>
    <w:rsid w:val="009256D9"/>
    <w:rsid w:val="009333C9"/>
    <w:rsid w:val="00934F1B"/>
    <w:rsid w:val="0093743D"/>
    <w:rsid w:val="00937661"/>
    <w:rsid w:val="00943B46"/>
    <w:rsid w:val="009469D9"/>
    <w:rsid w:val="00947E8E"/>
    <w:rsid w:val="00954D18"/>
    <w:rsid w:val="009552F9"/>
    <w:rsid w:val="00956534"/>
    <w:rsid w:val="0095794F"/>
    <w:rsid w:val="00965832"/>
    <w:rsid w:val="00965AC8"/>
    <w:rsid w:val="009660DC"/>
    <w:rsid w:val="009677DF"/>
    <w:rsid w:val="00967D5F"/>
    <w:rsid w:val="00967DD6"/>
    <w:rsid w:val="0097694A"/>
    <w:rsid w:val="00980E90"/>
    <w:rsid w:val="00985126"/>
    <w:rsid w:val="009859A6"/>
    <w:rsid w:val="0098788A"/>
    <w:rsid w:val="0099266D"/>
    <w:rsid w:val="00994164"/>
    <w:rsid w:val="00996188"/>
    <w:rsid w:val="009A2257"/>
    <w:rsid w:val="009A57A5"/>
    <w:rsid w:val="009A73FC"/>
    <w:rsid w:val="009A7FF6"/>
    <w:rsid w:val="009B5334"/>
    <w:rsid w:val="009C49ED"/>
    <w:rsid w:val="009C560E"/>
    <w:rsid w:val="009C6886"/>
    <w:rsid w:val="009D050F"/>
    <w:rsid w:val="009D1A1B"/>
    <w:rsid w:val="009D4CCF"/>
    <w:rsid w:val="009E12B5"/>
    <w:rsid w:val="009E1D3C"/>
    <w:rsid w:val="009E5005"/>
    <w:rsid w:val="009E5C7D"/>
    <w:rsid w:val="009F0932"/>
    <w:rsid w:val="009F0FCD"/>
    <w:rsid w:val="009F4CD6"/>
    <w:rsid w:val="009F5114"/>
    <w:rsid w:val="009F6A07"/>
    <w:rsid w:val="00A03391"/>
    <w:rsid w:val="00A079F6"/>
    <w:rsid w:val="00A10362"/>
    <w:rsid w:val="00A1086B"/>
    <w:rsid w:val="00A11404"/>
    <w:rsid w:val="00A1152B"/>
    <w:rsid w:val="00A11FA6"/>
    <w:rsid w:val="00A1205C"/>
    <w:rsid w:val="00A14828"/>
    <w:rsid w:val="00A1703C"/>
    <w:rsid w:val="00A2039E"/>
    <w:rsid w:val="00A21DB8"/>
    <w:rsid w:val="00A22B79"/>
    <w:rsid w:val="00A245B5"/>
    <w:rsid w:val="00A31D46"/>
    <w:rsid w:val="00A35946"/>
    <w:rsid w:val="00A37830"/>
    <w:rsid w:val="00A37E53"/>
    <w:rsid w:val="00A404D2"/>
    <w:rsid w:val="00A40921"/>
    <w:rsid w:val="00A50A1E"/>
    <w:rsid w:val="00A543D6"/>
    <w:rsid w:val="00A54A98"/>
    <w:rsid w:val="00A55E72"/>
    <w:rsid w:val="00A57E7F"/>
    <w:rsid w:val="00A61330"/>
    <w:rsid w:val="00A61BD0"/>
    <w:rsid w:val="00A61CCB"/>
    <w:rsid w:val="00A6280C"/>
    <w:rsid w:val="00A733C0"/>
    <w:rsid w:val="00A738BD"/>
    <w:rsid w:val="00A74DC5"/>
    <w:rsid w:val="00A82BAC"/>
    <w:rsid w:val="00A8366F"/>
    <w:rsid w:val="00A915DD"/>
    <w:rsid w:val="00A931C4"/>
    <w:rsid w:val="00AA06AD"/>
    <w:rsid w:val="00AA2472"/>
    <w:rsid w:val="00AA2F41"/>
    <w:rsid w:val="00AA7D4C"/>
    <w:rsid w:val="00AB209C"/>
    <w:rsid w:val="00AB4BB5"/>
    <w:rsid w:val="00AB6EB5"/>
    <w:rsid w:val="00AB7501"/>
    <w:rsid w:val="00AC20F1"/>
    <w:rsid w:val="00AC7257"/>
    <w:rsid w:val="00AC7B1C"/>
    <w:rsid w:val="00AD290B"/>
    <w:rsid w:val="00AD7943"/>
    <w:rsid w:val="00AD7C7B"/>
    <w:rsid w:val="00AD7E16"/>
    <w:rsid w:val="00AE0412"/>
    <w:rsid w:val="00AE0727"/>
    <w:rsid w:val="00AE583E"/>
    <w:rsid w:val="00AE5B14"/>
    <w:rsid w:val="00AE5D15"/>
    <w:rsid w:val="00AE631D"/>
    <w:rsid w:val="00AF16EB"/>
    <w:rsid w:val="00AF3345"/>
    <w:rsid w:val="00AF4D07"/>
    <w:rsid w:val="00AF7144"/>
    <w:rsid w:val="00AF735A"/>
    <w:rsid w:val="00B00E89"/>
    <w:rsid w:val="00B05D8B"/>
    <w:rsid w:val="00B07E64"/>
    <w:rsid w:val="00B14051"/>
    <w:rsid w:val="00B23FEC"/>
    <w:rsid w:val="00B24988"/>
    <w:rsid w:val="00B24A12"/>
    <w:rsid w:val="00B24C90"/>
    <w:rsid w:val="00B25633"/>
    <w:rsid w:val="00B3289C"/>
    <w:rsid w:val="00B33D74"/>
    <w:rsid w:val="00B35FA4"/>
    <w:rsid w:val="00B36926"/>
    <w:rsid w:val="00B36D0B"/>
    <w:rsid w:val="00B44D06"/>
    <w:rsid w:val="00B462BB"/>
    <w:rsid w:val="00B50E21"/>
    <w:rsid w:val="00B54E5C"/>
    <w:rsid w:val="00B63C99"/>
    <w:rsid w:val="00B644D7"/>
    <w:rsid w:val="00B64EBE"/>
    <w:rsid w:val="00B65102"/>
    <w:rsid w:val="00B65F13"/>
    <w:rsid w:val="00B668B4"/>
    <w:rsid w:val="00B67E52"/>
    <w:rsid w:val="00B704C0"/>
    <w:rsid w:val="00B71621"/>
    <w:rsid w:val="00B7277B"/>
    <w:rsid w:val="00B730AA"/>
    <w:rsid w:val="00B73DFA"/>
    <w:rsid w:val="00B743AC"/>
    <w:rsid w:val="00B745E6"/>
    <w:rsid w:val="00B7489C"/>
    <w:rsid w:val="00B7596B"/>
    <w:rsid w:val="00B80494"/>
    <w:rsid w:val="00B82DF6"/>
    <w:rsid w:val="00B8424B"/>
    <w:rsid w:val="00B868C2"/>
    <w:rsid w:val="00B87A95"/>
    <w:rsid w:val="00B97090"/>
    <w:rsid w:val="00BA03A9"/>
    <w:rsid w:val="00BA22A6"/>
    <w:rsid w:val="00BA50D5"/>
    <w:rsid w:val="00BA7391"/>
    <w:rsid w:val="00BB102D"/>
    <w:rsid w:val="00BB3192"/>
    <w:rsid w:val="00BB3270"/>
    <w:rsid w:val="00BB7EDB"/>
    <w:rsid w:val="00BC32F4"/>
    <w:rsid w:val="00BD4FAD"/>
    <w:rsid w:val="00BD74F7"/>
    <w:rsid w:val="00BE4E44"/>
    <w:rsid w:val="00BE639F"/>
    <w:rsid w:val="00BE776D"/>
    <w:rsid w:val="00BF2152"/>
    <w:rsid w:val="00BF24F9"/>
    <w:rsid w:val="00BF4004"/>
    <w:rsid w:val="00BF5154"/>
    <w:rsid w:val="00BF5264"/>
    <w:rsid w:val="00BF571B"/>
    <w:rsid w:val="00C02C34"/>
    <w:rsid w:val="00C11A30"/>
    <w:rsid w:val="00C131EB"/>
    <w:rsid w:val="00C13D6B"/>
    <w:rsid w:val="00C20039"/>
    <w:rsid w:val="00C201F8"/>
    <w:rsid w:val="00C24588"/>
    <w:rsid w:val="00C24833"/>
    <w:rsid w:val="00C25B19"/>
    <w:rsid w:val="00C321D5"/>
    <w:rsid w:val="00C350DC"/>
    <w:rsid w:val="00C43705"/>
    <w:rsid w:val="00C47113"/>
    <w:rsid w:val="00C47A18"/>
    <w:rsid w:val="00C50710"/>
    <w:rsid w:val="00C517A8"/>
    <w:rsid w:val="00C5467A"/>
    <w:rsid w:val="00C5566B"/>
    <w:rsid w:val="00C577AB"/>
    <w:rsid w:val="00C63ADB"/>
    <w:rsid w:val="00C6660B"/>
    <w:rsid w:val="00C678D9"/>
    <w:rsid w:val="00C7447F"/>
    <w:rsid w:val="00C746A2"/>
    <w:rsid w:val="00C74706"/>
    <w:rsid w:val="00C76A86"/>
    <w:rsid w:val="00C77A77"/>
    <w:rsid w:val="00C82E35"/>
    <w:rsid w:val="00C834CF"/>
    <w:rsid w:val="00C85052"/>
    <w:rsid w:val="00C90953"/>
    <w:rsid w:val="00C95E82"/>
    <w:rsid w:val="00CA56AD"/>
    <w:rsid w:val="00CA5D83"/>
    <w:rsid w:val="00CA69BA"/>
    <w:rsid w:val="00CA6AB2"/>
    <w:rsid w:val="00CB1624"/>
    <w:rsid w:val="00CB2EF6"/>
    <w:rsid w:val="00CB316A"/>
    <w:rsid w:val="00CB3212"/>
    <w:rsid w:val="00CB4810"/>
    <w:rsid w:val="00CC1689"/>
    <w:rsid w:val="00CD35BE"/>
    <w:rsid w:val="00CE101D"/>
    <w:rsid w:val="00CE3FDA"/>
    <w:rsid w:val="00CE775C"/>
    <w:rsid w:val="00CE795E"/>
    <w:rsid w:val="00CF48BC"/>
    <w:rsid w:val="00CF4C21"/>
    <w:rsid w:val="00CF788D"/>
    <w:rsid w:val="00D0198E"/>
    <w:rsid w:val="00D020E3"/>
    <w:rsid w:val="00D02DE1"/>
    <w:rsid w:val="00D07BAC"/>
    <w:rsid w:val="00D10335"/>
    <w:rsid w:val="00D14C77"/>
    <w:rsid w:val="00D17F8E"/>
    <w:rsid w:val="00D20D00"/>
    <w:rsid w:val="00D2111D"/>
    <w:rsid w:val="00D232F1"/>
    <w:rsid w:val="00D2559C"/>
    <w:rsid w:val="00D30491"/>
    <w:rsid w:val="00D305AD"/>
    <w:rsid w:val="00D30A75"/>
    <w:rsid w:val="00D30E00"/>
    <w:rsid w:val="00D43C6D"/>
    <w:rsid w:val="00D45554"/>
    <w:rsid w:val="00D46C56"/>
    <w:rsid w:val="00D542E4"/>
    <w:rsid w:val="00D54D73"/>
    <w:rsid w:val="00D55316"/>
    <w:rsid w:val="00D560C1"/>
    <w:rsid w:val="00D57A93"/>
    <w:rsid w:val="00D614DC"/>
    <w:rsid w:val="00D63AA1"/>
    <w:rsid w:val="00D64415"/>
    <w:rsid w:val="00D65100"/>
    <w:rsid w:val="00D72267"/>
    <w:rsid w:val="00D75B90"/>
    <w:rsid w:val="00D8274A"/>
    <w:rsid w:val="00D91065"/>
    <w:rsid w:val="00D93C54"/>
    <w:rsid w:val="00D9410A"/>
    <w:rsid w:val="00D9463F"/>
    <w:rsid w:val="00D969AF"/>
    <w:rsid w:val="00DA1CDC"/>
    <w:rsid w:val="00DA3CEB"/>
    <w:rsid w:val="00DB07EA"/>
    <w:rsid w:val="00DB085C"/>
    <w:rsid w:val="00DB1F8B"/>
    <w:rsid w:val="00DB5151"/>
    <w:rsid w:val="00DB5625"/>
    <w:rsid w:val="00DB6D32"/>
    <w:rsid w:val="00DC0AB5"/>
    <w:rsid w:val="00DC2523"/>
    <w:rsid w:val="00DC399A"/>
    <w:rsid w:val="00DC5413"/>
    <w:rsid w:val="00DD1B28"/>
    <w:rsid w:val="00DD6DAE"/>
    <w:rsid w:val="00DE6B7F"/>
    <w:rsid w:val="00DE7B11"/>
    <w:rsid w:val="00DF11B1"/>
    <w:rsid w:val="00DF3633"/>
    <w:rsid w:val="00DF5157"/>
    <w:rsid w:val="00E03695"/>
    <w:rsid w:val="00E059A5"/>
    <w:rsid w:val="00E149B5"/>
    <w:rsid w:val="00E154FC"/>
    <w:rsid w:val="00E165F6"/>
    <w:rsid w:val="00E21562"/>
    <w:rsid w:val="00E228F6"/>
    <w:rsid w:val="00E23124"/>
    <w:rsid w:val="00E25AB1"/>
    <w:rsid w:val="00E26F3D"/>
    <w:rsid w:val="00E30EDE"/>
    <w:rsid w:val="00E31225"/>
    <w:rsid w:val="00E40124"/>
    <w:rsid w:val="00E40BAB"/>
    <w:rsid w:val="00E4194E"/>
    <w:rsid w:val="00E42E44"/>
    <w:rsid w:val="00E43108"/>
    <w:rsid w:val="00E4324D"/>
    <w:rsid w:val="00E457BA"/>
    <w:rsid w:val="00E5122C"/>
    <w:rsid w:val="00E54117"/>
    <w:rsid w:val="00E543F6"/>
    <w:rsid w:val="00E54DD0"/>
    <w:rsid w:val="00E5519F"/>
    <w:rsid w:val="00E57186"/>
    <w:rsid w:val="00E6236B"/>
    <w:rsid w:val="00E64998"/>
    <w:rsid w:val="00E75503"/>
    <w:rsid w:val="00E7780E"/>
    <w:rsid w:val="00E80B91"/>
    <w:rsid w:val="00E834D9"/>
    <w:rsid w:val="00E8625B"/>
    <w:rsid w:val="00E90B8E"/>
    <w:rsid w:val="00E9142E"/>
    <w:rsid w:val="00E91CA6"/>
    <w:rsid w:val="00E96E69"/>
    <w:rsid w:val="00E97F62"/>
    <w:rsid w:val="00EA07DD"/>
    <w:rsid w:val="00EA3E35"/>
    <w:rsid w:val="00EA4676"/>
    <w:rsid w:val="00EA484D"/>
    <w:rsid w:val="00EB03DE"/>
    <w:rsid w:val="00EB2913"/>
    <w:rsid w:val="00EB3144"/>
    <w:rsid w:val="00EB347C"/>
    <w:rsid w:val="00EB62AF"/>
    <w:rsid w:val="00EC0A4F"/>
    <w:rsid w:val="00EC12F7"/>
    <w:rsid w:val="00EC61B0"/>
    <w:rsid w:val="00ED3AEB"/>
    <w:rsid w:val="00ED473A"/>
    <w:rsid w:val="00ED532E"/>
    <w:rsid w:val="00EE084C"/>
    <w:rsid w:val="00EE1FA7"/>
    <w:rsid w:val="00EE4674"/>
    <w:rsid w:val="00EF4C1D"/>
    <w:rsid w:val="00EF7CFB"/>
    <w:rsid w:val="00EF7D74"/>
    <w:rsid w:val="00F008A9"/>
    <w:rsid w:val="00F04C5A"/>
    <w:rsid w:val="00F05DF8"/>
    <w:rsid w:val="00F066CC"/>
    <w:rsid w:val="00F11A48"/>
    <w:rsid w:val="00F12F4A"/>
    <w:rsid w:val="00F21F42"/>
    <w:rsid w:val="00F3010C"/>
    <w:rsid w:val="00F349B3"/>
    <w:rsid w:val="00F34D2D"/>
    <w:rsid w:val="00F35CCC"/>
    <w:rsid w:val="00F35D5D"/>
    <w:rsid w:val="00F3621B"/>
    <w:rsid w:val="00F40202"/>
    <w:rsid w:val="00F419B7"/>
    <w:rsid w:val="00F42612"/>
    <w:rsid w:val="00F428D7"/>
    <w:rsid w:val="00F46073"/>
    <w:rsid w:val="00F47AD4"/>
    <w:rsid w:val="00F500FE"/>
    <w:rsid w:val="00F5178E"/>
    <w:rsid w:val="00F52329"/>
    <w:rsid w:val="00F5491E"/>
    <w:rsid w:val="00F55309"/>
    <w:rsid w:val="00F55394"/>
    <w:rsid w:val="00F555E9"/>
    <w:rsid w:val="00F567C2"/>
    <w:rsid w:val="00F624AC"/>
    <w:rsid w:val="00F63D23"/>
    <w:rsid w:val="00F64016"/>
    <w:rsid w:val="00F74D49"/>
    <w:rsid w:val="00F74E4B"/>
    <w:rsid w:val="00F75A77"/>
    <w:rsid w:val="00F75F1D"/>
    <w:rsid w:val="00F767F6"/>
    <w:rsid w:val="00F76979"/>
    <w:rsid w:val="00F76CB2"/>
    <w:rsid w:val="00F80EA4"/>
    <w:rsid w:val="00F83849"/>
    <w:rsid w:val="00F83A13"/>
    <w:rsid w:val="00F842CE"/>
    <w:rsid w:val="00F9238D"/>
    <w:rsid w:val="00F97275"/>
    <w:rsid w:val="00FA08A5"/>
    <w:rsid w:val="00FB058A"/>
    <w:rsid w:val="00FB2600"/>
    <w:rsid w:val="00FB2DAA"/>
    <w:rsid w:val="00FB3C63"/>
    <w:rsid w:val="00FB48D2"/>
    <w:rsid w:val="00FB4E77"/>
    <w:rsid w:val="00FB5410"/>
    <w:rsid w:val="00FB5523"/>
    <w:rsid w:val="00FB7742"/>
    <w:rsid w:val="00FC24DC"/>
    <w:rsid w:val="00FC4C21"/>
    <w:rsid w:val="00FC6082"/>
    <w:rsid w:val="00FC7953"/>
    <w:rsid w:val="00FD189E"/>
    <w:rsid w:val="00FD2F93"/>
    <w:rsid w:val="00FD49A2"/>
    <w:rsid w:val="00FD5708"/>
    <w:rsid w:val="00FE170C"/>
    <w:rsid w:val="00FE2BFB"/>
    <w:rsid w:val="00FE3F54"/>
    <w:rsid w:val="00FE421F"/>
    <w:rsid w:val="00FE57F9"/>
    <w:rsid w:val="00FE6D09"/>
    <w:rsid w:val="00FF2971"/>
    <w:rsid w:val="00FF2E2B"/>
    <w:rsid w:val="00FF30DC"/>
    <w:rsid w:val="00FF4B11"/>
    <w:rsid w:val="00FF4DED"/>
    <w:rsid w:val="00FF5617"/>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3582E"/>
  <w15:docId w15:val="{59DE3B41-1CDD-6D46-B385-67163A3E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2376">
      <w:bodyDiv w:val="1"/>
      <w:marLeft w:val="0"/>
      <w:marRight w:val="0"/>
      <w:marTop w:val="0"/>
      <w:marBottom w:val="0"/>
      <w:divBdr>
        <w:top w:val="none" w:sz="0" w:space="0" w:color="auto"/>
        <w:left w:val="none" w:sz="0" w:space="0" w:color="auto"/>
        <w:bottom w:val="none" w:sz="0" w:space="0" w:color="auto"/>
        <w:right w:val="none" w:sz="0" w:space="0" w:color="auto"/>
      </w:divBdr>
    </w:div>
    <w:div w:id="402921906">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4.png"/><Relationship Id="rId26" Type="http://schemas.openxmlformats.org/officeDocument/2006/relationships/hyperlink" Target="https://doi.org/10.25656/01:24320" TargetMode="External"/><Relationship Id="rId3" Type="http://schemas.openxmlformats.org/officeDocument/2006/relationships/customXml" Target="../customXml/item3.xml"/><Relationship Id="rId21" Type="http://schemas.openxmlformats.org/officeDocument/2006/relationships/hyperlink" Target="https://www.zotero.org/google-docs/?LeKuHi"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www.zotero.org/google-docs/?LeKuHi" TargetMode="External"/><Relationship Id="rId2" Type="http://schemas.openxmlformats.org/officeDocument/2006/relationships/customXml" Target="../customXml/item2.xml"/><Relationship Id="rId16" Type="http://schemas.openxmlformats.org/officeDocument/2006/relationships/hyperlink" Target="https://www.zotero.org/google-docs/?6H6JvX" TargetMode="External"/><Relationship Id="rId20" Type="http://schemas.openxmlformats.org/officeDocument/2006/relationships/hyperlink" Target="mailto:federica.hofer@phlu.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4-08-04" TargetMode="External"/><Relationship Id="rId24" Type="http://schemas.openxmlformats.org/officeDocument/2006/relationships/hyperlink" Target="https://www.zotero.org/google-docs/?LeKuHi"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zotero.org/google-docs/?2FfpdU" TargetMode="External"/><Relationship Id="rId23" Type="http://schemas.openxmlformats.org/officeDocument/2006/relationships/hyperlink" Target="https://doi.org/10.1080/01411926.2010.501096" TargetMode="External"/><Relationship Id="rId28" Type="http://schemas.openxmlformats.org/officeDocument/2006/relationships/hyperlink" Target="https://doi.org/10.1007/978-3-658-38651-1" TargetMode="External"/><Relationship Id="rId10" Type="http://schemas.openxmlformats.org/officeDocument/2006/relationships/endnotes" Target="endnotes.xml"/><Relationship Id="rId19" Type="http://schemas.openxmlformats.org/officeDocument/2006/relationships/hyperlink" Target="mailto:verena.muheim@hfh.ch"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otero.org/google-docs/?jIoXLY" TargetMode="External"/><Relationship Id="rId22" Type="http://schemas.openxmlformats.org/officeDocument/2006/relationships/hyperlink" Target="https://doi.org/10.31244/dds.2022.03.08" TargetMode="External"/><Relationship Id="rId27" Type="http://schemas.openxmlformats.org/officeDocument/2006/relationships/hyperlink" Target="https://psycnet.apa.org/doi/10.1037/0003-066X.55.1.68" TargetMode="External"/><Relationship Id="rId30"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www.access-for-all.ch"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08C7171A-6A22-4462-912C-76C9F10B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2667</Words>
  <Characters>16806</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19435</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Lernräume: Wie werden sie zur Chance für Teilhabe im Unterricht?</dc:title>
  <dc:subject/>
  <dc:creator>Verena Muheim;Federica Hofer</dc:creator>
  <cp:keywords>Digitale Transformation, Raumnutzung, Partizipation, inklusiver Unterricht, schulische Heilpädagogik/transformation numérique, utilisation de l’espace, participation, enseignement inclusif, enseignement spécialisé en école</cp:keywords>
  <cp:lastModifiedBy>Schnyder, Silvia</cp:lastModifiedBy>
  <cp:revision>14</cp:revision>
  <cp:lastPrinted>2024-10-29T07:26:00Z</cp:lastPrinted>
  <dcterms:created xsi:type="dcterms:W3CDTF">2024-10-08T14:15:00Z</dcterms:created>
  <dcterms:modified xsi:type="dcterms:W3CDTF">2024-10-29T12:51:00Z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