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09590" w14:textId="18D2F425" w:rsidR="00651C98" w:rsidRPr="00651C98" w:rsidRDefault="00C05FF5" w:rsidP="00651C98">
      <w:pPr>
        <w:pStyle w:val="Titel"/>
      </w:pPr>
      <w:bookmarkStart w:id="0" w:name="heading-3"/>
      <w:r w:rsidRPr="00C05FF5">
        <w:t>Der Nachteilsausgleich als Schlüssel zu mehr Chancengleichheit in der inklusiven Berufsbildung</w:t>
      </w:r>
    </w:p>
    <w:p w14:paraId="72268E1A" w14:textId="7AB3FDFB" w:rsidR="00651C98" w:rsidRPr="00651C98" w:rsidRDefault="00651C98" w:rsidP="00651C98">
      <w:pPr>
        <w:pStyle w:val="Untertitel"/>
      </w:pPr>
      <w:r w:rsidRPr="00651C98">
        <w:t xml:space="preserve">Gelingensbedingungen und Herausforderungen an den Lernorten Betrieb, </w:t>
      </w:r>
      <w:r w:rsidR="00E4690A">
        <w:br/>
      </w:r>
      <w:r w:rsidRPr="00651C98">
        <w:t>Berufsfachschule und überbetriebliche Kurse</w:t>
      </w:r>
    </w:p>
    <w:p w14:paraId="4C265EA6" w14:textId="3D2B614E" w:rsidR="00651C98" w:rsidRPr="00805D9D" w:rsidRDefault="00651C98" w:rsidP="00651C98">
      <w:pPr>
        <w:pStyle w:val="Author"/>
      </w:pPr>
      <w:r w:rsidRPr="00805D9D">
        <w:t xml:space="preserve">René Wüthrich, Claudia </w:t>
      </w:r>
      <w:proofErr w:type="spellStart"/>
      <w:r w:rsidRPr="00805D9D">
        <w:t>Rapold</w:t>
      </w:r>
      <w:proofErr w:type="spellEnd"/>
      <w:r w:rsidR="00E9218A" w:rsidRPr="00805D9D">
        <w:t xml:space="preserve"> </w:t>
      </w:r>
      <w:proofErr w:type="spellStart"/>
      <w:r w:rsidR="00E9218A" w:rsidRPr="00805D9D">
        <w:t>und</w:t>
      </w:r>
      <w:proofErr w:type="spellEnd"/>
      <w:r w:rsidRPr="00805D9D">
        <w:t xml:space="preserve"> Anne </w:t>
      </w:r>
      <w:proofErr w:type="spellStart"/>
      <w:r w:rsidRPr="00805D9D">
        <w:t>Trojanek</w:t>
      </w:r>
      <w:proofErr w:type="spellEnd"/>
    </w:p>
    <w:p w14:paraId="7709F306" w14:textId="397B2033" w:rsidR="00651C98" w:rsidRDefault="00651C98" w:rsidP="008706E5">
      <w:pPr>
        <w:pStyle w:val="Abstract"/>
      </w:pPr>
      <w:r w:rsidRPr="00651C98">
        <w:t>Zusammenfassung</w:t>
      </w:r>
      <w:r w:rsidRPr="00651C98">
        <w:br/>
        <w:t>Bisherige Untersuchungen zum Nachteilsausgleich auf Sekundarstufe II konzentrierten sich auf die Berufsfachschule, nicht jedoch auf</w:t>
      </w:r>
      <w:r w:rsidR="00CB34A3">
        <w:t xml:space="preserve"> die</w:t>
      </w:r>
      <w:r w:rsidRPr="00651C98">
        <w:t xml:space="preserve"> Lernorte überbetriebliche Kurse (</w:t>
      </w:r>
      <w:proofErr w:type="spellStart"/>
      <w:r w:rsidRPr="00651C98">
        <w:t>üK</w:t>
      </w:r>
      <w:proofErr w:type="spellEnd"/>
      <w:r w:rsidRPr="00651C98">
        <w:t xml:space="preserve">) und Betriebe. Eine Studie der Eidgenössischen Hochschule für Berufsbildung (EHB) zeigt anhand von Interviews Zwischenergebnisse zur Umsetzung des </w:t>
      </w:r>
      <w:r w:rsidR="007E657F">
        <w:t>Nachteilsausgleich</w:t>
      </w:r>
      <w:r w:rsidR="00307309">
        <w:t xml:space="preserve">s </w:t>
      </w:r>
      <w:r w:rsidRPr="00651C98">
        <w:t xml:space="preserve">an </w:t>
      </w:r>
      <w:r w:rsidR="00CE04AC">
        <w:t>allen drei</w:t>
      </w:r>
      <w:r w:rsidRPr="00651C98">
        <w:t xml:space="preserve"> Lernorten und </w:t>
      </w:r>
      <w:r w:rsidR="0094481F">
        <w:t xml:space="preserve">zur Zusammenarbeit mit </w:t>
      </w:r>
      <w:r w:rsidRPr="00651C98">
        <w:t>dem kantonalen Amt</w:t>
      </w:r>
      <w:r w:rsidR="0094481F">
        <w:t xml:space="preserve"> für Berufsbildung</w:t>
      </w:r>
      <w:r w:rsidRPr="00651C98">
        <w:t xml:space="preserve">. Die Zusammenarbeit zwischen den Lernorten und dem kantonalen Amt </w:t>
      </w:r>
      <w:r w:rsidR="0094481F">
        <w:t xml:space="preserve">für Berufsbildung </w:t>
      </w:r>
      <w:r w:rsidRPr="00651C98">
        <w:t xml:space="preserve">kann als Gelingensbedingung bezeichnet werden, während kantonale Unterschiede und der Datenschutz Herausforderungen </w:t>
      </w:r>
      <w:r w:rsidR="0091027B">
        <w:t>bilden</w:t>
      </w:r>
      <w:r w:rsidRPr="00651C98">
        <w:t>.</w:t>
      </w:r>
    </w:p>
    <w:p w14:paraId="6D4388C5" w14:textId="2A9207C9" w:rsidR="004708EF" w:rsidRPr="0024315A" w:rsidRDefault="008706E5" w:rsidP="00CA4580">
      <w:pPr>
        <w:pStyle w:val="Abstract"/>
        <w:rPr>
          <w:lang w:val="fr-CH"/>
        </w:rPr>
      </w:pPr>
      <w:r w:rsidRPr="0024315A">
        <w:rPr>
          <w:lang w:val="fr-CH"/>
        </w:rPr>
        <w:t>Résumé</w:t>
      </w:r>
      <w:r w:rsidRPr="0024315A">
        <w:rPr>
          <w:lang w:val="fr-CH"/>
        </w:rPr>
        <w:br/>
      </w:r>
      <w:r w:rsidR="0024315A" w:rsidRPr="0024315A">
        <w:rPr>
          <w:iCs/>
          <w:lang w:val="fr-CH"/>
        </w:rPr>
        <w:t>Jusqu'à présent, les études sur la compensation des désavantages au niveau du secondaire II se sont concentrées sur les écoles professionnelles, laissant de côté les cours interentreprises (CI) et les formations en entreprise. Une étude de la Haute école fédérale de formation professionnelle (IFFP) présente, sur la base d'interviews, des résultats intermédiaires sur la mise en œuvre de la compensation des désavantages dans ces trois lieux de formation ainsi que sur la collaboration avec les services cantonaux responsables de la formation professionnelle de divers cantons. La collaboration entre les lieux de formation et le service cantonal de la formation professionnelle peut être considérée comme une condition de réussite, tandis que les différences cantonales et la protection des données constituent des défis.</w:t>
      </w:r>
    </w:p>
    <w:p w14:paraId="1A1F372A" w14:textId="1EFC0874" w:rsidR="00651C98" w:rsidRPr="002C58D0" w:rsidRDefault="00651C98" w:rsidP="00FF5A35">
      <w:pPr>
        <w:rPr>
          <w:lang w:val="fr-CH"/>
        </w:rPr>
      </w:pPr>
      <w:proofErr w:type="gramStart"/>
      <w:r w:rsidRPr="0024315A">
        <w:rPr>
          <w:b/>
          <w:bCs/>
          <w:lang w:val="fr-CH"/>
        </w:rPr>
        <w:t>Keywords</w:t>
      </w:r>
      <w:r w:rsidRPr="0024315A">
        <w:rPr>
          <w:lang w:val="fr-CH"/>
        </w:rPr>
        <w:t>:</w:t>
      </w:r>
      <w:proofErr w:type="gramEnd"/>
      <w:r w:rsidRPr="0024315A">
        <w:rPr>
          <w:lang w:val="fr-CH"/>
        </w:rPr>
        <w:t xml:space="preserve"> </w:t>
      </w:r>
      <w:r w:rsidR="006C1126" w:rsidRPr="00E13951">
        <w:t>Nachteilsausgleich, berufliche Grundbildung, Berufsbildung, duales System, Lernorte</w:t>
      </w:r>
      <w:r w:rsidR="006C1126" w:rsidRPr="0024315A">
        <w:rPr>
          <w:lang w:val="fr-CH"/>
        </w:rPr>
        <w:t xml:space="preserve"> / </w:t>
      </w:r>
      <w:r w:rsidR="006C1126" w:rsidRPr="002C58D0">
        <w:rPr>
          <w:lang w:val="fr-CH"/>
        </w:rPr>
        <w:t>compensation des désavantages, formation professionnelle initiale, formation professionnelle, système dual, lieu de formation</w:t>
      </w:r>
    </w:p>
    <w:p w14:paraId="3A9404AC" w14:textId="0B2691A3" w:rsidR="00651C98" w:rsidRPr="00651C98" w:rsidRDefault="00651C98" w:rsidP="00FF5A35">
      <w:pPr>
        <w:rPr>
          <w:bCs/>
          <w:iCs/>
          <w:lang w:val="fr-CH"/>
        </w:rPr>
      </w:pPr>
      <w:proofErr w:type="gramStart"/>
      <w:r w:rsidRPr="00651C98">
        <w:rPr>
          <w:b/>
          <w:bCs/>
          <w:lang w:val="fr-CH"/>
        </w:rPr>
        <w:t>DOI</w:t>
      </w:r>
      <w:r w:rsidRPr="00651C98">
        <w:rPr>
          <w:lang w:val="fr-CH"/>
        </w:rPr>
        <w:t>:</w:t>
      </w:r>
      <w:proofErr w:type="gramEnd"/>
      <w:r w:rsidRPr="00651C98">
        <w:rPr>
          <w:lang w:val="fr-CH"/>
        </w:rPr>
        <w:t xml:space="preserve"> </w:t>
      </w:r>
      <w:hyperlink r:id="rId11" w:history="1">
        <w:r w:rsidR="0055403E" w:rsidRPr="00F9297D">
          <w:rPr>
            <w:rStyle w:val="Hyperlink"/>
            <w:lang w:val="fr-CH"/>
          </w:rPr>
          <w:t>https://doi.org/10.57161/z2024-07-07</w:t>
        </w:r>
      </w:hyperlink>
    </w:p>
    <w:p w14:paraId="5B842016" w14:textId="58F6CA93" w:rsidR="00651C98" w:rsidRPr="00651C98" w:rsidRDefault="00651C98" w:rsidP="00FF5A35">
      <w:r w:rsidRPr="00651C98">
        <w:t xml:space="preserve">Schweizerische Zeitschrift für Heilpädagogik, Jg. </w:t>
      </w:r>
      <w:r w:rsidR="00436821">
        <w:t>30</w:t>
      </w:r>
      <w:r w:rsidRPr="00651C98">
        <w:t xml:space="preserve">, </w:t>
      </w:r>
      <w:r w:rsidR="00436821">
        <w:t>07</w:t>
      </w:r>
      <w:r w:rsidRPr="00651C98">
        <w:t>/</w:t>
      </w:r>
      <w:r w:rsidR="00436821">
        <w:t>2024</w:t>
      </w:r>
    </w:p>
    <w:p w14:paraId="76CFD184" w14:textId="77777777" w:rsidR="00651C98" w:rsidRPr="00651C98" w:rsidRDefault="00651C98" w:rsidP="00FF5A35">
      <w:pPr>
        <w:spacing w:after="200"/>
        <w:rPr>
          <w:lang w:val="fr-CH"/>
        </w:rPr>
      </w:pPr>
      <w:r w:rsidRPr="00651C98">
        <w:rPr>
          <w:noProof/>
        </w:rPr>
        <w:drawing>
          <wp:inline distT="0" distB="0" distL="0" distR="0" wp14:anchorId="792424AC" wp14:editId="7A9FD823">
            <wp:extent cx="1143000" cy="400050"/>
            <wp:effectExtent l="0" t="0" r="0" b="0"/>
            <wp:docPr id="2045468486" name="Grafik 2045468486"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1DA5B9E1" w14:textId="77777777" w:rsidR="00651C98" w:rsidRPr="00651C98" w:rsidRDefault="00651C98" w:rsidP="00651C98">
      <w:pPr>
        <w:pStyle w:val="berschrift1"/>
      </w:pPr>
      <w:r w:rsidRPr="00651C98">
        <w:t>Ausgangslage und Problemstellung</w:t>
      </w:r>
    </w:p>
    <w:p w14:paraId="79D8A934" w14:textId="7709029C" w:rsidR="00651C98" w:rsidRPr="00651C98" w:rsidRDefault="00651C98" w:rsidP="00AA250E">
      <w:pPr>
        <w:pStyle w:val="Textkrper"/>
        <w:ind w:firstLine="0"/>
      </w:pPr>
      <w:r w:rsidRPr="00651C98">
        <w:t xml:space="preserve">In der </w:t>
      </w:r>
      <w:r w:rsidR="00D65FF0">
        <w:t>«</w:t>
      </w:r>
      <w:r w:rsidRPr="00651C98">
        <w:t>Agenda 2030 für nachhaltige Entwicklung</w:t>
      </w:r>
      <w:r w:rsidR="00D65FF0">
        <w:t>»</w:t>
      </w:r>
      <w:r w:rsidRPr="00651C98">
        <w:t xml:space="preserve"> (EDA, 2020) </w:t>
      </w:r>
      <w:r w:rsidR="00360422">
        <w:t>steht die Aufgabe</w:t>
      </w:r>
      <w:r w:rsidRPr="00651C98">
        <w:t xml:space="preserve">, allen Menschen Zugang zu qualitativ hochwertiger beruflicher Bildung zu ermöglichen. Dieses Ziel basiert auf der seit 2014 verbindlichen Behindertenrechtskonvention. </w:t>
      </w:r>
      <w:r w:rsidR="0065404C">
        <w:t>Um eine</w:t>
      </w:r>
      <w:r w:rsidRPr="00651C98">
        <w:t xml:space="preserve"> inklusive Berufsbildung </w:t>
      </w:r>
      <w:r w:rsidR="0065404C">
        <w:t xml:space="preserve">zu fördern, </w:t>
      </w:r>
      <w:r w:rsidRPr="00651C98">
        <w:t xml:space="preserve">wurden </w:t>
      </w:r>
      <w:r w:rsidR="00E30D1F">
        <w:t xml:space="preserve">deshalb </w:t>
      </w:r>
      <w:r w:rsidRPr="00651C98">
        <w:t xml:space="preserve">in der aktuellen Berufsbildungsverordnung verschiedene Unterstützungsmassnahmen verankert. Dies ist </w:t>
      </w:r>
      <w:r w:rsidR="0065404C">
        <w:t>insbesondere wichtig</w:t>
      </w:r>
      <w:r w:rsidRPr="00651C98">
        <w:t xml:space="preserve">, da auf der Sekundarstufe II im Gegensatz zur obligatorischen Schule weniger sonderpädagogische Unterstützungsangebote existieren. Der Nachteilsausgleich </w:t>
      </w:r>
      <w:r w:rsidR="0096527F">
        <w:t>gilt</w:t>
      </w:r>
      <w:r w:rsidRPr="00651C98">
        <w:t xml:space="preserve"> dabei als zielführendes Instrument (Schellenberg et al., 2021). Lernende mit Behinderung erhalten einen N</w:t>
      </w:r>
      <w:r w:rsidR="0096527F">
        <w:t>achteilsausgleich</w:t>
      </w:r>
      <w:r w:rsidRPr="00651C98">
        <w:t xml:space="preserve">, </w:t>
      </w:r>
      <w:r w:rsidR="0096527F">
        <w:t>wenn</w:t>
      </w:r>
      <w:r w:rsidRPr="00651C98">
        <w:t xml:space="preserve"> sie auf behinderungsbedingte Anpassungen am Arbeitsplatz, in der Berufsfachschule, in den überbetrieblichen Kursen (</w:t>
      </w:r>
      <w:proofErr w:type="spellStart"/>
      <w:r w:rsidRPr="00651C98">
        <w:t>üK</w:t>
      </w:r>
      <w:proofErr w:type="spellEnd"/>
      <w:r w:rsidRPr="00651C98">
        <w:t xml:space="preserve">) sowie im Rahmen des Qualifikationsverfahrens angewiesen sind (SDBB, 2013). Die </w:t>
      </w:r>
      <w:proofErr w:type="gramStart"/>
      <w:r w:rsidRPr="00191B96">
        <w:rPr>
          <w:i/>
          <w:iCs/>
        </w:rPr>
        <w:t>Schweizerische</w:t>
      </w:r>
      <w:proofErr w:type="gramEnd"/>
      <w:r w:rsidRPr="00191B96">
        <w:rPr>
          <w:i/>
          <w:iCs/>
        </w:rPr>
        <w:t xml:space="preserve"> Berufsbildungsämter-Konferenz</w:t>
      </w:r>
      <w:r w:rsidRPr="00651C98">
        <w:t xml:space="preserve"> (SBBK</w:t>
      </w:r>
      <w:r w:rsidR="006F5D35">
        <w:t>, 2023</w:t>
      </w:r>
      <w:r w:rsidRPr="00651C98">
        <w:t>) empfiehlt</w:t>
      </w:r>
      <w:r w:rsidR="006F5D35" w:rsidRPr="006F5D35">
        <w:t xml:space="preserve"> </w:t>
      </w:r>
      <w:r w:rsidR="006F5D35" w:rsidRPr="00651C98">
        <w:t>eine förderorientierte Zusammenarbeit aller Beteiligten</w:t>
      </w:r>
      <w:r w:rsidR="00D43FCB">
        <w:t>, damit der Nachteilsausgleich gelingen kann</w:t>
      </w:r>
      <w:r w:rsidRPr="00651C98">
        <w:t xml:space="preserve">. Vor diesem Hintergrund stellt sich die Frage, wie diese </w:t>
      </w:r>
      <w:r w:rsidR="006E152D">
        <w:t xml:space="preserve">Zusammenarbeit </w:t>
      </w:r>
      <w:r w:rsidRPr="00651C98">
        <w:t>gestaltet</w:t>
      </w:r>
      <w:r w:rsidR="00534D84">
        <w:t xml:space="preserve"> werden kann</w:t>
      </w:r>
      <w:r w:rsidR="006E152D">
        <w:t>.</w:t>
      </w:r>
      <w:r w:rsidRPr="00651C98">
        <w:t xml:space="preserve"> </w:t>
      </w:r>
      <w:r w:rsidR="00E840F3" w:rsidRPr="00E840F3">
        <w:t xml:space="preserve">Auf Grundlage dieser Frage führte die </w:t>
      </w:r>
      <w:r w:rsidR="00E45415" w:rsidRPr="00A13F4D">
        <w:rPr>
          <w:i/>
          <w:iCs/>
        </w:rPr>
        <w:t>Eidgenössische Hochschule für Berufsbildung</w:t>
      </w:r>
      <w:r w:rsidR="00E45415">
        <w:t xml:space="preserve"> (</w:t>
      </w:r>
      <w:r w:rsidR="00E840F3" w:rsidRPr="00E840F3">
        <w:t>EHB</w:t>
      </w:r>
      <w:r w:rsidR="00E45415">
        <w:t>)</w:t>
      </w:r>
      <w:r w:rsidR="00E840F3" w:rsidRPr="00E840F3">
        <w:t xml:space="preserve"> </w:t>
      </w:r>
      <w:r w:rsidR="00621322">
        <w:t>eine</w:t>
      </w:r>
      <w:r w:rsidR="00E840F3" w:rsidRPr="00E840F3">
        <w:t xml:space="preserve"> Untersuchung zu Gelingensbedingungen und Herausforderungen an den drei Lernorten und im Zusammenspiel mit dem kantonalen Amt für Berufsbildung durch</w:t>
      </w:r>
      <w:r w:rsidR="00E840F3">
        <w:t>.</w:t>
      </w:r>
    </w:p>
    <w:p w14:paraId="07E02023" w14:textId="1116DB6A" w:rsidR="00651C98" w:rsidRPr="00651C98" w:rsidRDefault="00651C98" w:rsidP="00651C98">
      <w:pPr>
        <w:pStyle w:val="berschrift1"/>
      </w:pPr>
      <w:r w:rsidRPr="00651C98">
        <w:lastRenderedPageBreak/>
        <w:t>Methodisches Vorgehen</w:t>
      </w:r>
    </w:p>
    <w:p w14:paraId="3C3D9616" w14:textId="766A52FE" w:rsidR="00651C98" w:rsidRPr="00651C98" w:rsidRDefault="00651C98" w:rsidP="00651C98">
      <w:pPr>
        <w:pStyle w:val="Textkrper"/>
        <w:ind w:firstLine="0"/>
      </w:pPr>
      <w:r w:rsidRPr="00651C98">
        <w:t xml:space="preserve">Die Untersuchung basiert auf einem zweistufigen Verfahren mit qualitativen und quantitativen Befragungen. Dieser Beitrag gibt einen Zwischenbericht über den qualitativen Teil der Studie. </w:t>
      </w:r>
      <w:r w:rsidR="00E4024E" w:rsidRPr="00E4024E">
        <w:t>Zunächst wurden verfügbare Dokumente zur Umsetzung/Handhabung des N</w:t>
      </w:r>
      <w:r w:rsidR="00E4024E">
        <w:t>achteilsausgleichs</w:t>
      </w:r>
      <w:r w:rsidR="00E4024E" w:rsidRPr="00E4024E">
        <w:t xml:space="preserve"> gesichtet, um einen ersten Überblick zu gewinnen (N</w:t>
      </w:r>
      <w:r w:rsidR="00E4024E">
        <w:t> </w:t>
      </w:r>
      <w:r w:rsidR="00E4024E" w:rsidRPr="00E4024E">
        <w:t>=</w:t>
      </w:r>
      <w:r w:rsidR="00E4024E">
        <w:t> </w:t>
      </w:r>
      <w:r w:rsidR="00E4024E" w:rsidRPr="00E4024E">
        <w:t xml:space="preserve">8). </w:t>
      </w:r>
      <w:r w:rsidRPr="00651C98">
        <w:t>Daraufhin wurden drei Kantone ausgewählt, in denen</w:t>
      </w:r>
      <w:r w:rsidR="002B7229">
        <w:t xml:space="preserve"> Personen</w:t>
      </w:r>
      <w:r w:rsidRPr="00651C98">
        <w:t xml:space="preserve"> jeweils ein</w:t>
      </w:r>
      <w:r w:rsidR="002B7229">
        <w:t>es</w:t>
      </w:r>
      <w:r w:rsidRPr="00651C98">
        <w:t xml:space="preserve"> Betrieb</w:t>
      </w:r>
      <w:r w:rsidR="008E156D">
        <w:t>s</w:t>
      </w:r>
      <w:r w:rsidRPr="00651C98">
        <w:t>, eine</w:t>
      </w:r>
      <w:r w:rsidR="002B7229">
        <w:t>r</w:t>
      </w:r>
      <w:r w:rsidRPr="00651C98">
        <w:t xml:space="preserve"> Berufsfachschule, ein</w:t>
      </w:r>
      <w:r w:rsidR="002B7229">
        <w:t>es</w:t>
      </w:r>
      <w:r w:rsidRPr="00651C98">
        <w:t xml:space="preserve"> </w:t>
      </w:r>
      <w:proofErr w:type="spellStart"/>
      <w:r w:rsidRPr="00651C98">
        <w:t>üK</w:t>
      </w:r>
      <w:proofErr w:type="spellEnd"/>
      <w:r w:rsidRPr="00651C98">
        <w:t>-Zentrum</w:t>
      </w:r>
      <w:r w:rsidR="00D42978">
        <w:t>s</w:t>
      </w:r>
      <w:r w:rsidRPr="00651C98">
        <w:t xml:space="preserve"> und d</w:t>
      </w:r>
      <w:r w:rsidR="002B7229">
        <w:t>es</w:t>
      </w:r>
      <w:r w:rsidRPr="00651C98">
        <w:t xml:space="preserve"> kantonale</w:t>
      </w:r>
      <w:r w:rsidR="002B7229">
        <w:t>n</w:t>
      </w:r>
      <w:r w:rsidRPr="00651C98">
        <w:t xml:space="preserve"> Amt</w:t>
      </w:r>
      <w:r w:rsidR="002B7229">
        <w:t>s</w:t>
      </w:r>
      <w:r w:rsidRPr="00651C98">
        <w:t xml:space="preserve"> </w:t>
      </w:r>
      <w:r w:rsidR="008E156D">
        <w:t xml:space="preserve">für Berufsbildung </w:t>
      </w:r>
      <w:r w:rsidRPr="00651C98">
        <w:t>befragt wurden (N</w:t>
      </w:r>
      <w:r w:rsidR="00D42978">
        <w:t> </w:t>
      </w:r>
      <w:r w:rsidRPr="00651C98">
        <w:t>=</w:t>
      </w:r>
      <w:r w:rsidR="00D42978">
        <w:t> </w:t>
      </w:r>
      <w:r w:rsidRPr="00651C98">
        <w:t xml:space="preserve">12). </w:t>
      </w:r>
      <w:r w:rsidR="00A75215" w:rsidRPr="00A75215">
        <w:t xml:space="preserve">Die Sicht der Lernenden </w:t>
      </w:r>
      <w:r w:rsidR="00A75215">
        <w:t>war</w:t>
      </w:r>
      <w:r w:rsidR="00A75215" w:rsidRPr="00A75215">
        <w:t xml:space="preserve"> somit kein Bestandteil der Untersuchung</w:t>
      </w:r>
      <w:r w:rsidR="00A75215">
        <w:t>.</w:t>
      </w:r>
      <w:r w:rsidR="00A75215" w:rsidRPr="00A75215">
        <w:t xml:space="preserve"> </w:t>
      </w:r>
      <w:r w:rsidRPr="00651C98">
        <w:t>Die Stichprobe zielte auf maximale Kontrastierung ab</w:t>
      </w:r>
      <w:r w:rsidR="007D7512">
        <w:t>:</w:t>
      </w:r>
      <w:r w:rsidRPr="00651C98">
        <w:t xml:space="preserve"> Befragt wurden </w:t>
      </w:r>
      <w:r w:rsidR="00C83D14">
        <w:t xml:space="preserve">deshalb </w:t>
      </w:r>
      <w:r w:rsidR="00CF184E">
        <w:t xml:space="preserve">für die Berufsbildung zuständige </w:t>
      </w:r>
      <w:r w:rsidRPr="00651C98">
        <w:t>Personen aus grossen, mittleren und kleinen Kantonen</w:t>
      </w:r>
      <w:r w:rsidR="00AA3BBC">
        <w:t xml:space="preserve">. Zudem wurden Personen </w:t>
      </w:r>
      <w:r w:rsidRPr="00651C98">
        <w:t>aus Betrieben unterschiedlicher Grössenordnungen</w:t>
      </w:r>
      <w:r w:rsidR="00AA3BBC">
        <w:t xml:space="preserve"> befragt (g</w:t>
      </w:r>
      <w:r w:rsidRPr="00651C98">
        <w:t xml:space="preserve">rosse </w:t>
      </w:r>
      <w:r w:rsidR="00AA3BBC">
        <w:t>[</w:t>
      </w:r>
      <w:r w:rsidRPr="00651C98">
        <w:t>&gt;500 Mitarbeitende</w:t>
      </w:r>
      <w:r w:rsidR="00070A69">
        <w:t>]</w:t>
      </w:r>
      <w:r w:rsidRPr="00651C98">
        <w:t xml:space="preserve">, mittlere </w:t>
      </w:r>
      <w:r w:rsidR="00070A69">
        <w:t>[</w:t>
      </w:r>
      <w:r w:rsidRPr="00651C98">
        <w:t>&lt;50</w:t>
      </w:r>
      <w:r w:rsidR="00070A69">
        <w:t>]</w:t>
      </w:r>
      <w:r w:rsidRPr="00651C98">
        <w:t xml:space="preserve"> und Kleinstbetriebe </w:t>
      </w:r>
      <w:r w:rsidR="00070A69">
        <w:t>[</w:t>
      </w:r>
      <w:r w:rsidRPr="00651C98">
        <w:t>&lt;10</w:t>
      </w:r>
      <w:r w:rsidR="00070A69">
        <w:t>])</w:t>
      </w:r>
      <w:r w:rsidRPr="00651C98">
        <w:t xml:space="preserve">. Die </w:t>
      </w:r>
      <w:proofErr w:type="spellStart"/>
      <w:r w:rsidRPr="00651C98">
        <w:t>üK</w:t>
      </w:r>
      <w:proofErr w:type="spellEnd"/>
      <w:r w:rsidRPr="00651C98">
        <w:t>-Zentren deckten verschiedene Berufsgruppen ab</w:t>
      </w:r>
      <w:r w:rsidR="001974EE">
        <w:t>:</w:t>
      </w:r>
      <w:r w:rsidRPr="00651C98">
        <w:t xml:space="preserve"> gewerbliche, gesundheitlich-soziale und dienstleistungsorientierte Berufe. Ferner wurden Berufsfachschulen verschiedener Grössenordnungen (&gt;5000, &gt;3000, &gt;1500 Lernende) berücksichtigt. Die Interviews wurden mit der qualitativen </w:t>
      </w:r>
      <w:r w:rsidR="001974EE">
        <w:t>I</w:t>
      </w:r>
      <w:r w:rsidRPr="00651C98">
        <w:t>nhaltsanalyse ausgewertet (Mayring, 2015).</w:t>
      </w:r>
    </w:p>
    <w:p w14:paraId="04F704AA" w14:textId="786FEB1D" w:rsidR="00651C98" w:rsidRPr="00651C98" w:rsidRDefault="00651C98" w:rsidP="00651C98">
      <w:pPr>
        <w:pStyle w:val="berschrift1"/>
      </w:pPr>
      <w:r w:rsidRPr="00651C98">
        <w:t>Ergebnisse</w:t>
      </w:r>
    </w:p>
    <w:p w14:paraId="137AA91B" w14:textId="5154173E" w:rsidR="00651C98" w:rsidRPr="00651C98" w:rsidRDefault="00B1380C" w:rsidP="00651C98">
      <w:pPr>
        <w:pStyle w:val="Textkrper"/>
        <w:ind w:firstLine="0"/>
      </w:pPr>
      <w:r>
        <w:t xml:space="preserve">Es werden nicht alle </w:t>
      </w:r>
      <w:r w:rsidR="00651C98" w:rsidRPr="00651C98">
        <w:t xml:space="preserve">Ergebnisse </w:t>
      </w:r>
      <w:r w:rsidR="006D214A">
        <w:t xml:space="preserve">präsentiert. Stattdessen werden </w:t>
      </w:r>
      <w:r w:rsidR="007B0374">
        <w:t>einige grundlegende Überlegungen aus den Interviews wiedergegeben</w:t>
      </w:r>
      <w:r w:rsidR="00651C98" w:rsidRPr="00651C98">
        <w:t>.</w:t>
      </w:r>
    </w:p>
    <w:p w14:paraId="17D2ED54" w14:textId="45699A8E" w:rsidR="00651C98" w:rsidRDefault="00651C98" w:rsidP="00651C98">
      <w:pPr>
        <w:pStyle w:val="berschrift2"/>
        <w:jc w:val="both"/>
      </w:pPr>
      <w:r w:rsidRPr="00651C98">
        <w:t>Kantonales Amt</w:t>
      </w:r>
      <w:r w:rsidR="00C43FE4">
        <w:t xml:space="preserve"> für Berufsbildung</w:t>
      </w:r>
    </w:p>
    <w:p w14:paraId="0F1BF6DA" w14:textId="220C9791" w:rsidR="00651C98" w:rsidRDefault="00592776" w:rsidP="00651C98">
      <w:pPr>
        <w:pStyle w:val="Textkrper"/>
        <w:ind w:firstLine="0"/>
      </w:pPr>
      <w:r w:rsidRPr="00104665">
        <w:rPr>
          <w:noProof/>
          <w:lang w:eastAsia="de-CH"/>
        </w:rPr>
        <mc:AlternateContent>
          <mc:Choice Requires="wps">
            <w:drawing>
              <wp:anchor distT="45720" distB="45720" distL="46990" distR="46990" simplePos="0" relativeHeight="251658240" behindDoc="0" locked="0" layoutInCell="1" allowOverlap="0" wp14:anchorId="53D9ED0C" wp14:editId="1EDB647D">
                <wp:simplePos x="0" y="0"/>
                <wp:positionH relativeFrom="page">
                  <wp:align>left</wp:align>
                </wp:positionH>
                <wp:positionV relativeFrom="paragraph">
                  <wp:posOffset>2227525</wp:posOffset>
                </wp:positionV>
                <wp:extent cx="5899150" cy="510540"/>
                <wp:effectExtent l="0" t="0" r="0" b="3810"/>
                <wp:wrapTopAndBottom/>
                <wp:docPr id="1980233223" name="Textfeld 19802332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510540"/>
                        </a:xfrm>
                        <a:prstGeom prst="rect">
                          <a:avLst/>
                        </a:prstGeom>
                        <a:noFill/>
                        <a:ln w="9525">
                          <a:noFill/>
                          <a:miter lim="800000"/>
                          <a:headEnd/>
                          <a:tailEnd/>
                        </a:ln>
                      </wps:spPr>
                      <wps:txbx>
                        <w:txbxContent>
                          <w:p w14:paraId="7E185BFD" w14:textId="77777777" w:rsidR="009F3799" w:rsidRDefault="009F3799" w:rsidP="00104665">
                            <w:pPr>
                              <w:pStyle w:val="Hervorhebung1"/>
                            </w:pPr>
                            <w:r w:rsidRPr="009F3799">
                              <w:t xml:space="preserve">Das kantonale Amt für Berufsbildung </w:t>
                            </w:r>
                            <w:r>
                              <w:t>gilt</w:t>
                            </w:r>
                            <w:r w:rsidRPr="009F3799">
                              <w:t xml:space="preserve"> als Schnittstelle zwischen Lernenden </w:t>
                            </w:r>
                          </w:p>
                          <w:p w14:paraId="2213A295" w14:textId="42BD9560" w:rsidR="00104665" w:rsidRDefault="009F3799" w:rsidP="00104665">
                            <w:pPr>
                              <w:pStyle w:val="Hervorhebung1"/>
                            </w:pPr>
                            <w:r w:rsidRPr="009F3799">
                              <w:t>und Lernorten</w:t>
                            </w:r>
                            <w:r>
                              <w:t>.</w:t>
                            </w:r>
                          </w:p>
                          <w:p w14:paraId="6650E221" w14:textId="77777777" w:rsidR="00104665" w:rsidRPr="00182745" w:rsidRDefault="00104665" w:rsidP="00104665">
                            <w:pPr>
                              <w:pStyle w:val="Hervorhebung1"/>
                            </w:pPr>
                            <w:r w:rsidRPr="00020775">
                              <w:t>zuhause die Bildungschancen der Kinder beeinfluss</w:t>
                            </w:r>
                            <w:r>
                              <w:t>en</w:t>
                            </w:r>
                            <w:r w:rsidRPr="00020775">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D9ED0C" id="_x0000_t202" coordsize="21600,21600" o:spt="202" path="m,l,21600r21600,l21600,xe">
                <v:stroke joinstyle="miter"/>
                <v:path gradientshapeok="t" o:connecttype="rect"/>
              </v:shapetype>
              <v:shape id="Textfeld 1980233223" o:spid="_x0000_s1026" type="#_x0000_t202" alt="&quot;&quot;" style="position:absolute;left:0;text-align:left;margin-left:0;margin-top:175.4pt;width:464.5pt;height:40.2pt;z-index:251658240;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" o:allowoverlap="f" filled="f" stroked="f">
                <v:textbox inset="29mm,,2.5mm">
                  <w:txbxContent>
                    <w:p w14:paraId="7E185BFD" w14:textId="77777777" w:rsidR="009F3799" w:rsidRDefault="009F3799" w:rsidP="00104665">
                      <w:pPr>
                        <w:pStyle w:val="Hervorhebung1"/>
                      </w:pPr>
                      <w:r w:rsidRPr="009F3799">
                        <w:t xml:space="preserve">Das kantonale Amt für Berufsbildung </w:t>
                      </w:r>
                      <w:r>
                        <w:t>gilt</w:t>
                      </w:r>
                      <w:r w:rsidRPr="009F3799">
                        <w:t xml:space="preserve"> als Schnittstelle zwischen Lernenden </w:t>
                      </w:r>
                    </w:p>
                    <w:p w14:paraId="2213A295" w14:textId="42BD9560" w:rsidR="00104665" w:rsidRDefault="009F3799" w:rsidP="00104665">
                      <w:pPr>
                        <w:pStyle w:val="Hervorhebung1"/>
                      </w:pPr>
                      <w:r w:rsidRPr="009F3799">
                        <w:t>und Lernorten</w:t>
                      </w:r>
                      <w:r>
                        <w:t>.</w:t>
                      </w:r>
                    </w:p>
                    <w:p w14:paraId="6650E221" w14:textId="77777777" w:rsidR="00104665" w:rsidRPr="00182745" w:rsidRDefault="00104665" w:rsidP="00104665">
                      <w:pPr>
                        <w:pStyle w:val="Hervorhebung1"/>
                      </w:pPr>
                      <w:r w:rsidRPr="00020775">
                        <w:t>zuhause die Bildungschancen der Kinder beeinfluss</w:t>
                      </w:r>
                      <w:r>
                        <w:t>en</w:t>
                      </w:r>
                      <w:r w:rsidRPr="00020775">
                        <w:t>.</w:t>
                      </w:r>
                    </w:p>
                  </w:txbxContent>
                </v:textbox>
                <w10:wrap type="topAndBottom" anchorx="page"/>
              </v:shape>
            </w:pict>
          </mc:Fallback>
        </mc:AlternateContent>
      </w:r>
      <w:r w:rsidR="00332A5B" w:rsidRPr="00332A5B">
        <w:t>Das kantonale Amt für Berufsbildung kann als Schnittstelle zwischen Lernenden und Lernorten bezeichnet werden. Die Gesuche werden beim kantonalen Amt für Berufsbildung eingereicht, das dann über die Gewährung des N</w:t>
      </w:r>
      <w:r w:rsidR="00332A5B">
        <w:t>achteilsausgleichs</w:t>
      </w:r>
      <w:r w:rsidR="00332A5B" w:rsidRPr="00332A5B">
        <w:t xml:space="preserve"> entscheidet. Die Interviews haben diesbezüglich gezeigt, dass das kantonale Amt für Berufsbildung über eine hohe Entscheidungskompetenz verfügt.</w:t>
      </w:r>
      <w:r w:rsidR="006727B2">
        <w:t xml:space="preserve"> </w:t>
      </w:r>
      <w:r w:rsidR="00651C98" w:rsidRPr="00651C98">
        <w:t xml:space="preserve">In den Interviews wird angemerkt, dass bei Unklarheiten Fachpersonen </w:t>
      </w:r>
      <w:r w:rsidR="00E05B56" w:rsidRPr="00E05B56">
        <w:t>(z.</w:t>
      </w:r>
      <w:r w:rsidR="00E05B56">
        <w:t> </w:t>
      </w:r>
      <w:r w:rsidR="00E05B56" w:rsidRPr="00E05B56">
        <w:t xml:space="preserve">B. </w:t>
      </w:r>
      <w:proofErr w:type="spellStart"/>
      <w:r w:rsidR="00E05B56" w:rsidRPr="00E05B56">
        <w:t>Psycholog</w:t>
      </w:r>
      <w:r w:rsidR="00E05B56">
        <w:t>:inn</w:t>
      </w:r>
      <w:r w:rsidR="00E05B56" w:rsidRPr="00E05B56">
        <w:t>en</w:t>
      </w:r>
      <w:proofErr w:type="spellEnd"/>
      <w:r w:rsidR="00E05B56" w:rsidRPr="00E05B56">
        <w:t xml:space="preserve">, </w:t>
      </w:r>
      <w:proofErr w:type="spellStart"/>
      <w:r w:rsidR="00E05B56" w:rsidRPr="00E05B56">
        <w:t>Ärzt</w:t>
      </w:r>
      <w:r w:rsidR="00E05B56">
        <w:t>:innen</w:t>
      </w:r>
      <w:proofErr w:type="spellEnd"/>
      <w:r w:rsidR="00E05B56" w:rsidRPr="00E05B56">
        <w:t xml:space="preserve">) </w:t>
      </w:r>
      <w:r w:rsidR="00651C98" w:rsidRPr="00651C98">
        <w:t>hinzugezogen werden können oder die Absprache mit den Lernorten</w:t>
      </w:r>
      <w:r w:rsidR="006727B2" w:rsidRPr="006727B2">
        <w:t xml:space="preserve"> </w:t>
      </w:r>
      <w:proofErr w:type="spellStart"/>
      <w:r w:rsidR="006727B2" w:rsidRPr="006727B2">
        <w:t>üK</w:t>
      </w:r>
      <w:proofErr w:type="spellEnd"/>
      <w:r w:rsidR="006727B2" w:rsidRPr="006727B2">
        <w:t xml:space="preserve"> oder Berufsfachschule </w:t>
      </w:r>
      <w:r w:rsidR="00651C98" w:rsidRPr="00651C98">
        <w:t xml:space="preserve">gesucht wird, um möglichst zielführende Massnahmen zu verfügen. Der Austausch mit den </w:t>
      </w:r>
      <w:r w:rsidR="00F00AB0">
        <w:t xml:space="preserve">Verantwortlichen an den </w:t>
      </w:r>
      <w:r w:rsidR="00651C98" w:rsidRPr="00651C98">
        <w:t xml:space="preserve">Lernorten </w:t>
      </w:r>
      <w:proofErr w:type="spellStart"/>
      <w:r w:rsidR="009D634C" w:rsidRPr="009D634C">
        <w:t>üK</w:t>
      </w:r>
      <w:proofErr w:type="spellEnd"/>
      <w:r w:rsidR="009D634C" w:rsidRPr="009D634C">
        <w:t xml:space="preserve"> und Berufsfachschule </w:t>
      </w:r>
      <w:r w:rsidR="00651C98" w:rsidRPr="00651C98">
        <w:t xml:space="preserve">kann in diesem Kontext als eine zentrale Gelingensbedingung beschrieben werden: Die jeweiligen Ansprechpersonen </w:t>
      </w:r>
      <w:r w:rsidR="00B41A42">
        <w:t xml:space="preserve">an den Lernorten </w:t>
      </w:r>
      <w:r w:rsidR="00651C98" w:rsidRPr="00651C98">
        <w:t xml:space="preserve">sind bekannt, es findet ein Austausch statt und es werden Rücksprachen gehalten. </w:t>
      </w:r>
      <w:r w:rsidR="007B44B2">
        <w:t xml:space="preserve">Die </w:t>
      </w:r>
      <w:r w:rsidR="0051257C" w:rsidRPr="0051257C">
        <w:t xml:space="preserve">Verfügungen </w:t>
      </w:r>
      <w:r w:rsidR="007B44B2">
        <w:t xml:space="preserve">sollten </w:t>
      </w:r>
      <w:r w:rsidR="0051257C" w:rsidRPr="0051257C">
        <w:t>klar verständlich formuliert und mit genauen Umsetzungshinweisen versehen sein, damit sie bestmöglich umgesetzt werden können.</w:t>
      </w:r>
      <w:r w:rsidR="0051257C">
        <w:t xml:space="preserve"> </w:t>
      </w:r>
      <w:r w:rsidR="004463BA" w:rsidRPr="004463BA">
        <w:t xml:space="preserve">Die Verfügungen des kantonalen Amtes für Berufsbildung betreffen mehrheitlich die Lernorte Berufsfachschule und </w:t>
      </w:r>
      <w:proofErr w:type="spellStart"/>
      <w:r w:rsidR="004463BA" w:rsidRPr="004463BA">
        <w:t>üK</w:t>
      </w:r>
      <w:proofErr w:type="spellEnd"/>
      <w:r w:rsidR="004463BA" w:rsidRPr="004463BA">
        <w:t>.</w:t>
      </w:r>
    </w:p>
    <w:p w14:paraId="61B9ADC3" w14:textId="7FDF1709" w:rsidR="00651C98" w:rsidRPr="00651C98" w:rsidRDefault="00651C98" w:rsidP="009C28B6">
      <w:pPr>
        <w:pStyle w:val="Textkrper"/>
        <w:ind w:firstLine="0"/>
      </w:pPr>
      <w:r w:rsidRPr="00651C98">
        <w:t xml:space="preserve">Die Tatsache, dass viele </w:t>
      </w:r>
      <w:r w:rsidR="00336333">
        <w:t xml:space="preserve">Lernende ein </w:t>
      </w:r>
      <w:r w:rsidRPr="00651C98">
        <w:t>Gesuch</w:t>
      </w:r>
      <w:r w:rsidR="00336333">
        <w:t xml:space="preserve"> auf Nachteilsausgleich</w:t>
      </w:r>
      <w:r w:rsidRPr="00651C98">
        <w:t xml:space="preserve"> erst mit dem Qualifikationsverfahren (QV) einreichen, erweist sich als Herausforderung und kann zu einer hohen zeitlichen Belastung des kantonalen Amtes f</w:t>
      </w:r>
      <w:r w:rsidRPr="00651C98">
        <w:rPr>
          <w:rFonts w:hint="eastAsia"/>
        </w:rPr>
        <w:t>ü</w:t>
      </w:r>
      <w:r w:rsidRPr="00651C98">
        <w:t xml:space="preserve">hren. </w:t>
      </w:r>
      <w:r w:rsidR="0088237B" w:rsidRPr="0088237B">
        <w:t>Die Befragten streb</w:t>
      </w:r>
      <w:r w:rsidR="00B37F30">
        <w:t>en an</w:t>
      </w:r>
      <w:r w:rsidR="0088237B" w:rsidRPr="0088237B">
        <w:t>, dass die Lernenden ihre Gesuche möglichst zu Beginn der Ausbildung einreichen. Dazu werden Informationsveranstaltungen für die Lernenden in der Berufsfachschule oder indirekt über die drei Lernorte im Rahmen von Lernorttreffen durchgeführt, um die Lernenden zu sensibilisieren</w:t>
      </w:r>
      <w:r w:rsidR="0088237B">
        <w:t>.</w:t>
      </w:r>
      <w:r w:rsidRPr="00651C98">
        <w:rPr>
          <w:rStyle w:val="TextkrperZchn"/>
        </w:rPr>
        <w:t xml:space="preserve"> </w:t>
      </w:r>
    </w:p>
    <w:p w14:paraId="2B4C090D" w14:textId="77777777" w:rsidR="00651C98" w:rsidRPr="00651C98" w:rsidRDefault="00651C98" w:rsidP="00651C98">
      <w:pPr>
        <w:pStyle w:val="berschrift2"/>
      </w:pPr>
      <w:r w:rsidRPr="00651C98">
        <w:t>Lernort Betrieb</w:t>
      </w:r>
    </w:p>
    <w:p w14:paraId="1F041130" w14:textId="5A9A09E4" w:rsidR="00651C98" w:rsidRPr="00651C98" w:rsidRDefault="00651C98" w:rsidP="00651C98">
      <w:pPr>
        <w:pStyle w:val="Textkrper"/>
        <w:ind w:firstLine="0"/>
      </w:pPr>
      <w:r w:rsidRPr="00651C98">
        <w:t xml:space="preserve">Die </w:t>
      </w:r>
      <w:r w:rsidR="00CA0C01">
        <w:t xml:space="preserve">Personen der </w:t>
      </w:r>
      <w:r w:rsidRPr="00651C98">
        <w:t xml:space="preserve">Lehrbetriebe schätzen den Nachteilsausgleich als wirksames Mittel </w:t>
      </w:r>
      <w:r w:rsidR="00B42D33">
        <w:t xml:space="preserve">ein, um </w:t>
      </w:r>
      <w:r w:rsidRPr="00651C98">
        <w:t xml:space="preserve">Chancengleichheit </w:t>
      </w:r>
      <w:r w:rsidR="00B42D33">
        <w:t>zu ermöglichen</w:t>
      </w:r>
      <w:r w:rsidRPr="00651C98">
        <w:t xml:space="preserve">. </w:t>
      </w:r>
      <w:r w:rsidR="00073720">
        <w:t xml:space="preserve">Sie </w:t>
      </w:r>
      <w:r w:rsidR="00B207A3">
        <w:t>beschreiben die</w:t>
      </w:r>
      <w:r w:rsidR="00073720">
        <w:t xml:space="preserve"> Zusammenarbeit mit den Berufsfachschulen, um den Nachteilsausgleich für die Lernenden zu koordinieren. </w:t>
      </w:r>
      <w:r w:rsidR="00CC4569">
        <w:t>Bei der Umsetzung des Nachteilsausgleich</w:t>
      </w:r>
      <w:r w:rsidR="00B207A3">
        <w:t>s</w:t>
      </w:r>
      <w:r w:rsidR="00CC4569">
        <w:t xml:space="preserve"> sind die Betriebe</w:t>
      </w:r>
      <w:r w:rsidR="00EC5F28">
        <w:t xml:space="preserve"> jedoch unabhängig</w:t>
      </w:r>
      <w:r w:rsidR="00084E30">
        <w:t xml:space="preserve"> von den kantonalen Verfügungen.</w:t>
      </w:r>
      <w:r w:rsidR="00EC5F28">
        <w:t xml:space="preserve"> </w:t>
      </w:r>
      <w:r w:rsidR="00DC1432">
        <w:t>Sie sehen d</w:t>
      </w:r>
      <w:r w:rsidRPr="00651C98">
        <w:t xml:space="preserve">ie Einstellung der Lernenden </w:t>
      </w:r>
      <w:r w:rsidR="00DC1432">
        <w:t>als</w:t>
      </w:r>
      <w:r w:rsidR="00370691">
        <w:t xml:space="preserve"> </w:t>
      </w:r>
      <w:r w:rsidRPr="00651C98">
        <w:t xml:space="preserve">entscheidend </w:t>
      </w:r>
      <w:r w:rsidR="005A2642">
        <w:t xml:space="preserve">an </w:t>
      </w:r>
      <w:r w:rsidRPr="00651C98">
        <w:t xml:space="preserve">für eine erfolgreiche berufliche Grundbildung. </w:t>
      </w:r>
      <w:r w:rsidR="007A599F">
        <w:t xml:space="preserve">Die </w:t>
      </w:r>
      <w:r w:rsidR="007A599F" w:rsidRPr="00651C98">
        <w:t>jungen Erwachsenen</w:t>
      </w:r>
      <w:r w:rsidR="007A599F">
        <w:t xml:space="preserve"> brauchen</w:t>
      </w:r>
      <w:r w:rsidR="007A599F" w:rsidRPr="00651C98">
        <w:t xml:space="preserve"> Motivation und den Willen für die Ausbildung</w:t>
      </w:r>
      <w:r w:rsidR="007A599F">
        <w:t>, u</w:t>
      </w:r>
      <w:r w:rsidRPr="00651C98">
        <w:t xml:space="preserve">nabhängig davon, </w:t>
      </w:r>
      <w:r w:rsidRPr="00651C98">
        <w:lastRenderedPageBreak/>
        <w:t xml:space="preserve">ob </w:t>
      </w:r>
      <w:r w:rsidR="007A599F">
        <w:t>sie e</w:t>
      </w:r>
      <w:r w:rsidRPr="00651C98">
        <w:t xml:space="preserve">inen </w:t>
      </w:r>
      <w:r w:rsidR="007E657F">
        <w:t>Nachteilsausgleich</w:t>
      </w:r>
      <w:r w:rsidR="00176238">
        <w:t xml:space="preserve"> erhalten</w:t>
      </w:r>
      <w:r w:rsidRPr="00651C98">
        <w:t xml:space="preserve"> oder nicht. Das Bewusstsein für die eigenen Stärken und Schwächen sowie ein verständnisvoller Umgang mit diesen innerhalb des Betriebes sind </w:t>
      </w:r>
      <w:r w:rsidR="00111C8F">
        <w:t xml:space="preserve">weitere </w:t>
      </w:r>
      <w:r w:rsidRPr="00651C98">
        <w:t xml:space="preserve">entscheidende Faktoren. Die </w:t>
      </w:r>
      <w:proofErr w:type="spellStart"/>
      <w:r w:rsidR="00C769A2">
        <w:t>Vertreter:innen</w:t>
      </w:r>
      <w:proofErr w:type="spellEnd"/>
      <w:r w:rsidR="00C769A2">
        <w:t xml:space="preserve"> der </w:t>
      </w:r>
      <w:r w:rsidRPr="00651C98">
        <w:t>Betriebe schildern verschiedene individuelle Förder- und Unterstützungsmöglichkeiten für die Lernenden, um diese zum Ausbildungserfolg zu führen. Beispielsweise w</w:t>
      </w:r>
      <w:r w:rsidR="00C769A2">
        <w:t>e</w:t>
      </w:r>
      <w:r w:rsidRPr="00651C98">
        <w:t>rden Teilzeitvereinbarungen getroffen oder auch externe Beratungsstellen hinzugezogen. Zudem beton</w:t>
      </w:r>
      <w:r w:rsidR="0073434B">
        <w:t>en die</w:t>
      </w:r>
      <w:r w:rsidR="0073434B" w:rsidRPr="0073434B">
        <w:t xml:space="preserve"> Personen der Lehrbetriebe</w:t>
      </w:r>
      <w:r w:rsidRPr="00651C98">
        <w:t>, dass sie Aufgaben und Tätigkeiten entsprechend der individuellen Fähigkeiten der Lernenden auswählen, um diese bestmöglich zu fördern. Die Ausprägung d</w:t>
      </w:r>
      <w:r w:rsidR="00CF40BA">
        <w:t>ies</w:t>
      </w:r>
      <w:r w:rsidRPr="00651C98">
        <w:t xml:space="preserve">es Engagements ist dabei </w:t>
      </w:r>
      <w:r w:rsidR="009B64E9" w:rsidRPr="00651C98">
        <w:t xml:space="preserve">abhängig </w:t>
      </w:r>
      <w:r w:rsidRPr="00651C98">
        <w:t>von den vorhandenen Ressourcen, insbesondere hinsichtlich Personals</w:t>
      </w:r>
      <w:r w:rsidR="001372FD">
        <w:t>chlüssel</w:t>
      </w:r>
      <w:r w:rsidRPr="00651C98">
        <w:t xml:space="preserve"> und Fachkenntnissen. </w:t>
      </w:r>
    </w:p>
    <w:p w14:paraId="7A1433A1" w14:textId="77777777" w:rsidR="00651C98" w:rsidRPr="00651C98" w:rsidRDefault="00651C98" w:rsidP="00651C98">
      <w:pPr>
        <w:pStyle w:val="berschrift2"/>
      </w:pPr>
      <w:r w:rsidRPr="00651C98">
        <w:t>Lernort Berufsfachschule</w:t>
      </w:r>
    </w:p>
    <w:p w14:paraId="6E93607D" w14:textId="72CD73A1" w:rsidR="00651C98" w:rsidRPr="00651C98" w:rsidRDefault="00B560BD" w:rsidP="00C43FE4">
      <w:pPr>
        <w:pStyle w:val="Textkrper"/>
        <w:ind w:firstLine="0"/>
      </w:pPr>
      <w:r>
        <w:t xml:space="preserve">In den </w:t>
      </w:r>
      <w:r w:rsidR="00651C98" w:rsidRPr="00651C98">
        <w:t xml:space="preserve">Berufsfachschulen </w:t>
      </w:r>
      <w:r>
        <w:t xml:space="preserve">wird </w:t>
      </w:r>
      <w:r w:rsidR="00651C98" w:rsidRPr="00651C98">
        <w:t>die Umsetzung des Nachteilsausgleichs unterschiedlich</w:t>
      </w:r>
      <w:r>
        <w:t xml:space="preserve"> organisiert</w:t>
      </w:r>
      <w:r w:rsidR="00651C98" w:rsidRPr="00651C98">
        <w:t xml:space="preserve">. </w:t>
      </w:r>
      <w:r w:rsidR="00991593">
        <w:t>In manchen Berufsfachschulen gibt es</w:t>
      </w:r>
      <w:r w:rsidR="00651C98" w:rsidRPr="00651C98">
        <w:t xml:space="preserve"> ein Team für die Begleitung des </w:t>
      </w:r>
      <w:r w:rsidR="007E657F">
        <w:t>Nachteilsausgleich</w:t>
      </w:r>
      <w:r w:rsidR="00991593">
        <w:t>s</w:t>
      </w:r>
      <w:r w:rsidR="00651C98" w:rsidRPr="00651C98">
        <w:t xml:space="preserve">. </w:t>
      </w:r>
      <w:r w:rsidR="00F05FE5">
        <w:t>In anderen</w:t>
      </w:r>
      <w:r w:rsidR="00651C98" w:rsidRPr="00651C98">
        <w:t xml:space="preserve"> Berufsfachschulen</w:t>
      </w:r>
      <w:r w:rsidR="00F05FE5">
        <w:t xml:space="preserve"> wird </w:t>
      </w:r>
      <w:r w:rsidR="00651C98" w:rsidRPr="00651C98">
        <w:t>die Umsetzung den einzelnen Lehrpersonen überlassen.</w:t>
      </w:r>
      <w:r w:rsidR="00F05FE5">
        <w:t xml:space="preserve"> A</w:t>
      </w:r>
      <w:r w:rsidR="00651C98" w:rsidRPr="00651C98">
        <w:t>lle Befragten</w:t>
      </w:r>
      <w:r w:rsidR="00F05FE5">
        <w:t xml:space="preserve"> sehen</w:t>
      </w:r>
      <w:r w:rsidR="00651C98" w:rsidRPr="00651C98">
        <w:t xml:space="preserve"> das Gespräch und die Beziehung </w:t>
      </w:r>
      <w:r w:rsidR="00F05FE5">
        <w:t xml:space="preserve">als </w:t>
      </w:r>
      <w:r w:rsidR="00651C98" w:rsidRPr="00651C98">
        <w:t>wichtige Voraussetzungen für eine erfolgreiche Umsetzung. Folgende verfügte Massnahmen w</w:t>
      </w:r>
      <w:r w:rsidR="00400218">
        <w:t>e</w:t>
      </w:r>
      <w:r w:rsidR="00651C98" w:rsidRPr="00651C98">
        <w:t>rden am meisten genannt: mehr Zeit bei den Prüfungen, mehr Ruhe und auch isolierte Plätze bei Prüfungen. Manch</w:t>
      </w:r>
      <w:r w:rsidR="008A26D6">
        <w:t>e</w:t>
      </w:r>
      <w:r w:rsidR="00651C98" w:rsidRPr="00651C98">
        <w:t xml:space="preserve"> verfügte</w:t>
      </w:r>
      <w:r w:rsidR="00CB4997">
        <w:t>n</w:t>
      </w:r>
      <w:r w:rsidR="00651C98" w:rsidRPr="00651C98">
        <w:t xml:space="preserve"> Massnahmen </w:t>
      </w:r>
      <w:r w:rsidR="008A26D6">
        <w:t xml:space="preserve">stellen </w:t>
      </w:r>
      <w:r w:rsidR="00651C98" w:rsidRPr="00651C98">
        <w:t xml:space="preserve">die Berufsfachschulen vor räumliche und zum Teil auch finanzielle oder personelle Herausforderungen. Nicht alle Berufsfachschulen verfügen </w:t>
      </w:r>
      <w:r w:rsidR="00713F3C">
        <w:t xml:space="preserve">beispielsweise </w:t>
      </w:r>
      <w:r w:rsidR="00651C98" w:rsidRPr="00651C98">
        <w:t>über genügend Räume, um ein ruhigeres Umfeld zu gewährleisten. Oft sind die Massnahmen für die Lehrpersonen mit zusätzlichem Aufwand verbunden. Es gibt auch Lernende,</w:t>
      </w:r>
      <w:r w:rsidR="00696541">
        <w:t xml:space="preserve"> die</w:t>
      </w:r>
      <w:r w:rsidR="00651C98" w:rsidRPr="00651C98">
        <w:t xml:space="preserve"> </w:t>
      </w:r>
      <w:r w:rsidR="00696541" w:rsidRPr="00651C98">
        <w:t>das Anrecht</w:t>
      </w:r>
      <w:r w:rsidR="00651C98" w:rsidRPr="00651C98">
        <w:t xml:space="preserve"> auf einen </w:t>
      </w:r>
      <w:r w:rsidR="007E657F">
        <w:t>Nachteilsausgleich</w:t>
      </w:r>
      <w:r w:rsidR="00713F3C">
        <w:t xml:space="preserve"> </w:t>
      </w:r>
      <w:r w:rsidR="00651C98" w:rsidRPr="00651C98">
        <w:t xml:space="preserve">hätten und diesen gar nicht </w:t>
      </w:r>
      <w:r w:rsidR="00E51413">
        <w:t>beanspruchen</w:t>
      </w:r>
      <w:r w:rsidR="00651C98" w:rsidRPr="00651C98">
        <w:t xml:space="preserve">. Dies </w:t>
      </w:r>
      <w:r w:rsidR="00713F3C">
        <w:t xml:space="preserve">kann sein, </w:t>
      </w:r>
      <w:r w:rsidR="00651C98" w:rsidRPr="00651C98">
        <w:t>weil sie zum Teil zu wenig informiert sind oder auch nicht anders als die anderen behandelt werden wollen. Die befragten Personen schätzen zudem den Austausch</w:t>
      </w:r>
      <w:r w:rsidR="00024E00">
        <w:t>,</w:t>
      </w:r>
      <w:r w:rsidR="00651C98" w:rsidRPr="00651C98">
        <w:t xml:space="preserve"> sei dies mit anderen Lehrpersonen, Berufsfachschulen oder anlässlich kantonaler Fachtagungen. </w:t>
      </w:r>
    </w:p>
    <w:p w14:paraId="164F6ED2" w14:textId="77777777" w:rsidR="00651C98" w:rsidRDefault="00651C98" w:rsidP="00651C98">
      <w:pPr>
        <w:pStyle w:val="berschrift2"/>
        <w:jc w:val="both"/>
      </w:pPr>
      <w:r w:rsidRPr="00651C98">
        <w:t xml:space="preserve">Lernort </w:t>
      </w:r>
      <w:proofErr w:type="spellStart"/>
      <w:r w:rsidRPr="00651C98">
        <w:t>üK</w:t>
      </w:r>
      <w:proofErr w:type="spellEnd"/>
    </w:p>
    <w:p w14:paraId="682C6893" w14:textId="7F87D1C5" w:rsidR="00651C98" w:rsidRPr="00D1447B" w:rsidRDefault="00651C98" w:rsidP="009F3799">
      <w:pPr>
        <w:pStyle w:val="Textkrper"/>
        <w:ind w:firstLine="0"/>
      </w:pPr>
      <w:r w:rsidRPr="00651C98">
        <w:t xml:space="preserve">Im </w:t>
      </w:r>
      <w:r w:rsidR="00AE757A">
        <w:t xml:space="preserve">Lernort </w:t>
      </w:r>
      <w:proofErr w:type="spellStart"/>
      <w:r w:rsidRPr="00651C98">
        <w:t>üK</w:t>
      </w:r>
      <w:proofErr w:type="spellEnd"/>
      <w:r w:rsidRPr="00651C98">
        <w:t xml:space="preserve"> wird die betriebliche Praxis mit den theoretischen Inhalten der Berufsfachschule verknüpft. Als Gelingensbedingung</w:t>
      </w:r>
      <w:r w:rsidR="00C974E2">
        <w:t>en</w:t>
      </w:r>
      <w:r w:rsidRPr="00651C98">
        <w:t xml:space="preserve"> </w:t>
      </w:r>
      <w:r w:rsidR="004106E4">
        <w:t>genannt werden</w:t>
      </w:r>
      <w:r w:rsidRPr="00651C98">
        <w:t xml:space="preserve"> eine verantwortliche Person (</w:t>
      </w:r>
      <w:proofErr w:type="spellStart"/>
      <w:r w:rsidRPr="00651C98">
        <w:t>üK</w:t>
      </w:r>
      <w:proofErr w:type="spellEnd"/>
      <w:r w:rsidRPr="00651C98">
        <w:t xml:space="preserve">-Zentrumsleitung) </w:t>
      </w:r>
      <w:r w:rsidR="00A63F0F">
        <w:t>und</w:t>
      </w:r>
      <w:r w:rsidRPr="00651C98">
        <w:t xml:space="preserve"> die enge Zusammenarbeit mit dem kantonalen Amt</w:t>
      </w:r>
      <w:r w:rsidR="00B220FC">
        <w:t xml:space="preserve"> für Berufsbildung</w:t>
      </w:r>
      <w:r w:rsidRPr="00651C98">
        <w:t>. Die Befragten betonen die Bedeutung eines hohen Fachwissens</w:t>
      </w:r>
      <w:r w:rsidR="00C974E2">
        <w:t xml:space="preserve"> und</w:t>
      </w:r>
      <w:r w:rsidRPr="00651C98">
        <w:t xml:space="preserve"> einer positiven Einstellung der </w:t>
      </w:r>
      <w:proofErr w:type="spellStart"/>
      <w:r w:rsidRPr="00651C98">
        <w:t>üK</w:t>
      </w:r>
      <w:proofErr w:type="spellEnd"/>
      <w:r w:rsidRPr="00651C98">
        <w:t>-Leit</w:t>
      </w:r>
      <w:r w:rsidR="001C219E">
        <w:t>ung</w:t>
      </w:r>
      <w:r w:rsidRPr="00651C98">
        <w:t xml:space="preserve"> </w:t>
      </w:r>
      <w:r w:rsidR="00F83FF6">
        <w:t>hinsichtlich Nachteilsausgleich</w:t>
      </w:r>
      <w:r w:rsidRPr="00651C98">
        <w:t xml:space="preserve">. Auch die Zusammenarbeit mit anderen Lernorten wird als wichtig erachtet; beispielsweise werden </w:t>
      </w:r>
      <w:proofErr w:type="spellStart"/>
      <w:r w:rsidR="0041734C">
        <w:t>Vertreter:innen</w:t>
      </w:r>
      <w:proofErr w:type="spellEnd"/>
      <w:r w:rsidR="0041734C">
        <w:t xml:space="preserve"> der</w:t>
      </w:r>
      <w:r w:rsidRPr="00651C98">
        <w:t xml:space="preserve"> Betriebe und </w:t>
      </w:r>
      <w:r w:rsidR="004F70D4">
        <w:t xml:space="preserve">der </w:t>
      </w:r>
      <w:r w:rsidRPr="00651C98">
        <w:t xml:space="preserve">Berufsfachschule zum Schlusstag jedes </w:t>
      </w:r>
      <w:proofErr w:type="spellStart"/>
      <w:r w:rsidRPr="00651C98">
        <w:t>üK</w:t>
      </w:r>
      <w:proofErr w:type="spellEnd"/>
      <w:r w:rsidRPr="00651C98">
        <w:t xml:space="preserve"> eingeladen. Herausforder</w:t>
      </w:r>
      <w:r w:rsidR="00C64B67">
        <w:t>nd</w:t>
      </w:r>
      <w:r w:rsidRPr="00651C98">
        <w:t xml:space="preserve"> </w:t>
      </w:r>
      <w:r w:rsidR="00155DBE">
        <w:t>ist</w:t>
      </w:r>
      <w:r w:rsidRPr="00651C98">
        <w:t xml:space="preserve">, </w:t>
      </w:r>
      <w:r w:rsidR="001558D5">
        <w:t xml:space="preserve">wenn </w:t>
      </w:r>
      <w:r w:rsidR="00F64F0B" w:rsidRPr="00651C98">
        <w:t>die externe Prüfungskommission im Q</w:t>
      </w:r>
      <w:r w:rsidR="00F64F0B">
        <w:t xml:space="preserve">ualifikationsverfahren </w:t>
      </w:r>
      <w:r w:rsidRPr="00651C98">
        <w:t xml:space="preserve">wenig mit dem </w:t>
      </w:r>
      <w:r w:rsidR="007E657F">
        <w:t>Nachteilsausgleich</w:t>
      </w:r>
      <w:r w:rsidR="001558D5">
        <w:t xml:space="preserve"> </w:t>
      </w:r>
      <w:r w:rsidRPr="00651C98">
        <w:t xml:space="preserve">vertraut ist. Die </w:t>
      </w:r>
      <w:proofErr w:type="spellStart"/>
      <w:r w:rsidRPr="00651C98">
        <w:t>üK</w:t>
      </w:r>
      <w:proofErr w:type="spellEnd"/>
      <w:r w:rsidRPr="00651C98">
        <w:t xml:space="preserve">-Zentrumsleitung bemüht sich, auch hier Unterstützung zu bieten und die Fachpersonen zu sensibilisieren. Ferner wird gefordert, dass Betriebe ihre Lernenden besser unterstützen, insbesondere in Bezug auf den </w:t>
      </w:r>
      <w:r w:rsidR="007E657F">
        <w:t>Nachteilsausgleich</w:t>
      </w:r>
      <w:r w:rsidR="00E03BC7">
        <w:t xml:space="preserve"> </w:t>
      </w:r>
      <w:r w:rsidRPr="00651C98">
        <w:t xml:space="preserve">und die Gesuchstellung. Die </w:t>
      </w:r>
      <w:proofErr w:type="spellStart"/>
      <w:r w:rsidRPr="00651C98">
        <w:t>üK</w:t>
      </w:r>
      <w:proofErr w:type="spellEnd"/>
      <w:r w:rsidRPr="00651C98">
        <w:t>-Leit</w:t>
      </w:r>
      <w:r w:rsidR="00E03BC7">
        <w:t>ungen</w:t>
      </w:r>
      <w:r w:rsidRPr="00651C98">
        <w:t xml:space="preserve"> informieren deshalb die Lernenden aktiv zu Beginn der Ausbildung und vor dem Qualifikationsverfahren über den N</w:t>
      </w:r>
      <w:r w:rsidR="00E564D9">
        <w:t>achteilsausgleich</w:t>
      </w:r>
      <w:r w:rsidRPr="00651C98">
        <w:t xml:space="preserve">. </w:t>
      </w:r>
      <w:r w:rsidR="00020F34" w:rsidRPr="00020F34">
        <w:t>Einige Lernende lehnen den Nachteilsausgleich bewusst ab, aus Angst vor Stigmatisierung durch Peers, Eltern oder den Betrieb oder aufgrund negativer Erfahrungen in der Volksschule. Einige der Befragten suchen da</w:t>
      </w:r>
      <w:r w:rsidR="00054B01">
        <w:t>nn</w:t>
      </w:r>
      <w:r w:rsidR="00020F34" w:rsidRPr="00020F34">
        <w:t xml:space="preserve"> das individuelle Gespräch</w:t>
      </w:r>
      <w:r w:rsidR="00536B24" w:rsidRPr="00536B24">
        <w:t xml:space="preserve"> </w:t>
      </w:r>
      <w:r w:rsidR="00536B24">
        <w:t>mit den Lernenden</w:t>
      </w:r>
      <w:r w:rsidR="00020F34" w:rsidRPr="00020F34">
        <w:t>, um den Nutzen des N</w:t>
      </w:r>
      <w:r w:rsidR="007C3889">
        <w:t>achteilsausgleichs</w:t>
      </w:r>
      <w:r w:rsidR="00020F34" w:rsidRPr="00020F34">
        <w:t xml:space="preserve"> aufzuzeigen. Andere versuchen, den Entscheid der Lernenden zu akzeptieren.</w:t>
      </w:r>
      <w:r w:rsidR="00020F34">
        <w:t xml:space="preserve"> </w:t>
      </w:r>
      <w:r w:rsidRPr="00651C98">
        <w:t xml:space="preserve">Herausfordernd gestaltet sich die Massnahme Zeitzuschlag, </w:t>
      </w:r>
      <w:r w:rsidR="005E1866">
        <w:t>weil dieser</w:t>
      </w:r>
      <w:r w:rsidRPr="00651C98">
        <w:t xml:space="preserve"> oftmals in einer Pausenarbeit mündet. </w:t>
      </w:r>
      <w:r w:rsidRPr="00D1447B">
        <w:t>Insgesamt scheint die Umsetzung der Massnahmen im Q</w:t>
      </w:r>
      <w:r w:rsidR="005E1866" w:rsidRPr="00D1447B">
        <w:t>ualifikationsverfahren</w:t>
      </w:r>
      <w:r w:rsidRPr="00D1447B">
        <w:t xml:space="preserve"> einfacher als im regulären </w:t>
      </w:r>
      <w:proofErr w:type="spellStart"/>
      <w:r w:rsidRPr="00D1447B">
        <w:t>üK</w:t>
      </w:r>
      <w:proofErr w:type="spellEnd"/>
      <w:r w:rsidRPr="00D1447B">
        <w:t>.</w:t>
      </w:r>
    </w:p>
    <w:p w14:paraId="515E4043" w14:textId="74C382F0" w:rsidR="00C07254" w:rsidRPr="008A4C8A" w:rsidRDefault="001166E9" w:rsidP="00C27F5A">
      <w:pPr>
        <w:pStyle w:val="Textkrper"/>
      </w:pPr>
      <w:r w:rsidRPr="00D1447B">
        <w:t>In Tabelle 1 sind die Ergebnisse der Interviews zusammengefasst als Gelingensbedingungen und Herausforderungen.</w:t>
      </w:r>
      <w:r w:rsidR="008A4C8A">
        <w:br w:type="page"/>
      </w:r>
    </w:p>
    <w:p w14:paraId="21F92FEC" w14:textId="25BD39EF" w:rsidR="00D159CB" w:rsidRPr="00D159CB" w:rsidRDefault="00D159CB" w:rsidP="00D159CB">
      <w:pPr>
        <w:keepNext/>
        <w:spacing w:before="120" w:after="120" w:line="240" w:lineRule="auto"/>
        <w:rPr>
          <w:bCs/>
          <w:i/>
          <w:iCs/>
          <w:color w:val="D31932" w:themeColor="accent1"/>
        </w:rPr>
      </w:pPr>
      <w:r w:rsidRPr="00D159CB">
        <w:rPr>
          <w:bCs/>
          <w:i/>
          <w:iCs/>
          <w:color w:val="D31932" w:themeColor="accent1"/>
        </w:rPr>
        <w:lastRenderedPageBreak/>
        <w:t>Tabelle 1: Ergebnisse der Interviews</w:t>
      </w:r>
    </w:p>
    <w:tbl>
      <w:tblPr>
        <w:tblW w:w="9214" w:type="dxa"/>
        <w:tblLayout w:type="fixed"/>
        <w:tblLook w:val="04A0" w:firstRow="1" w:lastRow="0" w:firstColumn="1" w:lastColumn="0" w:noHBand="0" w:noVBand="1"/>
      </w:tblPr>
      <w:tblGrid>
        <w:gridCol w:w="1701"/>
        <w:gridCol w:w="3686"/>
        <w:gridCol w:w="3827"/>
      </w:tblGrid>
      <w:tr w:rsidR="00D159CB" w:rsidRPr="00D159CB" w14:paraId="677F7E25" w14:textId="77777777" w:rsidTr="008A4C8A">
        <w:trPr>
          <w:trHeight w:val="586"/>
        </w:trPr>
        <w:tc>
          <w:tcPr>
            <w:tcW w:w="1701" w:type="dxa"/>
            <w:tcBorders>
              <w:top w:val="single" w:sz="4" w:space="0" w:color="auto"/>
              <w:left w:val="single" w:sz="4" w:space="0" w:color="auto"/>
              <w:bottom w:val="single" w:sz="4" w:space="0" w:color="auto"/>
              <w:right w:val="single" w:sz="4" w:space="0" w:color="auto"/>
            </w:tcBorders>
            <w:shd w:val="clear" w:color="auto" w:fill="B2B2B2"/>
          </w:tcPr>
          <w:p w14:paraId="6FB03511" w14:textId="77777777" w:rsidR="00D159CB" w:rsidRPr="00D159CB" w:rsidRDefault="00D159CB" w:rsidP="00D159CB">
            <w:pPr>
              <w:spacing w:after="200" w:line="240" w:lineRule="auto"/>
            </w:pPr>
          </w:p>
        </w:tc>
        <w:tc>
          <w:tcPr>
            <w:tcW w:w="3686" w:type="dxa"/>
            <w:tcBorders>
              <w:top w:val="single" w:sz="4" w:space="0" w:color="auto"/>
              <w:left w:val="single" w:sz="4" w:space="0" w:color="auto"/>
              <w:bottom w:val="single" w:sz="4" w:space="0" w:color="auto"/>
              <w:right w:val="single" w:sz="4" w:space="0" w:color="auto"/>
            </w:tcBorders>
            <w:shd w:val="clear" w:color="auto" w:fill="FFE599"/>
          </w:tcPr>
          <w:p w14:paraId="55F0C031" w14:textId="77777777" w:rsidR="00D159CB" w:rsidRPr="00EA503F" w:rsidRDefault="00D159CB" w:rsidP="00D159CB">
            <w:pPr>
              <w:spacing w:after="200" w:line="240" w:lineRule="auto"/>
              <w:rPr>
                <w:b/>
                <w:bCs/>
              </w:rPr>
            </w:pPr>
            <w:r w:rsidRPr="00EA503F">
              <w:rPr>
                <w:b/>
                <w:bCs/>
              </w:rPr>
              <w:t>Gelingensbedingungen</w:t>
            </w:r>
          </w:p>
        </w:tc>
        <w:tc>
          <w:tcPr>
            <w:tcW w:w="3827" w:type="dxa"/>
            <w:tcBorders>
              <w:top w:val="single" w:sz="4" w:space="0" w:color="auto"/>
              <w:left w:val="single" w:sz="4" w:space="0" w:color="auto"/>
              <w:bottom w:val="single" w:sz="4" w:space="0" w:color="auto"/>
              <w:right w:val="single" w:sz="4" w:space="0" w:color="auto"/>
            </w:tcBorders>
            <w:shd w:val="clear" w:color="auto" w:fill="D3ECB8"/>
          </w:tcPr>
          <w:p w14:paraId="1009EAC0" w14:textId="77777777" w:rsidR="00D159CB" w:rsidRPr="00EA503F" w:rsidRDefault="00D159CB" w:rsidP="00D159CB">
            <w:pPr>
              <w:spacing w:after="200" w:line="240" w:lineRule="auto"/>
              <w:rPr>
                <w:b/>
                <w:bCs/>
              </w:rPr>
            </w:pPr>
            <w:r w:rsidRPr="00EA503F">
              <w:rPr>
                <w:b/>
                <w:bCs/>
              </w:rPr>
              <w:t>Herausforderungen</w:t>
            </w:r>
          </w:p>
        </w:tc>
      </w:tr>
      <w:tr w:rsidR="00D159CB" w:rsidRPr="00D159CB" w14:paraId="0002168B" w14:textId="77777777" w:rsidTr="00C07254">
        <w:trPr>
          <w:trHeight w:val="876"/>
        </w:trPr>
        <w:tc>
          <w:tcPr>
            <w:tcW w:w="1701" w:type="dxa"/>
            <w:tcBorders>
              <w:top w:val="single" w:sz="4" w:space="0" w:color="auto"/>
              <w:left w:val="single" w:sz="4" w:space="0" w:color="auto"/>
              <w:bottom w:val="single" w:sz="4" w:space="0" w:color="auto"/>
              <w:right w:val="single" w:sz="4" w:space="0" w:color="auto"/>
            </w:tcBorders>
          </w:tcPr>
          <w:p w14:paraId="21174CB3" w14:textId="64679194" w:rsidR="00D159CB" w:rsidRPr="00EA503F" w:rsidRDefault="003651F7" w:rsidP="00DD02BE">
            <w:pPr>
              <w:spacing w:after="200" w:line="240" w:lineRule="auto"/>
              <w:rPr>
                <w:b/>
                <w:bCs/>
              </w:rPr>
            </w:pPr>
            <w:r w:rsidRPr="00EA503F">
              <w:rPr>
                <w:b/>
                <w:bCs/>
              </w:rPr>
              <w:t xml:space="preserve">kantonales </w:t>
            </w:r>
            <w:r w:rsidR="00D159CB" w:rsidRPr="00EA503F">
              <w:rPr>
                <w:b/>
                <w:bCs/>
              </w:rPr>
              <w:t>Amt</w:t>
            </w:r>
            <w:r w:rsidRPr="00EA503F">
              <w:rPr>
                <w:b/>
                <w:bCs/>
              </w:rPr>
              <w:t xml:space="preserve"> für Berufsbildung</w:t>
            </w:r>
          </w:p>
        </w:tc>
        <w:tc>
          <w:tcPr>
            <w:tcW w:w="3686" w:type="dxa"/>
            <w:tcBorders>
              <w:top w:val="single" w:sz="4" w:space="0" w:color="auto"/>
              <w:left w:val="single" w:sz="4" w:space="0" w:color="auto"/>
              <w:bottom w:val="single" w:sz="4" w:space="0" w:color="auto"/>
              <w:right w:val="single" w:sz="4" w:space="0" w:color="auto"/>
            </w:tcBorders>
            <w:shd w:val="clear" w:color="auto" w:fill="FFE599"/>
          </w:tcPr>
          <w:p w14:paraId="15E64127" w14:textId="0788E193" w:rsidR="00D159CB" w:rsidRPr="00D159CB" w:rsidRDefault="00D159CB" w:rsidP="00DD02BE">
            <w:pPr>
              <w:numPr>
                <w:ilvl w:val="0"/>
                <w:numId w:val="4"/>
              </w:numPr>
              <w:spacing w:after="200" w:line="240" w:lineRule="auto"/>
              <w:ind w:left="313" w:hanging="313"/>
            </w:pPr>
            <w:r w:rsidRPr="00D159CB">
              <w:t>Transparenz (</w:t>
            </w:r>
            <w:r w:rsidR="001D45A7">
              <w:t>k</w:t>
            </w:r>
            <w:r w:rsidRPr="00D159CB">
              <w:t>lare Abläufe, Prozesse, Massnahmen)</w:t>
            </w:r>
          </w:p>
          <w:p w14:paraId="3D5E2BA4" w14:textId="294281D8" w:rsidR="00D159CB" w:rsidRPr="00D159CB" w:rsidRDefault="00D159CB" w:rsidP="00DD02BE">
            <w:pPr>
              <w:numPr>
                <w:ilvl w:val="0"/>
                <w:numId w:val="4"/>
              </w:numPr>
              <w:spacing w:after="200" w:line="240" w:lineRule="auto"/>
              <w:ind w:left="313" w:hanging="313"/>
            </w:pPr>
            <w:r w:rsidRPr="00D159CB">
              <w:t>Verständnis für die Lernenden</w:t>
            </w:r>
          </w:p>
          <w:p w14:paraId="60BD0E70" w14:textId="77777777" w:rsidR="00D159CB" w:rsidRPr="00D159CB" w:rsidRDefault="00D159CB" w:rsidP="00DD02BE">
            <w:pPr>
              <w:numPr>
                <w:ilvl w:val="0"/>
                <w:numId w:val="4"/>
              </w:numPr>
              <w:spacing w:after="200" w:line="240" w:lineRule="auto"/>
              <w:ind w:left="313" w:hanging="313"/>
            </w:pPr>
            <w:r w:rsidRPr="00D159CB">
              <w:t>Zusammenarbeit kantonales Amt und Lernorte</w:t>
            </w:r>
          </w:p>
          <w:p w14:paraId="4FDFD30D" w14:textId="777C1335" w:rsidR="00D159CB" w:rsidRPr="00D159CB" w:rsidRDefault="00D159CB" w:rsidP="00DD02BE">
            <w:pPr>
              <w:numPr>
                <w:ilvl w:val="0"/>
                <w:numId w:val="4"/>
              </w:numPr>
              <w:spacing w:after="200" w:line="240" w:lineRule="auto"/>
              <w:ind w:left="313" w:hanging="313"/>
            </w:pPr>
            <w:r w:rsidRPr="00D159CB">
              <w:t>Akzeptanz für den N</w:t>
            </w:r>
            <w:r w:rsidR="001D45A7">
              <w:t>achteilsausgleich</w:t>
            </w:r>
          </w:p>
        </w:tc>
        <w:tc>
          <w:tcPr>
            <w:tcW w:w="3827" w:type="dxa"/>
            <w:tcBorders>
              <w:top w:val="single" w:sz="4" w:space="0" w:color="auto"/>
              <w:left w:val="single" w:sz="4" w:space="0" w:color="auto"/>
              <w:bottom w:val="single" w:sz="4" w:space="0" w:color="auto"/>
              <w:right w:val="single" w:sz="4" w:space="0" w:color="auto"/>
            </w:tcBorders>
            <w:shd w:val="clear" w:color="auto" w:fill="D3ECB8"/>
          </w:tcPr>
          <w:p w14:paraId="58B076EF" w14:textId="5776B124" w:rsidR="00D159CB" w:rsidRPr="00D159CB" w:rsidRDefault="00D159CB" w:rsidP="00DD02BE">
            <w:pPr>
              <w:numPr>
                <w:ilvl w:val="0"/>
                <w:numId w:val="4"/>
              </w:numPr>
              <w:spacing w:after="200" w:line="240" w:lineRule="auto"/>
              <w:ind w:left="320" w:hanging="283"/>
            </w:pPr>
            <w:r w:rsidRPr="00D159CB">
              <w:t xml:space="preserve">Gesuche werden </w:t>
            </w:r>
            <w:r w:rsidR="001D45A7">
              <w:t xml:space="preserve">erst </w:t>
            </w:r>
            <w:r w:rsidRPr="00D159CB">
              <w:t>auf das Qualifikationsverfahren (QV) eingereicht</w:t>
            </w:r>
          </w:p>
          <w:p w14:paraId="04CF872B" w14:textId="77777777" w:rsidR="00D159CB" w:rsidRPr="00D159CB" w:rsidRDefault="00D159CB" w:rsidP="00DD02BE">
            <w:pPr>
              <w:numPr>
                <w:ilvl w:val="0"/>
                <w:numId w:val="4"/>
              </w:numPr>
              <w:spacing w:after="200" w:line="240" w:lineRule="auto"/>
              <w:ind w:left="320" w:hanging="283"/>
            </w:pPr>
            <w:r w:rsidRPr="00D159CB">
              <w:t>Antragsstellung (Komplexität der Gesuche)</w:t>
            </w:r>
          </w:p>
          <w:p w14:paraId="28813605" w14:textId="36F933D9" w:rsidR="00D159CB" w:rsidRPr="00D159CB" w:rsidRDefault="00FB2889" w:rsidP="00DD02BE">
            <w:pPr>
              <w:numPr>
                <w:ilvl w:val="0"/>
                <w:numId w:val="4"/>
              </w:numPr>
              <w:spacing w:after="200" w:line="240" w:lineRule="auto"/>
              <w:ind w:left="320" w:hanging="283"/>
            </w:pPr>
            <w:r>
              <w:t>k</w:t>
            </w:r>
            <w:r w:rsidR="00D159CB" w:rsidRPr="00D159CB">
              <w:t>antonale Unterschiede der verfügten Massnahmen</w:t>
            </w:r>
          </w:p>
        </w:tc>
      </w:tr>
      <w:tr w:rsidR="00D159CB" w:rsidRPr="00D159CB" w14:paraId="414F1C22" w14:textId="77777777" w:rsidTr="00C07254">
        <w:trPr>
          <w:trHeight w:val="750"/>
        </w:trPr>
        <w:tc>
          <w:tcPr>
            <w:tcW w:w="1701" w:type="dxa"/>
            <w:tcBorders>
              <w:top w:val="single" w:sz="4" w:space="0" w:color="auto"/>
              <w:left w:val="single" w:sz="4" w:space="0" w:color="auto"/>
              <w:bottom w:val="single" w:sz="4" w:space="0" w:color="auto"/>
              <w:right w:val="single" w:sz="4" w:space="0" w:color="auto"/>
            </w:tcBorders>
          </w:tcPr>
          <w:p w14:paraId="6B2772DD" w14:textId="77777777" w:rsidR="00D159CB" w:rsidRPr="00EA503F" w:rsidRDefault="00D159CB" w:rsidP="00DD02BE">
            <w:pPr>
              <w:spacing w:after="200" w:line="240" w:lineRule="auto"/>
              <w:rPr>
                <w:b/>
                <w:bCs/>
              </w:rPr>
            </w:pPr>
            <w:r w:rsidRPr="00EA503F">
              <w:rPr>
                <w:b/>
                <w:bCs/>
              </w:rPr>
              <w:t>Berufsfachschule</w:t>
            </w:r>
          </w:p>
        </w:tc>
        <w:tc>
          <w:tcPr>
            <w:tcW w:w="3686" w:type="dxa"/>
            <w:tcBorders>
              <w:top w:val="single" w:sz="4" w:space="0" w:color="auto"/>
              <w:left w:val="single" w:sz="4" w:space="0" w:color="auto"/>
              <w:bottom w:val="single" w:sz="4" w:space="0" w:color="auto"/>
              <w:right w:val="single" w:sz="4" w:space="0" w:color="auto"/>
            </w:tcBorders>
            <w:shd w:val="clear" w:color="auto" w:fill="FFE599"/>
          </w:tcPr>
          <w:p w14:paraId="636E741B" w14:textId="696417F4" w:rsidR="00D159CB" w:rsidRPr="00D159CB" w:rsidRDefault="00FB2889" w:rsidP="00DD02BE">
            <w:pPr>
              <w:numPr>
                <w:ilvl w:val="0"/>
                <w:numId w:val="4"/>
              </w:numPr>
              <w:spacing w:after="200" w:line="240" w:lineRule="auto"/>
              <w:ind w:left="313" w:hanging="313"/>
            </w:pPr>
            <w:r>
              <w:t>i</w:t>
            </w:r>
            <w:r w:rsidR="00D159CB" w:rsidRPr="00D159CB">
              <w:t xml:space="preserve">ndividuelle Zuständigkeit an der Schule </w:t>
            </w:r>
          </w:p>
          <w:p w14:paraId="1F69261F" w14:textId="20980E16" w:rsidR="00D159CB" w:rsidRPr="00D159CB" w:rsidRDefault="00D159CB" w:rsidP="00DD02BE">
            <w:pPr>
              <w:numPr>
                <w:ilvl w:val="0"/>
                <w:numId w:val="4"/>
              </w:numPr>
              <w:spacing w:after="200" w:line="240" w:lineRule="auto"/>
              <w:ind w:left="313" w:hanging="313"/>
            </w:pPr>
            <w:r w:rsidRPr="00D159CB">
              <w:t xml:space="preserve">Beziehung Lehrperson </w:t>
            </w:r>
            <w:r w:rsidR="001D45A7">
              <w:t>–</w:t>
            </w:r>
            <w:r w:rsidRPr="00D159CB">
              <w:t xml:space="preserve"> L</w:t>
            </w:r>
            <w:r w:rsidR="001D45A7">
              <w:t>ernende</w:t>
            </w:r>
          </w:p>
          <w:p w14:paraId="1FE845D6" w14:textId="77777777" w:rsidR="00D159CB" w:rsidRPr="00D159CB" w:rsidRDefault="00D159CB" w:rsidP="00DD02BE">
            <w:pPr>
              <w:numPr>
                <w:ilvl w:val="0"/>
                <w:numId w:val="4"/>
              </w:numPr>
              <w:spacing w:after="200" w:line="240" w:lineRule="auto"/>
              <w:ind w:left="313" w:hanging="313"/>
            </w:pPr>
            <w:r w:rsidRPr="00D159CB">
              <w:t>Offenheit für individuelle Lösungen (pragmatisch)</w:t>
            </w:r>
          </w:p>
        </w:tc>
        <w:tc>
          <w:tcPr>
            <w:tcW w:w="3827" w:type="dxa"/>
            <w:tcBorders>
              <w:top w:val="single" w:sz="4" w:space="0" w:color="auto"/>
              <w:left w:val="single" w:sz="4" w:space="0" w:color="auto"/>
              <w:bottom w:val="single" w:sz="4" w:space="0" w:color="auto"/>
              <w:right w:val="single" w:sz="4" w:space="0" w:color="auto"/>
            </w:tcBorders>
            <w:shd w:val="clear" w:color="auto" w:fill="D3ECB8"/>
          </w:tcPr>
          <w:p w14:paraId="2CCBDCAA" w14:textId="77777777" w:rsidR="00D159CB" w:rsidRPr="00D159CB" w:rsidRDefault="00D159CB" w:rsidP="00DD02BE">
            <w:pPr>
              <w:numPr>
                <w:ilvl w:val="0"/>
                <w:numId w:val="5"/>
              </w:numPr>
              <w:spacing w:after="200" w:line="240" w:lineRule="auto"/>
              <w:ind w:left="320" w:hanging="283"/>
            </w:pPr>
            <w:r w:rsidRPr="00D159CB">
              <w:t>Ressourcen zur Umsetzung (Person/Zeit/Finanzen/Infrastruktur)</w:t>
            </w:r>
          </w:p>
          <w:p w14:paraId="23DD28E5" w14:textId="24789DE1" w:rsidR="00D159CB" w:rsidRPr="00D159CB" w:rsidRDefault="00D159CB" w:rsidP="00DD02BE">
            <w:pPr>
              <w:numPr>
                <w:ilvl w:val="0"/>
                <w:numId w:val="5"/>
              </w:numPr>
              <w:spacing w:after="200" w:line="240" w:lineRule="auto"/>
              <w:ind w:left="320" w:hanging="283"/>
            </w:pPr>
            <w:r w:rsidRPr="00D159CB">
              <w:t xml:space="preserve">Zunahme der Gesuche auch in der </w:t>
            </w:r>
            <w:r w:rsidR="00CB3464">
              <w:t>h</w:t>
            </w:r>
            <w:r w:rsidRPr="00D159CB">
              <w:t>öheren Berufsbildung</w:t>
            </w:r>
          </w:p>
          <w:p w14:paraId="7676A970" w14:textId="5F074688" w:rsidR="00D159CB" w:rsidRPr="00D159CB" w:rsidRDefault="00FB2889" w:rsidP="00DD02BE">
            <w:pPr>
              <w:numPr>
                <w:ilvl w:val="0"/>
                <w:numId w:val="5"/>
              </w:numPr>
              <w:spacing w:after="200" w:line="240" w:lineRule="auto"/>
              <w:ind w:left="320" w:hanging="283"/>
            </w:pPr>
            <w:r>
              <w:t>z</w:t>
            </w:r>
            <w:r w:rsidR="00D159CB" w:rsidRPr="00D159CB">
              <w:t>ielführende Umsetzung der verfügten Massnahmen</w:t>
            </w:r>
          </w:p>
        </w:tc>
      </w:tr>
      <w:tr w:rsidR="00D159CB" w:rsidRPr="00D159CB" w14:paraId="67F19C93" w14:textId="77777777" w:rsidTr="00C07254">
        <w:trPr>
          <w:trHeight w:val="624"/>
        </w:trPr>
        <w:tc>
          <w:tcPr>
            <w:tcW w:w="1701" w:type="dxa"/>
            <w:tcBorders>
              <w:top w:val="single" w:sz="4" w:space="0" w:color="auto"/>
              <w:left w:val="single" w:sz="4" w:space="0" w:color="auto"/>
              <w:bottom w:val="single" w:sz="4" w:space="0" w:color="auto"/>
              <w:right w:val="single" w:sz="4" w:space="0" w:color="auto"/>
            </w:tcBorders>
          </w:tcPr>
          <w:p w14:paraId="12F7144E" w14:textId="77777777" w:rsidR="00D159CB" w:rsidRPr="00EA503F" w:rsidRDefault="00D159CB" w:rsidP="00DD02BE">
            <w:pPr>
              <w:spacing w:after="200" w:line="240" w:lineRule="auto"/>
              <w:rPr>
                <w:b/>
                <w:bCs/>
              </w:rPr>
            </w:pPr>
            <w:r w:rsidRPr="00EA503F">
              <w:rPr>
                <w:b/>
                <w:bCs/>
              </w:rPr>
              <w:t>Betrieb</w:t>
            </w:r>
          </w:p>
        </w:tc>
        <w:tc>
          <w:tcPr>
            <w:tcW w:w="3686" w:type="dxa"/>
            <w:tcBorders>
              <w:top w:val="single" w:sz="4" w:space="0" w:color="auto"/>
              <w:left w:val="single" w:sz="4" w:space="0" w:color="auto"/>
              <w:bottom w:val="single" w:sz="4" w:space="0" w:color="auto"/>
              <w:right w:val="single" w:sz="4" w:space="0" w:color="auto"/>
            </w:tcBorders>
            <w:shd w:val="clear" w:color="auto" w:fill="FFE599"/>
          </w:tcPr>
          <w:p w14:paraId="2BD2A08C" w14:textId="1A1DC9C2" w:rsidR="00D159CB" w:rsidRPr="00D159CB" w:rsidRDefault="00FB2889" w:rsidP="00DD02BE">
            <w:pPr>
              <w:numPr>
                <w:ilvl w:val="0"/>
                <w:numId w:val="4"/>
              </w:numPr>
              <w:spacing w:after="200" w:line="240" w:lineRule="auto"/>
              <w:ind w:left="313" w:hanging="313"/>
            </w:pPr>
            <w:r>
              <w:t>i</w:t>
            </w:r>
            <w:r w:rsidR="00D159CB" w:rsidRPr="00D159CB">
              <w:t>ndividuelle Gestaltungsmöglichkeiten mit L</w:t>
            </w:r>
            <w:r w:rsidR="00CB3464">
              <w:t>ernenden</w:t>
            </w:r>
          </w:p>
          <w:p w14:paraId="4A65D4C7" w14:textId="27126E63" w:rsidR="00D159CB" w:rsidRPr="00D159CB" w:rsidRDefault="00FB2889" w:rsidP="00DD02BE">
            <w:pPr>
              <w:numPr>
                <w:ilvl w:val="0"/>
                <w:numId w:val="4"/>
              </w:numPr>
              <w:spacing w:after="200" w:line="240" w:lineRule="auto"/>
              <w:ind w:left="313" w:hanging="313"/>
            </w:pPr>
            <w:r>
              <w:t>o</w:t>
            </w:r>
            <w:r w:rsidR="00D159CB" w:rsidRPr="00D159CB">
              <w:t>ffener Umgang mit dem Thema N</w:t>
            </w:r>
            <w:r w:rsidR="00CB3464">
              <w:t>achteilsausgleich</w:t>
            </w:r>
          </w:p>
          <w:p w14:paraId="3FA0BFCB" w14:textId="423BAC75" w:rsidR="00D159CB" w:rsidRPr="00D159CB" w:rsidRDefault="00D159CB" w:rsidP="00DD02BE">
            <w:pPr>
              <w:numPr>
                <w:ilvl w:val="0"/>
                <w:numId w:val="4"/>
              </w:numPr>
              <w:spacing w:after="200" w:line="240" w:lineRule="auto"/>
              <w:ind w:left="313" w:hanging="313"/>
            </w:pPr>
            <w:r w:rsidRPr="00D159CB">
              <w:t>Wertschätzung gegenüber L</w:t>
            </w:r>
            <w:r w:rsidR="00CB3464">
              <w:t>ernenden</w:t>
            </w:r>
          </w:p>
        </w:tc>
        <w:tc>
          <w:tcPr>
            <w:tcW w:w="3827" w:type="dxa"/>
            <w:tcBorders>
              <w:top w:val="single" w:sz="4" w:space="0" w:color="auto"/>
              <w:left w:val="single" w:sz="4" w:space="0" w:color="auto"/>
              <w:bottom w:val="single" w:sz="4" w:space="0" w:color="auto"/>
              <w:right w:val="single" w:sz="4" w:space="0" w:color="auto"/>
            </w:tcBorders>
            <w:shd w:val="clear" w:color="auto" w:fill="D3ECB8"/>
          </w:tcPr>
          <w:p w14:paraId="14EA9EFF" w14:textId="77777777" w:rsidR="00D159CB" w:rsidRPr="00D159CB" w:rsidRDefault="00D159CB" w:rsidP="00DD02BE">
            <w:pPr>
              <w:numPr>
                <w:ilvl w:val="0"/>
                <w:numId w:val="6"/>
              </w:numPr>
              <w:spacing w:after="200" w:line="240" w:lineRule="auto"/>
              <w:ind w:left="320" w:hanging="283"/>
            </w:pPr>
            <w:r w:rsidRPr="00D159CB">
              <w:t>Ressourcen (Person/Zeit/Finanzen)</w:t>
            </w:r>
          </w:p>
          <w:p w14:paraId="07E264B9" w14:textId="77777777" w:rsidR="00D159CB" w:rsidRPr="00D159CB" w:rsidRDefault="00D159CB" w:rsidP="00DD02BE">
            <w:pPr>
              <w:numPr>
                <w:ilvl w:val="0"/>
                <w:numId w:val="6"/>
              </w:numPr>
              <w:spacing w:after="200" w:line="240" w:lineRule="auto"/>
              <w:ind w:left="320" w:hanging="283"/>
            </w:pPr>
            <w:r w:rsidRPr="00D159CB">
              <w:t>Eigeninitiative zur Umsetzung (Unterstützung holen)</w:t>
            </w:r>
          </w:p>
          <w:p w14:paraId="133EB6A5" w14:textId="77777777" w:rsidR="00D159CB" w:rsidRPr="00D159CB" w:rsidRDefault="00D159CB" w:rsidP="00DD02BE">
            <w:pPr>
              <w:numPr>
                <w:ilvl w:val="0"/>
                <w:numId w:val="6"/>
              </w:numPr>
              <w:spacing w:after="200" w:line="240" w:lineRule="auto"/>
              <w:ind w:left="320" w:hanging="283"/>
            </w:pPr>
            <w:r w:rsidRPr="00D159CB">
              <w:t>Datenschutz (fehlende Diagnose, Wissensverlust)</w:t>
            </w:r>
          </w:p>
        </w:tc>
      </w:tr>
      <w:tr w:rsidR="00D159CB" w:rsidRPr="00D159CB" w14:paraId="1B82A922" w14:textId="77777777" w:rsidTr="00C07254">
        <w:trPr>
          <w:trHeight w:val="930"/>
        </w:trPr>
        <w:tc>
          <w:tcPr>
            <w:tcW w:w="1701" w:type="dxa"/>
            <w:tcBorders>
              <w:top w:val="single" w:sz="4" w:space="0" w:color="auto"/>
              <w:left w:val="single" w:sz="4" w:space="0" w:color="auto"/>
              <w:bottom w:val="single" w:sz="4" w:space="0" w:color="auto"/>
              <w:right w:val="single" w:sz="4" w:space="0" w:color="auto"/>
            </w:tcBorders>
          </w:tcPr>
          <w:p w14:paraId="3B109BEE" w14:textId="77777777" w:rsidR="00D159CB" w:rsidRPr="00EA503F" w:rsidRDefault="00D159CB" w:rsidP="00DD02BE">
            <w:pPr>
              <w:spacing w:after="200" w:line="240" w:lineRule="auto"/>
              <w:rPr>
                <w:b/>
                <w:bCs/>
              </w:rPr>
            </w:pPr>
            <w:proofErr w:type="spellStart"/>
            <w:r w:rsidRPr="00EA503F">
              <w:rPr>
                <w:b/>
                <w:bCs/>
              </w:rPr>
              <w:t>üK</w:t>
            </w:r>
            <w:proofErr w:type="spellEnd"/>
          </w:p>
        </w:tc>
        <w:tc>
          <w:tcPr>
            <w:tcW w:w="3686" w:type="dxa"/>
            <w:tcBorders>
              <w:top w:val="single" w:sz="4" w:space="0" w:color="auto"/>
              <w:left w:val="single" w:sz="4" w:space="0" w:color="auto"/>
              <w:bottom w:val="single" w:sz="4" w:space="0" w:color="auto"/>
              <w:right w:val="single" w:sz="4" w:space="0" w:color="auto"/>
            </w:tcBorders>
            <w:shd w:val="clear" w:color="auto" w:fill="FFE599"/>
          </w:tcPr>
          <w:p w14:paraId="073ABBDA" w14:textId="663F76EB" w:rsidR="00D159CB" w:rsidRPr="00D159CB" w:rsidRDefault="00FB2889" w:rsidP="00DD02BE">
            <w:pPr>
              <w:numPr>
                <w:ilvl w:val="0"/>
                <w:numId w:val="4"/>
              </w:numPr>
              <w:spacing w:after="200" w:line="240" w:lineRule="auto"/>
              <w:ind w:left="313" w:hanging="313"/>
            </w:pPr>
            <w:r>
              <w:t>w</w:t>
            </w:r>
            <w:r w:rsidR="00D159CB" w:rsidRPr="00D159CB">
              <w:t>ohlwollende Haltung und Sensibilisierung</w:t>
            </w:r>
          </w:p>
          <w:p w14:paraId="73454B1F" w14:textId="4C0B04E1" w:rsidR="00D159CB" w:rsidRPr="00D159CB" w:rsidRDefault="00FB2889" w:rsidP="00DD02BE">
            <w:pPr>
              <w:numPr>
                <w:ilvl w:val="0"/>
                <w:numId w:val="4"/>
              </w:numPr>
              <w:spacing w:after="200" w:line="240" w:lineRule="auto"/>
              <w:ind w:left="313" w:hanging="313"/>
            </w:pPr>
            <w:r>
              <w:t>k</w:t>
            </w:r>
            <w:r w:rsidR="00D159CB" w:rsidRPr="00D159CB">
              <w:t xml:space="preserve">lare Zuständigkeit der </w:t>
            </w:r>
            <w:proofErr w:type="spellStart"/>
            <w:r w:rsidR="00D159CB" w:rsidRPr="00D159CB">
              <w:t>üK</w:t>
            </w:r>
            <w:proofErr w:type="spellEnd"/>
            <w:r w:rsidR="00D159CB" w:rsidRPr="00D159CB">
              <w:t>-Zentrumsleitung</w:t>
            </w:r>
          </w:p>
          <w:p w14:paraId="445FD58E" w14:textId="3A4FCC5B" w:rsidR="00D159CB" w:rsidRPr="00D159CB" w:rsidRDefault="00FB2889" w:rsidP="00DD02BE">
            <w:pPr>
              <w:numPr>
                <w:ilvl w:val="0"/>
                <w:numId w:val="4"/>
              </w:numPr>
              <w:spacing w:after="200" w:line="240" w:lineRule="auto"/>
              <w:ind w:left="313" w:hanging="313"/>
            </w:pPr>
            <w:r>
              <w:t>a</w:t>
            </w:r>
            <w:r w:rsidR="00D159CB" w:rsidRPr="00D159CB">
              <w:t>ktiv informieren und unterstützen</w:t>
            </w:r>
          </w:p>
          <w:p w14:paraId="2B9074A4" w14:textId="620D03C2" w:rsidR="00D159CB" w:rsidRPr="00D159CB" w:rsidRDefault="00D159CB" w:rsidP="00DD02BE">
            <w:pPr>
              <w:numPr>
                <w:ilvl w:val="0"/>
                <w:numId w:val="4"/>
              </w:numPr>
              <w:spacing w:after="200" w:line="240" w:lineRule="auto"/>
              <w:ind w:left="313" w:hanging="313"/>
            </w:pPr>
            <w:r w:rsidRPr="00D159CB">
              <w:t>Verantwortung</w:t>
            </w:r>
            <w:r w:rsidR="00077689">
              <w:t xml:space="preserve"> für </w:t>
            </w:r>
            <w:r w:rsidR="00077689" w:rsidRPr="00D159CB">
              <w:t xml:space="preserve">Umsetzung </w:t>
            </w:r>
            <w:r w:rsidR="00077689">
              <w:t>von den</w:t>
            </w:r>
            <w:r w:rsidRPr="00D159CB">
              <w:t xml:space="preserve"> L</w:t>
            </w:r>
            <w:r w:rsidR="00890D21">
              <w:t>ernenden</w:t>
            </w:r>
            <w:r w:rsidRPr="00D159CB">
              <w:t xml:space="preserve"> einfordern</w:t>
            </w:r>
          </w:p>
        </w:tc>
        <w:tc>
          <w:tcPr>
            <w:tcW w:w="3827" w:type="dxa"/>
            <w:tcBorders>
              <w:top w:val="single" w:sz="4" w:space="0" w:color="auto"/>
              <w:left w:val="single" w:sz="4" w:space="0" w:color="auto"/>
              <w:bottom w:val="single" w:sz="4" w:space="0" w:color="auto"/>
              <w:right w:val="single" w:sz="4" w:space="0" w:color="auto"/>
            </w:tcBorders>
            <w:shd w:val="clear" w:color="auto" w:fill="D3ECB8"/>
          </w:tcPr>
          <w:p w14:paraId="5FD77910" w14:textId="2C470273" w:rsidR="00D159CB" w:rsidRPr="00D159CB" w:rsidRDefault="001210DE" w:rsidP="00DD02BE">
            <w:pPr>
              <w:numPr>
                <w:ilvl w:val="0"/>
                <w:numId w:val="7"/>
              </w:numPr>
              <w:spacing w:after="200" w:line="240" w:lineRule="auto"/>
              <w:ind w:left="320" w:hanging="283"/>
            </w:pPr>
            <w:r w:rsidRPr="00D159CB">
              <w:t>externe Personen</w:t>
            </w:r>
            <w:r>
              <w:t xml:space="preserve"> beim</w:t>
            </w:r>
            <w:r w:rsidR="00D159CB" w:rsidRPr="00D159CB">
              <w:t xml:space="preserve"> Q</w:t>
            </w:r>
            <w:r w:rsidR="00CC45F9">
              <w:t>ualifikationsverfahren</w:t>
            </w:r>
          </w:p>
          <w:p w14:paraId="684C5192" w14:textId="73D577BC" w:rsidR="00D159CB" w:rsidRPr="00D159CB" w:rsidRDefault="007E657F" w:rsidP="00DD02BE">
            <w:pPr>
              <w:numPr>
                <w:ilvl w:val="0"/>
                <w:numId w:val="7"/>
              </w:numPr>
              <w:spacing w:after="200" w:line="240" w:lineRule="auto"/>
              <w:ind w:left="320" w:hanging="283"/>
            </w:pPr>
            <w:r>
              <w:t>Nachteilsausgleich</w:t>
            </w:r>
            <w:r w:rsidR="00CC45F9">
              <w:t xml:space="preserve"> </w:t>
            </w:r>
            <w:r w:rsidR="00D159CB" w:rsidRPr="00D159CB">
              <w:t>in der Nachholbildung</w:t>
            </w:r>
            <w:r w:rsidR="006D2F10">
              <w:rPr>
                <w:rStyle w:val="Funotenzeichen"/>
              </w:rPr>
              <w:footnoteReference w:id="2"/>
            </w:r>
            <w:r w:rsidR="00D159CB" w:rsidRPr="00D159CB">
              <w:t xml:space="preserve"> als Chance – in der Grundbildung teils als «Stigmatisierung» wahrgenommen</w:t>
            </w:r>
          </w:p>
          <w:p w14:paraId="52E24A6B" w14:textId="77777777" w:rsidR="00D159CB" w:rsidRPr="00D159CB" w:rsidRDefault="00D159CB" w:rsidP="00DD02BE">
            <w:pPr>
              <w:numPr>
                <w:ilvl w:val="0"/>
                <w:numId w:val="7"/>
              </w:numPr>
              <w:spacing w:after="200" w:line="240" w:lineRule="auto"/>
              <w:ind w:left="320" w:hanging="283"/>
            </w:pPr>
            <w:r w:rsidRPr="00D159CB">
              <w:t xml:space="preserve">Verantwortung der Betriebe </w:t>
            </w:r>
          </w:p>
          <w:p w14:paraId="4E4DD8CA" w14:textId="1C6B7404" w:rsidR="00D159CB" w:rsidRPr="00D159CB" w:rsidRDefault="00BA5466" w:rsidP="00DD02BE">
            <w:pPr>
              <w:numPr>
                <w:ilvl w:val="0"/>
                <w:numId w:val="7"/>
              </w:numPr>
              <w:spacing w:after="200" w:line="240" w:lineRule="auto"/>
              <w:ind w:left="320" w:hanging="283"/>
            </w:pPr>
            <w:r>
              <w:t xml:space="preserve">unterschiedliche </w:t>
            </w:r>
            <w:r w:rsidR="00D159CB" w:rsidRPr="00D159CB">
              <w:t>Umsetzbarkeit</w:t>
            </w:r>
            <w:r w:rsidR="005F5176">
              <w:t xml:space="preserve"> Nachteilsausgleich</w:t>
            </w:r>
            <w:r w:rsidR="00D159CB" w:rsidRPr="00D159CB">
              <w:t xml:space="preserve"> </w:t>
            </w:r>
            <w:r w:rsidR="00607026">
              <w:t xml:space="preserve">in </w:t>
            </w:r>
            <w:proofErr w:type="spellStart"/>
            <w:r w:rsidR="00D159CB" w:rsidRPr="00D159CB">
              <w:t>ü</w:t>
            </w:r>
            <w:r w:rsidR="00C61C5B">
              <w:t>K</w:t>
            </w:r>
            <w:proofErr w:type="spellEnd"/>
            <w:r w:rsidR="00D159CB" w:rsidRPr="00D159CB">
              <w:t xml:space="preserve"> und Q</w:t>
            </w:r>
            <w:r w:rsidR="001210DE">
              <w:t>ualifikationsverfahren</w:t>
            </w:r>
          </w:p>
        </w:tc>
      </w:tr>
      <w:tr w:rsidR="00D159CB" w:rsidRPr="00D159CB" w14:paraId="3C12E922" w14:textId="77777777" w:rsidTr="00C07254">
        <w:trPr>
          <w:trHeight w:val="786"/>
        </w:trPr>
        <w:tc>
          <w:tcPr>
            <w:tcW w:w="1701" w:type="dxa"/>
            <w:tcBorders>
              <w:top w:val="single" w:sz="4" w:space="0" w:color="auto"/>
              <w:left w:val="single" w:sz="4" w:space="0" w:color="auto"/>
              <w:bottom w:val="single" w:sz="4" w:space="0" w:color="auto"/>
              <w:right w:val="single" w:sz="4" w:space="0" w:color="auto"/>
            </w:tcBorders>
          </w:tcPr>
          <w:p w14:paraId="7E9F3877" w14:textId="24CB0719" w:rsidR="00D159CB" w:rsidRPr="00EA503F" w:rsidRDefault="004B40A7" w:rsidP="00DD02BE">
            <w:pPr>
              <w:spacing w:after="200" w:line="240" w:lineRule="auto"/>
              <w:rPr>
                <w:b/>
                <w:bCs/>
              </w:rPr>
            </w:pPr>
            <w:r>
              <w:rPr>
                <w:b/>
                <w:bCs/>
              </w:rPr>
              <w:t>ü</w:t>
            </w:r>
            <w:r w:rsidR="00D159CB" w:rsidRPr="00EA503F">
              <w:rPr>
                <w:b/>
                <w:bCs/>
              </w:rPr>
              <w:t>bergreifende Befunde</w:t>
            </w:r>
          </w:p>
        </w:tc>
        <w:tc>
          <w:tcPr>
            <w:tcW w:w="3686" w:type="dxa"/>
            <w:tcBorders>
              <w:top w:val="single" w:sz="4" w:space="0" w:color="auto"/>
              <w:left w:val="single" w:sz="4" w:space="0" w:color="auto"/>
              <w:bottom w:val="single" w:sz="4" w:space="0" w:color="auto"/>
              <w:right w:val="single" w:sz="4" w:space="0" w:color="auto"/>
            </w:tcBorders>
            <w:shd w:val="clear" w:color="auto" w:fill="C5E4ED"/>
          </w:tcPr>
          <w:p w14:paraId="3D46397F" w14:textId="77777777" w:rsidR="00D159CB" w:rsidRPr="00D159CB" w:rsidRDefault="00D159CB" w:rsidP="00DD02BE">
            <w:pPr>
              <w:numPr>
                <w:ilvl w:val="0"/>
                <w:numId w:val="4"/>
              </w:numPr>
              <w:spacing w:after="200" w:line="240" w:lineRule="auto"/>
              <w:ind w:left="313" w:hanging="313"/>
            </w:pPr>
            <w:r w:rsidRPr="00D159CB">
              <w:t>Verständnis und offener Umgang aller Involvierten</w:t>
            </w:r>
          </w:p>
          <w:p w14:paraId="4A18982D" w14:textId="48936010" w:rsidR="00D159CB" w:rsidRPr="00D159CB" w:rsidRDefault="00FB2889" w:rsidP="00DD02BE">
            <w:pPr>
              <w:numPr>
                <w:ilvl w:val="0"/>
                <w:numId w:val="4"/>
              </w:numPr>
              <w:spacing w:after="200" w:line="240" w:lineRule="auto"/>
              <w:ind w:left="313" w:hanging="313"/>
            </w:pPr>
            <w:r>
              <w:t>i</w:t>
            </w:r>
            <w:r w:rsidR="00D159CB" w:rsidRPr="00D159CB">
              <w:t>ndividuelles Engagement der Beteiligten</w:t>
            </w:r>
          </w:p>
          <w:p w14:paraId="2C92C46D" w14:textId="1CBFB9EB" w:rsidR="00D159CB" w:rsidRPr="00D159CB" w:rsidRDefault="00FB2889" w:rsidP="00DD02BE">
            <w:pPr>
              <w:numPr>
                <w:ilvl w:val="0"/>
                <w:numId w:val="4"/>
              </w:numPr>
              <w:spacing w:after="200" w:line="240" w:lineRule="auto"/>
              <w:ind w:left="313" w:hanging="313"/>
            </w:pPr>
            <w:r>
              <w:t>i</w:t>
            </w:r>
            <w:r w:rsidR="00D159CB" w:rsidRPr="00D159CB">
              <w:t>ndividuelle Lösungen finden</w:t>
            </w:r>
          </w:p>
        </w:tc>
        <w:tc>
          <w:tcPr>
            <w:tcW w:w="3827" w:type="dxa"/>
            <w:tcBorders>
              <w:top w:val="single" w:sz="4" w:space="0" w:color="auto"/>
              <w:left w:val="single" w:sz="4" w:space="0" w:color="auto"/>
              <w:bottom w:val="single" w:sz="4" w:space="0" w:color="auto"/>
              <w:right w:val="single" w:sz="4" w:space="0" w:color="auto"/>
            </w:tcBorders>
            <w:shd w:val="clear" w:color="auto" w:fill="C5E4ED"/>
          </w:tcPr>
          <w:p w14:paraId="1586476B" w14:textId="77777777" w:rsidR="00D159CB" w:rsidRPr="00D159CB" w:rsidRDefault="00D159CB" w:rsidP="00DD02BE">
            <w:pPr>
              <w:numPr>
                <w:ilvl w:val="0"/>
                <w:numId w:val="9"/>
              </w:numPr>
              <w:spacing w:after="200" w:line="240" w:lineRule="auto"/>
              <w:ind w:left="320" w:hanging="283"/>
            </w:pPr>
            <w:r w:rsidRPr="00D159CB">
              <w:t>Datenschutz</w:t>
            </w:r>
          </w:p>
          <w:p w14:paraId="5B6E81BA" w14:textId="4211C418" w:rsidR="00D159CB" w:rsidRPr="00D159CB" w:rsidRDefault="00FB2889" w:rsidP="00DD02BE">
            <w:pPr>
              <w:numPr>
                <w:ilvl w:val="0"/>
                <w:numId w:val="9"/>
              </w:numPr>
              <w:spacing w:after="200" w:line="240" w:lineRule="auto"/>
              <w:ind w:left="320" w:hanging="283"/>
            </w:pPr>
            <w:r>
              <w:t>k</w:t>
            </w:r>
            <w:r w:rsidR="00D159CB" w:rsidRPr="00D159CB">
              <w:t>antonale Unterschiede (Gesuchstellung komplex)</w:t>
            </w:r>
          </w:p>
          <w:p w14:paraId="39739CB4" w14:textId="77777777" w:rsidR="00D159CB" w:rsidRPr="00D159CB" w:rsidRDefault="00D159CB" w:rsidP="00DD02BE">
            <w:pPr>
              <w:numPr>
                <w:ilvl w:val="0"/>
                <w:numId w:val="9"/>
              </w:numPr>
              <w:spacing w:after="200" w:line="240" w:lineRule="auto"/>
              <w:ind w:left="320" w:hanging="283"/>
            </w:pPr>
            <w:r w:rsidRPr="00D159CB">
              <w:t xml:space="preserve">Standardverfügungen </w:t>
            </w:r>
          </w:p>
          <w:p w14:paraId="234F80F4" w14:textId="479796D7" w:rsidR="00D159CB" w:rsidRPr="00D159CB" w:rsidRDefault="00D159CB" w:rsidP="00DD02BE">
            <w:pPr>
              <w:numPr>
                <w:ilvl w:val="0"/>
                <w:numId w:val="9"/>
              </w:numPr>
              <w:spacing w:after="200" w:line="240" w:lineRule="auto"/>
              <w:ind w:left="320" w:hanging="283"/>
            </w:pPr>
            <w:r w:rsidRPr="00D159CB">
              <w:t xml:space="preserve">Grenzen </w:t>
            </w:r>
            <w:r w:rsidR="00C16BC2" w:rsidRPr="00C16BC2">
              <w:t xml:space="preserve">in der Umsetzbarkeit des </w:t>
            </w:r>
            <w:r w:rsidR="007E657F">
              <w:t>Nachteilsausgleich</w:t>
            </w:r>
            <w:r w:rsidR="00C16BC2">
              <w:t>s</w:t>
            </w:r>
          </w:p>
        </w:tc>
      </w:tr>
    </w:tbl>
    <w:p w14:paraId="52D87E26" w14:textId="401C9C40" w:rsidR="00651C98" w:rsidRPr="00651C98" w:rsidRDefault="00D878B4" w:rsidP="00651C98">
      <w:pPr>
        <w:pStyle w:val="berschrift1"/>
      </w:pPr>
      <w:r>
        <w:lastRenderedPageBreak/>
        <w:t>Abschliessende Überlegungen</w:t>
      </w:r>
    </w:p>
    <w:p w14:paraId="566C4CEC" w14:textId="2151B597" w:rsidR="00651C98" w:rsidRPr="00651C98" w:rsidRDefault="009E5DB4" w:rsidP="00651C98">
      <w:pPr>
        <w:pStyle w:val="Textkrper"/>
        <w:ind w:firstLine="0"/>
      </w:pPr>
      <w:r>
        <w:t>In den</w:t>
      </w:r>
      <w:r w:rsidR="005F5176">
        <w:t xml:space="preserve"> Interviews</w:t>
      </w:r>
      <w:r>
        <w:t xml:space="preserve"> hat sich</w:t>
      </w:r>
      <w:r w:rsidR="005F5176">
        <w:t xml:space="preserve"> </w:t>
      </w:r>
      <w:r>
        <w:t>ge</w:t>
      </w:r>
      <w:r w:rsidR="005F5176">
        <w:t>zeig</w:t>
      </w:r>
      <w:r>
        <w:t>t</w:t>
      </w:r>
      <w:r w:rsidR="00651C98" w:rsidRPr="00651C98">
        <w:t xml:space="preserve">, dass eine zentrale Herausforderung in den kantonal unterschiedlichen </w:t>
      </w:r>
      <w:proofErr w:type="spellStart"/>
      <w:r w:rsidR="00651C98" w:rsidRPr="00651C98">
        <w:t>Gesuchsformularen</w:t>
      </w:r>
      <w:proofErr w:type="spellEnd"/>
      <w:r w:rsidR="00651C98" w:rsidRPr="00651C98">
        <w:t xml:space="preserve"> liegt</w:t>
      </w:r>
      <w:r w:rsidR="005F5176">
        <w:t xml:space="preserve">. Diese gelten </w:t>
      </w:r>
      <w:r w:rsidR="00D606F2">
        <w:t xml:space="preserve">je nach Kanton </w:t>
      </w:r>
      <w:r w:rsidR="00651C98" w:rsidRPr="00651C98">
        <w:t>f</w:t>
      </w:r>
      <w:r w:rsidR="00651C98" w:rsidRPr="00651C98">
        <w:rPr>
          <w:rFonts w:hint="cs"/>
        </w:rPr>
        <w:t>ü</w:t>
      </w:r>
      <w:r w:rsidR="00651C98" w:rsidRPr="00651C98">
        <w:t>r die gesamte Lehrzeit, f</w:t>
      </w:r>
      <w:r w:rsidR="00651C98" w:rsidRPr="00651C98">
        <w:rPr>
          <w:rFonts w:hint="cs"/>
        </w:rPr>
        <w:t>ü</w:t>
      </w:r>
      <w:r w:rsidR="00651C98" w:rsidRPr="00651C98">
        <w:t>r einzelne Lernorte oder separat f</w:t>
      </w:r>
      <w:r w:rsidR="00651C98" w:rsidRPr="00651C98">
        <w:rPr>
          <w:rFonts w:hint="cs"/>
        </w:rPr>
        <w:t>ü</w:t>
      </w:r>
      <w:r w:rsidR="00651C98" w:rsidRPr="00651C98">
        <w:t>r das Q</w:t>
      </w:r>
      <w:r w:rsidR="00E249C3">
        <w:t>ualifikationsverfahren</w:t>
      </w:r>
      <w:r w:rsidR="00651C98" w:rsidRPr="00651C98">
        <w:t>. Diese Handhabung kann f</w:t>
      </w:r>
      <w:r w:rsidR="00651C98" w:rsidRPr="00651C98">
        <w:rPr>
          <w:rFonts w:hint="cs"/>
        </w:rPr>
        <w:t>ü</w:t>
      </w:r>
      <w:r w:rsidR="00651C98" w:rsidRPr="00651C98">
        <w:t>r Lernende ohne Unterst</w:t>
      </w:r>
      <w:r w:rsidR="00651C98" w:rsidRPr="00651C98">
        <w:rPr>
          <w:rFonts w:hint="cs"/>
        </w:rPr>
        <w:t>ü</w:t>
      </w:r>
      <w:r w:rsidR="00651C98" w:rsidRPr="00651C98">
        <w:t>tzung eine H</w:t>
      </w:r>
      <w:r w:rsidR="00651C98" w:rsidRPr="00651C98">
        <w:rPr>
          <w:rFonts w:hint="cs"/>
        </w:rPr>
        <w:t>ü</w:t>
      </w:r>
      <w:r w:rsidR="00651C98" w:rsidRPr="00651C98">
        <w:t>rde</w:t>
      </w:r>
      <w:r w:rsidR="00FB4241">
        <w:t xml:space="preserve"> sein</w:t>
      </w:r>
      <w:r w:rsidR="00651C98" w:rsidRPr="00651C98">
        <w:t xml:space="preserve">. Es erstaunt, dass trotz der kantonalen Unterschiede kein expliziter Wunsch </w:t>
      </w:r>
      <w:r w:rsidR="00920B77" w:rsidRPr="00651C98">
        <w:t xml:space="preserve">geäussert wird </w:t>
      </w:r>
      <w:r w:rsidR="00651C98" w:rsidRPr="00651C98">
        <w:t xml:space="preserve">nach Vereinheitlichung </w:t>
      </w:r>
      <w:r w:rsidR="00920B77" w:rsidRPr="00651C98">
        <w:t xml:space="preserve">der Gesuchstellung und </w:t>
      </w:r>
      <w:r w:rsidR="00920B77">
        <w:t xml:space="preserve">in der </w:t>
      </w:r>
      <w:r w:rsidR="00920B77" w:rsidRPr="00651C98">
        <w:t xml:space="preserve">Umsetzung des </w:t>
      </w:r>
      <w:r w:rsidR="00920B77">
        <w:t>Nachteilsausgleichs</w:t>
      </w:r>
      <w:r w:rsidR="00651C98" w:rsidRPr="00651C98">
        <w:t>. Dies ist umso bemerkenswerter, als die Bildungspläne und das Q</w:t>
      </w:r>
      <w:r w:rsidR="00D606F2">
        <w:t>ualifikationsverfahren</w:t>
      </w:r>
      <w:r w:rsidR="00651C98" w:rsidRPr="00651C98">
        <w:t xml:space="preserve"> national organisiert sind, während die Ausgestaltung des </w:t>
      </w:r>
      <w:r w:rsidR="007E657F">
        <w:t>Nachteilsausgleich</w:t>
      </w:r>
      <w:r w:rsidR="00514E03">
        <w:t xml:space="preserve">s </w:t>
      </w:r>
      <w:r w:rsidR="00651C98" w:rsidRPr="00651C98">
        <w:t>kantonal variiert.</w:t>
      </w:r>
    </w:p>
    <w:p w14:paraId="13CFE0C4" w14:textId="56C0E256" w:rsidR="00651C98" w:rsidRPr="00651C98" w:rsidRDefault="00143D2A" w:rsidP="00651C98">
      <w:pPr>
        <w:pStyle w:val="Textkrper"/>
      </w:pPr>
      <w:r w:rsidRPr="00143D2A">
        <w:rPr>
          <w:noProof/>
          <w:lang w:eastAsia="de-CH"/>
        </w:rPr>
        <mc:AlternateContent>
          <mc:Choice Requires="wps">
            <w:drawing>
              <wp:anchor distT="45720" distB="45720" distL="46990" distR="46990" simplePos="0" relativeHeight="251658241" behindDoc="0" locked="0" layoutInCell="1" allowOverlap="0" wp14:anchorId="71031D69" wp14:editId="7150AC0E">
                <wp:simplePos x="0" y="0"/>
                <wp:positionH relativeFrom="page">
                  <wp:align>left</wp:align>
                </wp:positionH>
                <wp:positionV relativeFrom="paragraph">
                  <wp:posOffset>2426335</wp:posOffset>
                </wp:positionV>
                <wp:extent cx="5899150" cy="510540"/>
                <wp:effectExtent l="0" t="0" r="0" b="3810"/>
                <wp:wrapTopAndBottom/>
                <wp:docPr id="1655901184" name="Textfeld 16559011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510540"/>
                        </a:xfrm>
                        <a:prstGeom prst="rect">
                          <a:avLst/>
                        </a:prstGeom>
                        <a:noFill/>
                        <a:ln w="9525">
                          <a:noFill/>
                          <a:miter lim="800000"/>
                          <a:headEnd/>
                          <a:tailEnd/>
                        </a:ln>
                      </wps:spPr>
                      <wps:txbx>
                        <w:txbxContent>
                          <w:p w14:paraId="00A8461B" w14:textId="77777777" w:rsidR="00461A17" w:rsidRDefault="00461A17" w:rsidP="00143D2A">
                            <w:pPr>
                              <w:pStyle w:val="Hervorhebung1"/>
                            </w:pPr>
                            <w:r w:rsidRPr="00461A17">
                              <w:t>Obwohl aus Gründen der Chancengleichheit eine Harmonisierung an</w:t>
                            </w:r>
                            <w:r>
                              <w:t>ge</w:t>
                            </w:r>
                            <w:r w:rsidRPr="00461A17">
                              <w:t>strebt</w:t>
                            </w:r>
                            <w:r>
                              <w:t xml:space="preserve"> wird</w:t>
                            </w:r>
                            <w:r w:rsidRPr="00461A17">
                              <w:t xml:space="preserve">, </w:t>
                            </w:r>
                          </w:p>
                          <w:p w14:paraId="101E38AD" w14:textId="08B2AD61" w:rsidR="00143D2A" w:rsidRPr="00182745" w:rsidRDefault="00461A17" w:rsidP="00143D2A">
                            <w:pPr>
                              <w:pStyle w:val="Hervorhebung1"/>
                            </w:pPr>
                            <w:r w:rsidRPr="00461A17">
                              <w:t>zeig</w:t>
                            </w:r>
                            <w:r w:rsidR="009D50EC">
                              <w:t>t</w:t>
                            </w:r>
                            <w:r w:rsidRPr="00461A17">
                              <w:t xml:space="preserve"> sich in der Praxis </w:t>
                            </w:r>
                            <w:r w:rsidR="00166C43" w:rsidRPr="00166C43">
                              <w:t xml:space="preserve">eine Tendenz zu </w:t>
                            </w:r>
                            <w:r w:rsidRPr="00461A17">
                              <w:t>Standardmassnahmen</w:t>
                            </w:r>
                            <w:r>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31D69" id="Textfeld 1655901184" o:spid="_x0000_s1027" type="#_x0000_t202" alt="&quot;&quot;" style="position:absolute;left:0;text-align:left;margin-left:0;margin-top:191.05pt;width:464.5pt;height:40.2pt;z-index:251658241;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" o:allowoverlap="f" filled="f" stroked="f">
                <v:textbox inset="29mm,,2.5mm">
                  <w:txbxContent>
                    <w:p w14:paraId="00A8461B" w14:textId="77777777" w:rsidR="00461A17" w:rsidRDefault="00461A17" w:rsidP="00143D2A">
                      <w:pPr>
                        <w:pStyle w:val="Hervorhebung1"/>
                      </w:pPr>
                      <w:r w:rsidRPr="00461A17">
                        <w:t>Obwohl aus Gründen der Chancengleichheit eine Harmonisierung an</w:t>
                      </w:r>
                      <w:r>
                        <w:t>ge</w:t>
                      </w:r>
                      <w:r w:rsidRPr="00461A17">
                        <w:t>strebt</w:t>
                      </w:r>
                      <w:r>
                        <w:t xml:space="preserve"> wird</w:t>
                      </w:r>
                      <w:r w:rsidRPr="00461A17">
                        <w:t xml:space="preserve">, </w:t>
                      </w:r>
                    </w:p>
                    <w:p w14:paraId="101E38AD" w14:textId="08B2AD61" w:rsidR="00143D2A" w:rsidRPr="00182745" w:rsidRDefault="00461A17" w:rsidP="00143D2A">
                      <w:pPr>
                        <w:pStyle w:val="Hervorhebung1"/>
                      </w:pPr>
                      <w:r w:rsidRPr="00461A17">
                        <w:t>zeig</w:t>
                      </w:r>
                      <w:r w:rsidR="009D50EC">
                        <w:t>t</w:t>
                      </w:r>
                      <w:r w:rsidRPr="00461A17">
                        <w:t xml:space="preserve"> sich in der Praxis </w:t>
                      </w:r>
                      <w:r w:rsidR="00166C43" w:rsidRPr="00166C43">
                        <w:t xml:space="preserve">eine Tendenz zu </w:t>
                      </w:r>
                      <w:r w:rsidRPr="00461A17">
                        <w:t>Standardmassnahmen</w:t>
                      </w:r>
                      <w:r>
                        <w:t>.</w:t>
                      </w:r>
                    </w:p>
                  </w:txbxContent>
                </v:textbox>
                <w10:wrap type="topAndBottom" anchorx="page"/>
              </v:shape>
            </w:pict>
          </mc:Fallback>
        </mc:AlternateContent>
      </w:r>
      <w:r w:rsidR="00651C98" w:rsidRPr="00651C98">
        <w:t xml:space="preserve">Die </w:t>
      </w:r>
      <w:r w:rsidR="002F5F6E">
        <w:t xml:space="preserve">unterschiedliche </w:t>
      </w:r>
      <w:r w:rsidR="00651C98" w:rsidRPr="00651C98">
        <w:t xml:space="preserve">Handhabung kann </w:t>
      </w:r>
      <w:r w:rsidR="00514E03">
        <w:t xml:space="preserve">weiter </w:t>
      </w:r>
      <w:r w:rsidR="00651C98" w:rsidRPr="00651C98">
        <w:t>dazu f</w:t>
      </w:r>
      <w:r w:rsidR="00651C98" w:rsidRPr="00651C98">
        <w:rPr>
          <w:rFonts w:hint="cs"/>
        </w:rPr>
        <w:t>ü</w:t>
      </w:r>
      <w:r w:rsidR="00651C98" w:rsidRPr="00651C98">
        <w:t xml:space="preserve">hren, dass Lernende mit der gleichen Diagnose unterschiedliche Massnahmen erhalten. </w:t>
      </w:r>
      <w:r w:rsidR="009D50EC" w:rsidRPr="009D50EC">
        <w:t>Das kantonale Amt strebt zwar eine Harmonisierung an und unterstützt auch individuelle Lösungen. In der Praxis zeigt sich jedoch eine Tendenz zu Standardmassnahmen (Zeitzuschlag, separater Raum)</w:t>
      </w:r>
      <w:r w:rsidR="009D50EC">
        <w:t>.</w:t>
      </w:r>
      <w:r w:rsidR="00651C98" w:rsidRPr="00651C98">
        <w:t xml:space="preserve"> Dies erscheint angesichts der Vielfalt der Diagnosen problematisch und wirft Fragen nach der Wirksamkeit und Angemessenheit auf. Dass beispielsweise die Massnahme Zeitzuschlag h</w:t>
      </w:r>
      <w:r w:rsidR="00651C98" w:rsidRPr="00651C98">
        <w:rPr>
          <w:rFonts w:hint="cs"/>
        </w:rPr>
        <w:t>ä</w:t>
      </w:r>
      <w:r w:rsidR="00651C98" w:rsidRPr="00651C98">
        <w:t>ufig in eine Pause fällt, ist eher als Nachteil zu werten. Ebenso erscheint es sinnvoll, den Fokus verst</w:t>
      </w:r>
      <w:r w:rsidR="00651C98" w:rsidRPr="00651C98">
        <w:rPr>
          <w:rFonts w:hint="cs"/>
        </w:rPr>
        <w:t>ä</w:t>
      </w:r>
      <w:r w:rsidR="00651C98" w:rsidRPr="00651C98">
        <w:t>rkt auf eine inklusiv-mediale Unterrichtsgestaltung zu legen (Schellenberg et al., 2021). In den Interviews konnten keine Hinweise auf entsprechende Ansätze identifiziert werden. Hier erscheint eine Sammlung von konkreten Umsetzungsbeispielen pro Berufsfeld und Lernort sinnvoll, um im Sinne einer Qualit</w:t>
      </w:r>
      <w:r w:rsidR="00651C98" w:rsidRPr="00651C98">
        <w:rPr>
          <w:rFonts w:hint="cs"/>
        </w:rPr>
        <w:t>ä</w:t>
      </w:r>
      <w:r w:rsidR="00651C98" w:rsidRPr="00651C98">
        <w:t>tssicherung und Erfahrungswerten eine m</w:t>
      </w:r>
      <w:r w:rsidR="00651C98" w:rsidRPr="00651C98">
        <w:rPr>
          <w:rFonts w:hint="cs"/>
        </w:rPr>
        <w:t>ö</w:t>
      </w:r>
      <w:r w:rsidR="00651C98" w:rsidRPr="00651C98">
        <w:t>glichst hohe Gleichbehandlung zu schaffen. Leitf</w:t>
      </w:r>
      <w:r w:rsidR="00651C98" w:rsidRPr="00651C98">
        <w:rPr>
          <w:rFonts w:hint="cs"/>
        </w:rPr>
        <w:t>ä</w:t>
      </w:r>
      <w:r w:rsidR="00651C98" w:rsidRPr="00651C98">
        <w:t xml:space="preserve">den zum </w:t>
      </w:r>
      <w:r w:rsidR="007E657F">
        <w:t>Nachteilsausgleich</w:t>
      </w:r>
      <w:r w:rsidR="000E08D0">
        <w:t xml:space="preserve"> </w:t>
      </w:r>
      <w:r w:rsidR="00651C98" w:rsidRPr="00651C98">
        <w:t>sind f</w:t>
      </w:r>
      <w:r w:rsidR="00651C98" w:rsidRPr="00651C98">
        <w:rPr>
          <w:rFonts w:hint="cs"/>
        </w:rPr>
        <w:t>ü</w:t>
      </w:r>
      <w:r w:rsidR="00651C98" w:rsidRPr="00651C98">
        <w:t>r den Lernort Berufsfachschule und die Pr</w:t>
      </w:r>
      <w:r w:rsidR="00651C98" w:rsidRPr="00651C98">
        <w:rPr>
          <w:rFonts w:hint="cs"/>
        </w:rPr>
        <w:t>ü</w:t>
      </w:r>
      <w:r w:rsidR="00651C98" w:rsidRPr="00651C98">
        <w:t>fungspraxis beschrieben</w:t>
      </w:r>
      <w:r w:rsidR="005E6CCE">
        <w:t xml:space="preserve"> </w:t>
      </w:r>
      <w:r w:rsidR="005E6CCE" w:rsidRPr="00651C98">
        <w:t xml:space="preserve">(Vollmer &amp; </w:t>
      </w:r>
      <w:proofErr w:type="spellStart"/>
      <w:r w:rsidR="005E6CCE" w:rsidRPr="00651C98">
        <w:t>Frohnenberg</w:t>
      </w:r>
      <w:proofErr w:type="spellEnd"/>
      <w:r w:rsidR="005E6CCE" w:rsidRPr="00651C98">
        <w:t>, 2014</w:t>
      </w:r>
      <w:r w:rsidR="005E6CCE">
        <w:t>;</w:t>
      </w:r>
      <w:r w:rsidR="005E6CCE" w:rsidRPr="00651C98">
        <w:t xml:space="preserve"> Schellenberg et al., 2020; SDBB, 2013)</w:t>
      </w:r>
      <w:r w:rsidR="003A6B33">
        <w:t>.</w:t>
      </w:r>
      <w:r w:rsidR="00651C98" w:rsidRPr="00651C98">
        <w:t xml:space="preserve"> </w:t>
      </w:r>
      <w:r w:rsidR="003A6B33">
        <w:t>B</w:t>
      </w:r>
      <w:r w:rsidR="00651C98" w:rsidRPr="00651C98">
        <w:t xml:space="preserve">erufsspezifische </w:t>
      </w:r>
      <w:r w:rsidR="004E2561">
        <w:t xml:space="preserve">Leitfäden </w:t>
      </w:r>
      <w:r w:rsidR="00651C98" w:rsidRPr="00651C98">
        <w:t xml:space="preserve">mit Blick auf alle Lernorte liegen nicht vor. </w:t>
      </w:r>
      <w:r w:rsidR="00736748">
        <w:t xml:space="preserve">Solche Richtlinien </w:t>
      </w:r>
      <w:r w:rsidR="00651C98" w:rsidRPr="00651C98">
        <w:t>k</w:t>
      </w:r>
      <w:r w:rsidR="00651C98" w:rsidRPr="00651C98">
        <w:rPr>
          <w:rFonts w:hint="cs"/>
        </w:rPr>
        <w:t>ö</w:t>
      </w:r>
      <w:r w:rsidR="00651C98" w:rsidRPr="00651C98">
        <w:t>nnte</w:t>
      </w:r>
      <w:r w:rsidR="00736748">
        <w:t>n</w:t>
      </w:r>
      <w:r w:rsidR="00651C98" w:rsidRPr="00651C98">
        <w:t xml:space="preserve"> helfen, die vorhandenen Unterst</w:t>
      </w:r>
      <w:r w:rsidR="00651C98" w:rsidRPr="00651C98">
        <w:rPr>
          <w:rFonts w:hint="cs"/>
        </w:rPr>
        <w:t>ü</w:t>
      </w:r>
      <w:r w:rsidR="00651C98" w:rsidRPr="00651C98">
        <w:t>tzungsmassnahmen (noch) zielf</w:t>
      </w:r>
      <w:r w:rsidR="00651C98" w:rsidRPr="00651C98">
        <w:rPr>
          <w:rFonts w:hint="cs"/>
        </w:rPr>
        <w:t>ü</w:t>
      </w:r>
      <w:r w:rsidR="00651C98" w:rsidRPr="00651C98">
        <w:t>hrender zu nutzen (W</w:t>
      </w:r>
      <w:r w:rsidR="00651C98" w:rsidRPr="00651C98">
        <w:rPr>
          <w:rFonts w:hint="cs"/>
        </w:rPr>
        <w:t>ü</w:t>
      </w:r>
      <w:r w:rsidR="00651C98" w:rsidRPr="00651C98">
        <w:t>thrich, 2024).</w:t>
      </w:r>
    </w:p>
    <w:p w14:paraId="28EE6951" w14:textId="14A1B44F" w:rsidR="00651C98" w:rsidRPr="00651C98" w:rsidRDefault="00651C98" w:rsidP="00461A17">
      <w:pPr>
        <w:pStyle w:val="Textkrper"/>
        <w:ind w:firstLine="0"/>
      </w:pPr>
      <w:r w:rsidRPr="00651C98">
        <w:t xml:space="preserve">Besondere Aufmerksamkeit </w:t>
      </w:r>
      <w:r w:rsidR="00227FE7">
        <w:t xml:space="preserve">gilt </w:t>
      </w:r>
      <w:r w:rsidRPr="00651C98">
        <w:t xml:space="preserve">dem Datenschutz. Die Beteiligten erhalten </w:t>
      </w:r>
      <w:r w:rsidR="001E0981">
        <w:t xml:space="preserve">Einblick in </w:t>
      </w:r>
      <w:r w:rsidRPr="00651C98">
        <w:t xml:space="preserve">die verordnete Massnahme, nicht aber </w:t>
      </w:r>
      <w:r w:rsidR="00667265">
        <w:t xml:space="preserve">in </w:t>
      </w:r>
      <w:r w:rsidRPr="00651C98">
        <w:t xml:space="preserve">die </w:t>
      </w:r>
      <w:r w:rsidR="00CC324D">
        <w:t>i</w:t>
      </w:r>
      <w:r w:rsidR="00667265">
        <w:t>hr</w:t>
      </w:r>
      <w:r w:rsidR="00CC324D">
        <w:t xml:space="preserve"> </w:t>
      </w:r>
      <w:r w:rsidRPr="00651C98">
        <w:t>zugrunde liegende Diagnose</w:t>
      </w:r>
      <w:r w:rsidR="001E0981">
        <w:t xml:space="preserve">. Dies erschwert </w:t>
      </w:r>
      <w:r w:rsidRPr="00651C98">
        <w:t>die Unterst</w:t>
      </w:r>
      <w:r w:rsidRPr="00651C98">
        <w:rPr>
          <w:rFonts w:hint="cs"/>
        </w:rPr>
        <w:t>ü</w:t>
      </w:r>
      <w:r w:rsidRPr="00651C98">
        <w:t xml:space="preserve">tzung der Lernenden. </w:t>
      </w:r>
      <w:r w:rsidR="00676832">
        <w:t>In den Interviews</w:t>
      </w:r>
      <w:r w:rsidRPr="00651C98">
        <w:t xml:space="preserve"> wird beschrieben, dass dadurch viel Wissen </w:t>
      </w:r>
      <w:r w:rsidRPr="00651C98">
        <w:rPr>
          <w:rFonts w:hint="cs"/>
        </w:rPr>
        <w:t>ü</w:t>
      </w:r>
      <w:r w:rsidRPr="00651C98">
        <w:t>ber die Unterst</w:t>
      </w:r>
      <w:r w:rsidRPr="00651C98">
        <w:rPr>
          <w:rFonts w:hint="cs"/>
        </w:rPr>
        <w:t>ü</w:t>
      </w:r>
      <w:r w:rsidRPr="00651C98">
        <w:t>tzung/Hilfestellung der Lernenden verloren geht. Als L</w:t>
      </w:r>
      <w:r w:rsidRPr="00651C98">
        <w:rPr>
          <w:rFonts w:hint="cs"/>
        </w:rPr>
        <w:t>ö</w:t>
      </w:r>
      <w:r w:rsidRPr="00651C98">
        <w:t>sungsans</w:t>
      </w:r>
      <w:r w:rsidR="00954956">
        <w:t>ä</w:t>
      </w:r>
      <w:r w:rsidRPr="00651C98">
        <w:t>tz</w:t>
      </w:r>
      <w:r w:rsidR="00954956">
        <w:t>e</w:t>
      </w:r>
      <w:r w:rsidRPr="00651C98">
        <w:t xml:space="preserve"> </w:t>
      </w:r>
      <w:r w:rsidR="00954956">
        <w:t xml:space="preserve">genannt werden </w:t>
      </w:r>
      <w:r w:rsidRPr="00651C98">
        <w:t>ein offener Umgang, eine entsprechende Haltung</w:t>
      </w:r>
      <w:r w:rsidR="00954956">
        <w:t xml:space="preserve"> und</w:t>
      </w:r>
      <w:r w:rsidRPr="00651C98">
        <w:t xml:space="preserve"> das individuelle Engagement aller Beteiligten. Schliesslich wird die Frage aufgeworfen, ob die Fokussierung auf das Q</w:t>
      </w:r>
      <w:r w:rsidR="00C87BD3">
        <w:t>ualifikationsverfahren</w:t>
      </w:r>
      <w:r w:rsidRPr="00651C98">
        <w:t xml:space="preserve"> ausreich</w:t>
      </w:r>
      <w:r w:rsidR="000F4F89">
        <w:t>t</w:t>
      </w:r>
      <w:r w:rsidRPr="00651C98">
        <w:t>, da die Lernenden den gr</w:t>
      </w:r>
      <w:r w:rsidRPr="00651C98">
        <w:rPr>
          <w:rFonts w:hint="cs"/>
        </w:rPr>
        <w:t>ö</w:t>
      </w:r>
      <w:r w:rsidRPr="00651C98">
        <w:t xml:space="preserve">ssten Teil ihrer Lehrzeit am Lernort </w:t>
      </w:r>
      <w:r w:rsidR="00714B17">
        <w:t xml:space="preserve">Betrieb </w:t>
      </w:r>
      <w:r w:rsidRPr="00651C98">
        <w:t>verbringen, dieser aber kaum von den Massnahmen betroffen ist und im Gesetz grunds</w:t>
      </w:r>
      <w:r w:rsidRPr="00651C98">
        <w:rPr>
          <w:rFonts w:hint="cs"/>
        </w:rPr>
        <w:t>ä</w:t>
      </w:r>
      <w:r w:rsidRPr="00651C98">
        <w:t>tzlich auch nicht vorgesehen ist. Im Sinne einer multiprofessionellen Zusammenarbeit k</w:t>
      </w:r>
      <w:r w:rsidRPr="00651C98">
        <w:rPr>
          <w:rFonts w:hint="cs"/>
        </w:rPr>
        <w:t>ö</w:t>
      </w:r>
      <w:r w:rsidRPr="00651C98">
        <w:t xml:space="preserve">nnte hier eine Chance liegen, die </w:t>
      </w:r>
      <w:r w:rsidR="00D43929">
        <w:t>K</w:t>
      </w:r>
      <w:r w:rsidRPr="00651C98">
        <w:t xml:space="preserve">ooperation </w:t>
      </w:r>
      <w:r w:rsidR="00D43929">
        <w:t xml:space="preserve">zwischen den Lernorten </w:t>
      </w:r>
      <w:r w:rsidRPr="00651C98">
        <w:t>zu st</w:t>
      </w:r>
      <w:r w:rsidRPr="00651C98">
        <w:rPr>
          <w:rFonts w:hint="cs"/>
        </w:rPr>
        <w:t>ä</w:t>
      </w:r>
      <w:r w:rsidRPr="00651C98">
        <w:t xml:space="preserve">rken und eine gemeinsame Haltung zu </w:t>
      </w:r>
      <w:r w:rsidR="002324E4">
        <w:t>erarbeiten</w:t>
      </w:r>
      <w:r w:rsidRPr="00651C98">
        <w:t xml:space="preserve">. Insgesamt deuten die Zwischenergebnisse auf erhebliche Anstrengungen aller Beteiligten im Bereich des </w:t>
      </w:r>
      <w:r w:rsidR="007E657F">
        <w:t>Nachteilsausgleich</w:t>
      </w:r>
      <w:r w:rsidR="002324E4">
        <w:t xml:space="preserve">s </w:t>
      </w:r>
      <w:r w:rsidRPr="00651C98">
        <w:t xml:space="preserve">hin. Die Befragten weisen aber auch auf Grenzen hin. Der </w:t>
      </w:r>
      <w:r w:rsidR="007E657F">
        <w:t>Nachteilsausgleich</w:t>
      </w:r>
      <w:r w:rsidR="002324E4">
        <w:t xml:space="preserve"> </w:t>
      </w:r>
      <w:r w:rsidRPr="00651C98">
        <w:t xml:space="preserve">wird als wirksames Mittel </w:t>
      </w:r>
      <w:r w:rsidR="002324E4" w:rsidRPr="00651C98">
        <w:t>beschrieben</w:t>
      </w:r>
      <w:r w:rsidR="002324E4">
        <w:t>, um</w:t>
      </w:r>
      <w:r w:rsidRPr="00651C98">
        <w:t xml:space="preserve"> Chancengleichheit</w:t>
      </w:r>
      <w:r w:rsidR="002324E4">
        <w:t xml:space="preserve"> zu ermöglichen</w:t>
      </w:r>
      <w:r w:rsidRPr="00651C98">
        <w:t xml:space="preserve">. Wenn die beschlossenen Massnahmen </w:t>
      </w:r>
      <w:r w:rsidR="00FC5F73">
        <w:t xml:space="preserve">jedoch </w:t>
      </w:r>
      <w:r w:rsidRPr="00651C98">
        <w:t>zu umfangreich sind, zeigen sich Grenzen</w:t>
      </w:r>
      <w:r w:rsidR="00492321">
        <w:t>. E</w:t>
      </w:r>
      <w:r w:rsidRPr="00651C98">
        <w:t xml:space="preserve">s stellt sich </w:t>
      </w:r>
      <w:r w:rsidR="00C01AD6">
        <w:t xml:space="preserve">dann </w:t>
      </w:r>
      <w:r w:rsidRPr="00651C98">
        <w:t>die Frage, ob die geforderten Anforderungen in der Arbeitswelt umgesetzt werden können.</w:t>
      </w:r>
    </w:p>
    <w:p w14:paraId="53CB71FF" w14:textId="5FE06D16" w:rsidR="00D04464" w:rsidRDefault="00651C98" w:rsidP="00C27F5A">
      <w:pPr>
        <w:pStyle w:val="Textkrper"/>
      </w:pPr>
      <w:r w:rsidRPr="00651C98">
        <w:t xml:space="preserve">Die </w:t>
      </w:r>
      <w:r w:rsidR="00492321">
        <w:t>Interviews</w:t>
      </w:r>
      <w:r w:rsidRPr="00651C98">
        <w:t xml:space="preserve"> </w:t>
      </w:r>
      <w:r w:rsidR="001443FB">
        <w:t>vermitteln</w:t>
      </w:r>
      <w:r w:rsidRPr="00651C98">
        <w:t xml:space="preserve"> erste Erkenntnisse zu </w:t>
      </w:r>
      <w:r w:rsidR="006C7F75">
        <w:t>Gelingens</w:t>
      </w:r>
      <w:r w:rsidRPr="00651C98">
        <w:t>beding</w:t>
      </w:r>
      <w:r w:rsidR="006C7F75">
        <w:t>ung</w:t>
      </w:r>
      <w:r w:rsidRPr="00651C98">
        <w:t>en und Herausforderungen</w:t>
      </w:r>
      <w:r w:rsidR="006C7F75">
        <w:t xml:space="preserve"> an den</w:t>
      </w:r>
      <w:r w:rsidRPr="00651C98">
        <w:t xml:space="preserve"> Lernorte</w:t>
      </w:r>
      <w:r w:rsidR="006C7F75">
        <w:t>n</w:t>
      </w:r>
      <w:r w:rsidRPr="00651C98">
        <w:t xml:space="preserve"> sowie</w:t>
      </w:r>
      <w:r w:rsidR="006C7F75">
        <w:t xml:space="preserve"> </w:t>
      </w:r>
      <w:r w:rsidR="001443FB">
        <w:t>bezüglich der</w:t>
      </w:r>
      <w:r w:rsidRPr="00651C98">
        <w:t xml:space="preserve"> Zusammenarbeit mit dem kantonalen Amt</w:t>
      </w:r>
      <w:r w:rsidR="008D5FC0">
        <w:t xml:space="preserve"> für Berufsbildung</w:t>
      </w:r>
      <w:r w:rsidRPr="00651C98">
        <w:t xml:space="preserve">. Die Ergebnisse basieren auf einer geringen Stichprobe und sollen in einem zweiten Schritt durch eine </w:t>
      </w:r>
      <w:r w:rsidR="006D6906">
        <w:t xml:space="preserve">grössere </w:t>
      </w:r>
      <w:r w:rsidRPr="00651C98">
        <w:t>Fragebogenerhebung geprüft werden.</w:t>
      </w:r>
      <w:r w:rsidR="00D04464">
        <w:br w:type="page"/>
      </w:r>
    </w:p>
    <w:tbl>
      <w:tblPr>
        <w:tblStyle w:val="Tabellenraster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5"/>
        <w:gridCol w:w="3024"/>
        <w:gridCol w:w="3022"/>
      </w:tblGrid>
      <w:tr w:rsidR="00A20A73" w:rsidRPr="00A20A73" w14:paraId="3F7D114F" w14:textId="77777777" w:rsidTr="00231F45">
        <w:trPr>
          <w:trHeight w:val="1985"/>
          <w:jc w:val="center"/>
        </w:trPr>
        <w:tc>
          <w:tcPr>
            <w:tcW w:w="1667" w:type="pct"/>
            <w:vAlign w:val="center"/>
          </w:tcPr>
          <w:p w14:paraId="47A5742C" w14:textId="77777777" w:rsidR="00A20A73" w:rsidRPr="00A20A73" w:rsidRDefault="00A20A73" w:rsidP="00A20A73">
            <w:pPr>
              <w:spacing w:before="60" w:after="60" w:line="240" w:lineRule="auto"/>
              <w:jc w:val="both"/>
              <w:rPr>
                <w:noProof/>
              </w:rPr>
            </w:pPr>
            <w:r w:rsidRPr="00A20A73">
              <w:rPr>
                <w:noProof/>
              </w:rPr>
              <w:lastRenderedPageBreak/>
              <w:drawing>
                <wp:inline distT="0" distB="0" distL="0" distR="0" wp14:anchorId="21E5EA6A" wp14:editId="6DAC4A0F">
                  <wp:extent cx="1026000" cy="1026000"/>
                  <wp:effectExtent l="0" t="0" r="0" b="3175"/>
                  <wp:docPr id="392239697" name="Grafik 392239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239697" name="Grafik 39223969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26000" cy="1026000"/>
                          </a:xfrm>
                          <a:prstGeom prst="rect">
                            <a:avLst/>
                          </a:prstGeom>
                        </pic:spPr>
                      </pic:pic>
                    </a:graphicData>
                  </a:graphic>
                </wp:inline>
              </w:drawing>
            </w:r>
          </w:p>
        </w:tc>
        <w:tc>
          <w:tcPr>
            <w:tcW w:w="1667" w:type="pct"/>
            <w:vAlign w:val="center"/>
          </w:tcPr>
          <w:p w14:paraId="3166954D" w14:textId="77777777" w:rsidR="00A20A73" w:rsidRPr="00A20A73" w:rsidRDefault="00A20A73" w:rsidP="00A20A73">
            <w:pPr>
              <w:spacing w:before="60" w:after="60" w:line="240" w:lineRule="auto"/>
              <w:rPr>
                <w:noProof/>
              </w:rPr>
            </w:pPr>
            <w:r w:rsidRPr="00A20A73">
              <w:rPr>
                <w:noProof/>
              </w:rPr>
              <w:drawing>
                <wp:inline distT="0" distB="0" distL="0" distR="0" wp14:anchorId="27B3C549" wp14:editId="2FE8A533">
                  <wp:extent cx="1116000" cy="1116000"/>
                  <wp:effectExtent l="0" t="0" r="8255" b="8255"/>
                  <wp:docPr id="167894506" name="Grafik 167894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94506" name="Grafik 167894506"/>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116000" cy="1116000"/>
                          </a:xfrm>
                          <a:prstGeom prst="rect">
                            <a:avLst/>
                          </a:prstGeom>
                          <a:noFill/>
                          <a:ln>
                            <a:noFill/>
                          </a:ln>
                        </pic:spPr>
                      </pic:pic>
                    </a:graphicData>
                  </a:graphic>
                </wp:inline>
              </w:drawing>
            </w:r>
          </w:p>
        </w:tc>
        <w:tc>
          <w:tcPr>
            <w:tcW w:w="1666" w:type="pct"/>
            <w:vAlign w:val="center"/>
          </w:tcPr>
          <w:p w14:paraId="477A723B" w14:textId="77777777" w:rsidR="00A20A73" w:rsidRPr="00A20A73" w:rsidRDefault="00A20A73" w:rsidP="00A20A73">
            <w:pPr>
              <w:spacing w:before="60" w:after="60" w:line="240" w:lineRule="auto"/>
              <w:ind w:hanging="64"/>
              <w:jc w:val="both"/>
              <w:rPr>
                <w:noProof/>
              </w:rPr>
            </w:pPr>
            <w:r w:rsidRPr="00A20A73">
              <w:rPr>
                <w:noProof/>
              </w:rPr>
              <w:drawing>
                <wp:inline distT="0" distB="0" distL="0" distR="0" wp14:anchorId="566F16D7" wp14:editId="0254936E">
                  <wp:extent cx="1072749" cy="1188000"/>
                  <wp:effectExtent l="0" t="0" r="0" b="0"/>
                  <wp:docPr id="657989313" name="Grafik 657989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989313" name="Grafik 657989313"/>
                          <pic:cNvPicPr/>
                        </pic:nvPicPr>
                        <pic:blipFill>
                          <a:blip r:embed="rId16" cstate="print">
                            <a:extLst>
                              <a:ext uri="{28A0092B-C50C-407E-A947-70E740481C1C}">
                                <a14:useLocalDpi xmlns:a14="http://schemas.microsoft.com/office/drawing/2010/main" val="0"/>
                              </a:ext>
                            </a:extLst>
                          </a:blip>
                          <a:srcRect l="4851" r="4851"/>
                          <a:stretch>
                            <a:fillRect/>
                          </a:stretch>
                        </pic:blipFill>
                        <pic:spPr bwMode="auto">
                          <a:xfrm>
                            <a:off x="0" y="0"/>
                            <a:ext cx="1072749" cy="1188000"/>
                          </a:xfrm>
                          <a:prstGeom prst="rect">
                            <a:avLst/>
                          </a:prstGeom>
                          <a:ln>
                            <a:noFill/>
                          </a:ln>
                          <a:extLst>
                            <a:ext uri="{53640926-AAD7-44D8-BBD7-CCE9431645EC}">
                              <a14:shadowObscured xmlns:a14="http://schemas.microsoft.com/office/drawing/2010/main"/>
                            </a:ext>
                          </a:extLst>
                        </pic:spPr>
                      </pic:pic>
                    </a:graphicData>
                  </a:graphic>
                </wp:inline>
              </w:drawing>
            </w:r>
          </w:p>
        </w:tc>
      </w:tr>
      <w:tr w:rsidR="00A20A73" w:rsidRPr="00A20A73" w14:paraId="6A9CF167" w14:textId="77777777" w:rsidTr="00231F45">
        <w:trPr>
          <w:trHeight w:val="960"/>
          <w:jc w:val="center"/>
        </w:trPr>
        <w:tc>
          <w:tcPr>
            <w:tcW w:w="1667" w:type="pct"/>
          </w:tcPr>
          <w:p w14:paraId="26B7119A" w14:textId="77777777" w:rsidR="00A20A73" w:rsidRPr="00A20A73" w:rsidRDefault="00A20A73" w:rsidP="00A20A73">
            <w:pPr>
              <w:rPr>
                <w:rFonts w:asciiTheme="minorHAnsi" w:hAnsiTheme="minorHAnsi" w:cstheme="minorHAnsi"/>
              </w:rPr>
            </w:pPr>
            <w:r w:rsidRPr="00A20A73">
              <w:rPr>
                <w:rFonts w:asciiTheme="minorHAnsi" w:hAnsiTheme="minorHAnsi" w:cstheme="minorHAnsi"/>
              </w:rPr>
              <w:t>Dr. phil. René Wüthrich</w:t>
            </w:r>
          </w:p>
          <w:p w14:paraId="582B164A" w14:textId="77777777" w:rsidR="00A20A73" w:rsidRPr="00A20A73" w:rsidRDefault="00A20A73" w:rsidP="00A20A73">
            <w:pPr>
              <w:rPr>
                <w:rFonts w:asciiTheme="minorHAnsi" w:hAnsiTheme="minorHAnsi" w:cstheme="minorHAnsi"/>
              </w:rPr>
            </w:pPr>
            <w:r w:rsidRPr="00A20A73">
              <w:rPr>
                <w:rFonts w:asciiTheme="minorHAnsi" w:hAnsiTheme="minorHAnsi" w:cstheme="minorHAnsi"/>
              </w:rPr>
              <w:t>Dozent Lehre</w:t>
            </w:r>
          </w:p>
          <w:p w14:paraId="7EF9A9EF" w14:textId="77777777" w:rsidR="00350882" w:rsidRDefault="00350882" w:rsidP="00A20A73">
            <w:pPr>
              <w:rPr>
                <w:rFonts w:asciiTheme="minorHAnsi" w:hAnsiTheme="minorHAnsi" w:cstheme="minorHAnsi"/>
              </w:rPr>
            </w:pPr>
            <w:r w:rsidRPr="00350882">
              <w:rPr>
                <w:rFonts w:asciiTheme="minorHAnsi" w:hAnsiTheme="minorHAnsi" w:cstheme="minorHAnsi"/>
              </w:rPr>
              <w:t xml:space="preserve">Eidgenössische Hochschule für </w:t>
            </w:r>
          </w:p>
          <w:p w14:paraId="0802EA74" w14:textId="59C1E84D" w:rsidR="00A20A73" w:rsidRPr="00A20A73" w:rsidRDefault="00350882" w:rsidP="00A20A73">
            <w:pPr>
              <w:rPr>
                <w:rFonts w:asciiTheme="minorHAnsi" w:hAnsiTheme="minorHAnsi" w:cstheme="minorHAnsi"/>
              </w:rPr>
            </w:pPr>
            <w:r w:rsidRPr="00350882">
              <w:rPr>
                <w:rFonts w:asciiTheme="minorHAnsi" w:hAnsiTheme="minorHAnsi" w:cstheme="minorHAnsi"/>
              </w:rPr>
              <w:t>Berufsbildung</w:t>
            </w:r>
            <w:r>
              <w:rPr>
                <w:rFonts w:asciiTheme="minorHAnsi" w:hAnsiTheme="minorHAnsi" w:cstheme="minorHAnsi"/>
              </w:rPr>
              <w:t xml:space="preserve"> (EHB)</w:t>
            </w:r>
          </w:p>
          <w:p w14:paraId="72E9283F" w14:textId="77777777" w:rsidR="00A20A73" w:rsidRPr="00A20A73" w:rsidRDefault="00A20A73" w:rsidP="00A20A73">
            <w:pPr>
              <w:rPr>
                <w:rFonts w:asciiTheme="minorHAnsi" w:hAnsiTheme="minorHAnsi" w:cstheme="minorHAnsi"/>
              </w:rPr>
            </w:pPr>
            <w:r w:rsidRPr="00A20A73">
              <w:rPr>
                <w:rFonts w:asciiTheme="minorHAnsi" w:hAnsiTheme="minorHAnsi" w:cstheme="minorHAnsi"/>
              </w:rPr>
              <w:t>Zollikofen</w:t>
            </w:r>
          </w:p>
          <w:p w14:paraId="5CF9C8FF" w14:textId="426BCBFE" w:rsidR="00A20A73" w:rsidRPr="00A20A73" w:rsidRDefault="00A20A73" w:rsidP="00A20A73">
            <w:pPr>
              <w:rPr>
                <w:rFonts w:asciiTheme="minorHAnsi" w:hAnsiTheme="minorHAnsi" w:cstheme="minorHAnsi"/>
              </w:rPr>
            </w:pPr>
            <w:hyperlink r:id="rId17" w:history="1">
              <w:r w:rsidRPr="00D478D2">
                <w:rPr>
                  <w:rStyle w:val="Hyperlink"/>
                  <w:rFonts w:asciiTheme="minorHAnsi" w:hAnsiTheme="minorHAnsi" w:cstheme="minorHAnsi"/>
                </w:rPr>
                <w:t>rene.wuethrich@ehb.swiss</w:t>
              </w:r>
            </w:hyperlink>
          </w:p>
        </w:tc>
        <w:tc>
          <w:tcPr>
            <w:tcW w:w="1667" w:type="pct"/>
          </w:tcPr>
          <w:p w14:paraId="1923A5BE" w14:textId="77777777" w:rsidR="00A20A73" w:rsidRPr="00A20A73" w:rsidRDefault="00A20A73" w:rsidP="00A20A73">
            <w:pPr>
              <w:rPr>
                <w:rFonts w:asciiTheme="minorHAnsi" w:hAnsiTheme="minorHAnsi" w:cstheme="minorHAnsi"/>
              </w:rPr>
            </w:pPr>
            <w:r w:rsidRPr="00A20A73">
              <w:rPr>
                <w:rFonts w:asciiTheme="minorHAnsi" w:hAnsiTheme="minorHAnsi" w:cstheme="minorHAnsi"/>
              </w:rPr>
              <w:t>Claudia Rapold</w:t>
            </w:r>
          </w:p>
          <w:p w14:paraId="079A24D9" w14:textId="77777777" w:rsidR="00A20A73" w:rsidRPr="00A20A73" w:rsidRDefault="00A20A73" w:rsidP="00A20A73">
            <w:pPr>
              <w:rPr>
                <w:rFonts w:asciiTheme="minorHAnsi" w:hAnsiTheme="minorHAnsi" w:cstheme="minorHAnsi"/>
              </w:rPr>
            </w:pPr>
            <w:r w:rsidRPr="00A20A73">
              <w:rPr>
                <w:rFonts w:asciiTheme="minorHAnsi" w:hAnsiTheme="minorHAnsi" w:cstheme="minorHAnsi"/>
              </w:rPr>
              <w:t>Senior Projektleiterin</w:t>
            </w:r>
          </w:p>
          <w:p w14:paraId="7BB8F11E" w14:textId="77777777" w:rsidR="00350882" w:rsidRPr="00350882" w:rsidRDefault="00350882" w:rsidP="00350882">
            <w:pPr>
              <w:rPr>
                <w:rFonts w:asciiTheme="minorHAnsi" w:hAnsiTheme="minorHAnsi" w:cstheme="minorHAnsi"/>
              </w:rPr>
            </w:pPr>
            <w:r w:rsidRPr="00350882">
              <w:rPr>
                <w:rFonts w:asciiTheme="minorHAnsi" w:hAnsiTheme="minorHAnsi" w:cstheme="minorHAnsi"/>
              </w:rPr>
              <w:t xml:space="preserve">Eidgenössische Hochschule für </w:t>
            </w:r>
          </w:p>
          <w:p w14:paraId="3F843C80" w14:textId="397384FA" w:rsidR="00A20A73" w:rsidRPr="00A20A73" w:rsidRDefault="00350882" w:rsidP="00350882">
            <w:pPr>
              <w:rPr>
                <w:rFonts w:asciiTheme="minorHAnsi" w:hAnsiTheme="minorHAnsi" w:cstheme="minorHAnsi"/>
              </w:rPr>
            </w:pPr>
            <w:r w:rsidRPr="00350882">
              <w:rPr>
                <w:rFonts w:asciiTheme="minorHAnsi" w:hAnsiTheme="minorHAnsi" w:cstheme="minorHAnsi"/>
              </w:rPr>
              <w:t>Berufsbildung (EHB)</w:t>
            </w:r>
          </w:p>
          <w:p w14:paraId="4F11BFA9" w14:textId="77777777" w:rsidR="00A20A73" w:rsidRPr="00A20A73" w:rsidRDefault="00A20A73" w:rsidP="00A20A73">
            <w:pPr>
              <w:rPr>
                <w:rFonts w:asciiTheme="minorHAnsi" w:hAnsiTheme="minorHAnsi" w:cstheme="minorHAnsi"/>
              </w:rPr>
            </w:pPr>
            <w:r w:rsidRPr="00A20A73">
              <w:rPr>
                <w:rFonts w:asciiTheme="minorHAnsi" w:hAnsiTheme="minorHAnsi" w:cstheme="minorHAnsi"/>
              </w:rPr>
              <w:t>Zollikofen</w:t>
            </w:r>
          </w:p>
          <w:p w14:paraId="235B8FCF" w14:textId="25CE4AB0" w:rsidR="00A20A73" w:rsidRPr="00A20A73" w:rsidRDefault="00A20A73" w:rsidP="00A20A73">
            <w:pPr>
              <w:rPr>
                <w:rFonts w:asciiTheme="minorHAnsi" w:hAnsiTheme="minorHAnsi" w:cstheme="minorHAnsi"/>
              </w:rPr>
            </w:pPr>
            <w:hyperlink r:id="rId18" w:history="1">
              <w:r w:rsidRPr="00D478D2">
                <w:rPr>
                  <w:rStyle w:val="Hyperlink"/>
                  <w:rFonts w:asciiTheme="minorHAnsi" w:hAnsiTheme="minorHAnsi" w:cstheme="minorHAnsi"/>
                </w:rPr>
                <w:t>claudia.rapold@ehb.swiss</w:t>
              </w:r>
            </w:hyperlink>
          </w:p>
          <w:p w14:paraId="75102794" w14:textId="0FE6825B" w:rsidR="00A20A73" w:rsidRPr="00A20A73" w:rsidRDefault="00A20A73" w:rsidP="00A20A73"/>
        </w:tc>
        <w:tc>
          <w:tcPr>
            <w:tcW w:w="1666" w:type="pct"/>
          </w:tcPr>
          <w:p w14:paraId="4DB10DFB" w14:textId="77777777" w:rsidR="00A20A73" w:rsidRPr="00A20A73" w:rsidRDefault="00A20A73" w:rsidP="00A20A73">
            <w:pPr>
              <w:rPr>
                <w:rFonts w:asciiTheme="minorHAnsi" w:hAnsiTheme="minorHAnsi" w:cstheme="minorHAnsi"/>
              </w:rPr>
            </w:pPr>
            <w:r w:rsidRPr="00A20A73">
              <w:rPr>
                <w:rFonts w:asciiTheme="minorHAnsi" w:hAnsiTheme="minorHAnsi" w:cstheme="minorHAnsi"/>
              </w:rPr>
              <w:t xml:space="preserve">Anne </w:t>
            </w:r>
            <w:proofErr w:type="spellStart"/>
            <w:r w:rsidRPr="00A20A73">
              <w:rPr>
                <w:rFonts w:asciiTheme="minorHAnsi" w:hAnsiTheme="minorHAnsi" w:cstheme="minorHAnsi"/>
              </w:rPr>
              <w:t>Trojanek</w:t>
            </w:r>
            <w:proofErr w:type="spellEnd"/>
          </w:p>
          <w:p w14:paraId="1C7238B7" w14:textId="77777777" w:rsidR="00A20A73" w:rsidRPr="00A20A73" w:rsidRDefault="00A20A73" w:rsidP="00A20A73">
            <w:pPr>
              <w:rPr>
                <w:rFonts w:asciiTheme="minorHAnsi" w:hAnsiTheme="minorHAnsi" w:cstheme="minorHAnsi"/>
              </w:rPr>
            </w:pPr>
            <w:r w:rsidRPr="00A20A73">
              <w:rPr>
                <w:rFonts w:asciiTheme="minorHAnsi" w:hAnsiTheme="minorHAnsi" w:cstheme="minorHAnsi"/>
              </w:rPr>
              <w:t>Wissenschaftliche Mitarbeiterin</w:t>
            </w:r>
          </w:p>
          <w:p w14:paraId="69BAE6B8" w14:textId="743FD775" w:rsidR="00D71A2F" w:rsidRPr="00D71A2F" w:rsidRDefault="00D71A2F" w:rsidP="00D71A2F">
            <w:pPr>
              <w:rPr>
                <w:rFonts w:asciiTheme="minorHAnsi" w:hAnsiTheme="minorHAnsi" w:cstheme="minorHAnsi"/>
              </w:rPr>
            </w:pPr>
            <w:r w:rsidRPr="00D71A2F">
              <w:rPr>
                <w:rFonts w:asciiTheme="minorHAnsi" w:hAnsiTheme="minorHAnsi" w:cstheme="minorHAnsi"/>
              </w:rPr>
              <w:t xml:space="preserve">Eidgenössische Hochschule für </w:t>
            </w:r>
          </w:p>
          <w:p w14:paraId="64F698D9" w14:textId="42320F4A" w:rsidR="00A20A73" w:rsidRPr="00A20A73" w:rsidRDefault="00D71A2F" w:rsidP="00D71A2F">
            <w:pPr>
              <w:rPr>
                <w:rFonts w:asciiTheme="minorHAnsi" w:hAnsiTheme="minorHAnsi" w:cstheme="minorHAnsi"/>
              </w:rPr>
            </w:pPr>
            <w:r w:rsidRPr="00D71A2F">
              <w:rPr>
                <w:rFonts w:asciiTheme="minorHAnsi" w:hAnsiTheme="minorHAnsi" w:cstheme="minorHAnsi"/>
              </w:rPr>
              <w:t>Berufsbildung (EHB)</w:t>
            </w:r>
          </w:p>
          <w:p w14:paraId="6352AAE6" w14:textId="77777777" w:rsidR="00A20A73" w:rsidRPr="00A20A73" w:rsidRDefault="00A20A73" w:rsidP="00A20A73">
            <w:pPr>
              <w:rPr>
                <w:rFonts w:asciiTheme="minorHAnsi" w:hAnsiTheme="minorHAnsi" w:cstheme="minorHAnsi"/>
              </w:rPr>
            </w:pPr>
            <w:r w:rsidRPr="00A20A73">
              <w:rPr>
                <w:rFonts w:asciiTheme="minorHAnsi" w:hAnsiTheme="minorHAnsi" w:cstheme="minorHAnsi"/>
              </w:rPr>
              <w:t>Zollikofen</w:t>
            </w:r>
          </w:p>
          <w:p w14:paraId="5ABB9DAE" w14:textId="3421562F" w:rsidR="00A20A73" w:rsidRPr="00A20A73" w:rsidRDefault="00A20A73" w:rsidP="00A20A73">
            <w:pPr>
              <w:rPr>
                <w:rFonts w:eastAsia="Open Sans SemiCondensed SemiCon" w:cs="Times New Roman"/>
              </w:rPr>
            </w:pPr>
            <w:hyperlink r:id="rId19" w:history="1">
              <w:r w:rsidRPr="00D478D2">
                <w:rPr>
                  <w:rStyle w:val="Hyperlink"/>
                  <w:rFonts w:asciiTheme="minorHAnsi" w:hAnsiTheme="minorHAnsi" w:cstheme="minorHAnsi"/>
                </w:rPr>
                <w:t>anne.trojanek@ehb.swiss</w:t>
              </w:r>
            </w:hyperlink>
          </w:p>
        </w:tc>
      </w:tr>
    </w:tbl>
    <w:p w14:paraId="1B731977" w14:textId="1D03DFE2" w:rsidR="00651C98" w:rsidRPr="00651C98" w:rsidRDefault="00651C98" w:rsidP="00651C98">
      <w:pPr>
        <w:pStyle w:val="berschrift1"/>
      </w:pPr>
      <w:r w:rsidRPr="00651C98">
        <w:t>Literatur</w:t>
      </w:r>
    </w:p>
    <w:p w14:paraId="2098CBCF" w14:textId="23D79E84" w:rsidR="00651C98" w:rsidRPr="00651C98" w:rsidRDefault="00651C98" w:rsidP="00651C98">
      <w:pPr>
        <w:pStyle w:val="Literaturverzeichnis"/>
      </w:pPr>
      <w:r w:rsidRPr="00651C98">
        <w:t>EDA</w:t>
      </w:r>
      <w:r w:rsidR="004C6A4C">
        <w:t xml:space="preserve"> (</w:t>
      </w:r>
      <w:r w:rsidRPr="00651C98">
        <w:t>Eidgenössisches Departement für auswärtige Angelegenheiten</w:t>
      </w:r>
      <w:r w:rsidR="004C6A4C">
        <w:t>)</w:t>
      </w:r>
      <w:r w:rsidRPr="00651C98">
        <w:t xml:space="preserve"> (2020). </w:t>
      </w:r>
      <w:r w:rsidRPr="00651C98">
        <w:rPr>
          <w:i/>
          <w:iCs/>
        </w:rPr>
        <w:t xml:space="preserve">Ziel 4: Inklusive, gleichberechtigte und hochwertige Bildung gewährleisten und Möglichkeiten lebenslangen Lernens für alle fördern. </w:t>
      </w:r>
      <w:r w:rsidR="001156D6" w:rsidRPr="00D802D4">
        <w:rPr>
          <w:rStyle w:val="Hyperlink"/>
        </w:rPr>
        <w:t>https://www.eda.admin.ch/agenda2030/de/home/agenda-2030/die-17-ziele-fuer-eine-nachhaltige-entwicklung/ziel-4-inklusive-gleichberechtigte-und-hochwertige-bildung.html</w:t>
      </w:r>
    </w:p>
    <w:p w14:paraId="69072E60" w14:textId="21E8E3FB" w:rsidR="00651C98" w:rsidRPr="00651C98" w:rsidRDefault="00651C98" w:rsidP="00651C98">
      <w:pPr>
        <w:pStyle w:val="Literaturverzeichnis"/>
      </w:pPr>
      <w:r w:rsidRPr="00651C98">
        <w:t>Mayring, P. (2015</w:t>
      </w:r>
      <w:r w:rsidRPr="00651C98">
        <w:rPr>
          <w:i/>
          <w:iCs/>
        </w:rPr>
        <w:t>). Qualitative Inhaltsanalyse. Grundlagen und Techniken</w:t>
      </w:r>
      <w:r w:rsidRPr="00651C98">
        <w:t xml:space="preserve"> (12. Auf</w:t>
      </w:r>
      <w:r w:rsidR="004D7B62">
        <w:t>l.</w:t>
      </w:r>
      <w:r w:rsidRPr="00651C98">
        <w:t>). Beltz.</w:t>
      </w:r>
    </w:p>
    <w:p w14:paraId="67957496" w14:textId="77777777" w:rsidR="00FE3655" w:rsidRPr="00651C98" w:rsidRDefault="00FE3655" w:rsidP="00FE3655">
      <w:pPr>
        <w:pStyle w:val="Literaturverzeichnis"/>
        <w:rPr>
          <w:bCs/>
          <w:iCs/>
        </w:rPr>
      </w:pPr>
      <w:r>
        <w:rPr>
          <w:bCs/>
          <w:iCs/>
        </w:rPr>
        <w:t>SBBK (</w:t>
      </w:r>
      <w:proofErr w:type="gramStart"/>
      <w:r w:rsidRPr="00651C98">
        <w:rPr>
          <w:bCs/>
          <w:iCs/>
        </w:rPr>
        <w:t>Schweizerische</w:t>
      </w:r>
      <w:proofErr w:type="gramEnd"/>
      <w:r w:rsidRPr="00651C98">
        <w:rPr>
          <w:bCs/>
          <w:iCs/>
        </w:rPr>
        <w:t xml:space="preserve"> Berufsbildungsämter-Konferenz</w:t>
      </w:r>
      <w:r>
        <w:rPr>
          <w:bCs/>
          <w:iCs/>
        </w:rPr>
        <w:t>)</w:t>
      </w:r>
      <w:r w:rsidRPr="00651C98">
        <w:rPr>
          <w:bCs/>
          <w:iCs/>
        </w:rPr>
        <w:t xml:space="preserve"> (2023). </w:t>
      </w:r>
      <w:r w:rsidRPr="00651C98">
        <w:rPr>
          <w:bCs/>
          <w:i/>
        </w:rPr>
        <w:t>Empfehlung Nr. 7.</w:t>
      </w:r>
      <w:r w:rsidRPr="00651C98">
        <w:rPr>
          <w:bCs/>
          <w:iCs/>
        </w:rPr>
        <w:t xml:space="preserve"> </w:t>
      </w:r>
      <w:hyperlink r:id="rId20" w:history="1">
        <w:r w:rsidRPr="009F68BF">
          <w:rPr>
            <w:rStyle w:val="Hyperlink"/>
          </w:rPr>
          <w:t>https://edudoc.ch/record/216981/files/empf_nachteilsausgleich_d.pdf</w:t>
        </w:r>
      </w:hyperlink>
    </w:p>
    <w:p w14:paraId="538B01D9" w14:textId="6087D286" w:rsidR="00651C98" w:rsidRDefault="00651C98" w:rsidP="00651C98">
      <w:pPr>
        <w:pStyle w:val="Literaturverzeichnis"/>
      </w:pPr>
      <w:r w:rsidRPr="00651C98">
        <w:t xml:space="preserve">Schellenberg, C., Pfiffner, M., Krauss, A., De Martin, M. </w:t>
      </w:r>
      <w:r w:rsidRPr="00D802D4">
        <w:t xml:space="preserve">&amp; Georgi-Tscherry, P. (2021). </w:t>
      </w:r>
      <w:r w:rsidRPr="00CB34A3">
        <w:rPr>
          <w:i/>
          <w:iCs/>
        </w:rPr>
        <w:t xml:space="preserve">EIL </w:t>
      </w:r>
      <w:r w:rsidR="003B047D" w:rsidRPr="00CB34A3">
        <w:rPr>
          <w:i/>
          <w:iCs/>
        </w:rPr>
        <w:t>–</w:t>
      </w:r>
      <w:r w:rsidRPr="00CB34A3">
        <w:rPr>
          <w:i/>
          <w:iCs/>
        </w:rPr>
        <w:t xml:space="preserve"> Enhanced Inclusive Learning. </w:t>
      </w:r>
      <w:r w:rsidRPr="00651C98">
        <w:rPr>
          <w:i/>
          <w:iCs/>
        </w:rPr>
        <w:t>Nachteilsausgleich und andere unterstützende Massnahmen auf Sekundarstufe II: Schlussbericht.</w:t>
      </w:r>
      <w:r w:rsidRPr="00651C98">
        <w:t xml:space="preserve"> Hochschule für Soziale Arbeit Luzern &amp; Interkantonale Hochschule für Heilpädagogik.</w:t>
      </w:r>
      <w:r w:rsidR="001C752A">
        <w:t xml:space="preserve"> </w:t>
      </w:r>
      <w:hyperlink r:id="rId21" w:history="1">
        <w:r w:rsidR="001C752A" w:rsidRPr="00D478D2">
          <w:rPr>
            <w:rStyle w:val="Hyperlink"/>
          </w:rPr>
          <w:t>https://edudoc.ch/record/215650?ln=de</w:t>
        </w:r>
      </w:hyperlink>
    </w:p>
    <w:p w14:paraId="408F3A22" w14:textId="49F5D1E9" w:rsidR="00651C98" w:rsidRDefault="00651C98" w:rsidP="00651C98">
      <w:pPr>
        <w:pStyle w:val="Literaturverzeichnis"/>
      </w:pPr>
      <w:r w:rsidRPr="00651C98">
        <w:t>SDBB</w:t>
      </w:r>
      <w:r w:rsidR="0098678E">
        <w:t xml:space="preserve"> (</w:t>
      </w:r>
      <w:r w:rsidRPr="00651C98">
        <w:t>Schweizerisches Dienstleistungszentrum Berufsbildung, Berufs-, Studien- und Laufbahnberatung</w:t>
      </w:r>
      <w:r w:rsidR="0098678E">
        <w:t>)</w:t>
      </w:r>
      <w:r w:rsidRPr="00651C98">
        <w:t xml:space="preserve"> (2013). </w:t>
      </w:r>
      <w:r w:rsidRPr="00651C98">
        <w:rPr>
          <w:i/>
          <w:iCs/>
        </w:rPr>
        <w:t>Nachteilsausgleich für Menschen mit Behinderung in der Berufsbildung. Bericht.</w:t>
      </w:r>
      <w:r w:rsidRPr="00651C98">
        <w:t xml:space="preserve"> SDBB</w:t>
      </w:r>
      <w:r w:rsidR="00742EE5">
        <w:t>.</w:t>
      </w:r>
    </w:p>
    <w:p w14:paraId="31B516C4" w14:textId="787CAA8F" w:rsidR="0057240F" w:rsidRDefault="0057240F" w:rsidP="0057240F">
      <w:pPr>
        <w:pStyle w:val="Literaturverzeichnis"/>
      </w:pPr>
      <w:r w:rsidRPr="0057240F">
        <w:t>Übereinkommen über die Rechte von Menschen mit Behinderungen (Behindertenrechtskonvention, BRK), vom 13. Dezember 2006, durch die Schweiz ratifiziert am 15.</w:t>
      </w:r>
      <w:r w:rsidR="00B669F0">
        <w:t> </w:t>
      </w:r>
      <w:r w:rsidRPr="0057240F">
        <w:t>April 2014, in Kraft seit dem 15. </w:t>
      </w:r>
      <w:r w:rsidR="00B669F0">
        <w:t> </w:t>
      </w:r>
      <w:r w:rsidRPr="0057240F">
        <w:t>Mai 2014, SR 0.109.</w:t>
      </w:r>
    </w:p>
    <w:p w14:paraId="2C7B8FCD" w14:textId="37A5F0FD" w:rsidR="00165B29" w:rsidRPr="0057240F" w:rsidRDefault="00165B29" w:rsidP="00165B29">
      <w:pPr>
        <w:pStyle w:val="Literaturverzeichnis"/>
        <w:rPr>
          <w:lang w:val="de-DE"/>
        </w:rPr>
      </w:pPr>
      <w:r w:rsidRPr="00165B29">
        <w:rPr>
          <w:lang w:val="de-DE"/>
        </w:rPr>
        <w:t>Verordnung über die Berufsbildung</w:t>
      </w:r>
      <w:r>
        <w:rPr>
          <w:lang w:val="de-DE"/>
        </w:rPr>
        <w:t xml:space="preserve"> </w:t>
      </w:r>
      <w:r w:rsidRPr="00165B29">
        <w:rPr>
          <w:lang w:val="de-DE"/>
        </w:rPr>
        <w:t>(Berufsbildungsverordnung, BBV)</w:t>
      </w:r>
      <w:r>
        <w:rPr>
          <w:lang w:val="de-DE"/>
        </w:rPr>
        <w:t xml:space="preserve"> </w:t>
      </w:r>
      <w:r w:rsidRPr="00165B29">
        <w:rPr>
          <w:lang w:val="de-DE"/>
        </w:rPr>
        <w:t>vom 19.</w:t>
      </w:r>
      <w:r w:rsidR="00B669F0">
        <w:rPr>
          <w:lang w:val="de-DE"/>
        </w:rPr>
        <w:t> </w:t>
      </w:r>
      <w:r w:rsidRPr="00165B29">
        <w:rPr>
          <w:lang w:val="de-DE"/>
        </w:rPr>
        <w:t>November 2003 (Stand am 1.</w:t>
      </w:r>
      <w:r w:rsidR="00B669F0">
        <w:rPr>
          <w:lang w:val="de-DE"/>
        </w:rPr>
        <w:t> </w:t>
      </w:r>
      <w:r w:rsidRPr="00165B29">
        <w:rPr>
          <w:lang w:val="de-DE"/>
        </w:rPr>
        <w:t xml:space="preserve">Juli 2024) </w:t>
      </w:r>
      <w:r>
        <w:rPr>
          <w:lang w:val="de-DE"/>
        </w:rPr>
        <w:t xml:space="preserve">SR </w:t>
      </w:r>
      <w:r w:rsidRPr="00165B29">
        <w:rPr>
          <w:lang w:val="de-DE"/>
        </w:rPr>
        <w:t>412.101</w:t>
      </w:r>
      <w:r>
        <w:rPr>
          <w:lang w:val="de-DE"/>
        </w:rPr>
        <w:t>.</w:t>
      </w:r>
    </w:p>
    <w:p w14:paraId="51B607A3" w14:textId="7682C44A" w:rsidR="00651C98" w:rsidRPr="00651C98" w:rsidRDefault="00651C98" w:rsidP="00651C98">
      <w:pPr>
        <w:pStyle w:val="Literaturverzeichnis"/>
      </w:pPr>
      <w:r w:rsidRPr="00651C98">
        <w:t>Vollmer, K</w:t>
      </w:r>
      <w:r w:rsidR="0098678E">
        <w:t>. &amp;</w:t>
      </w:r>
      <w:r w:rsidRPr="00651C98">
        <w:t xml:space="preserve"> </w:t>
      </w:r>
      <w:proofErr w:type="spellStart"/>
      <w:r w:rsidRPr="00651C98">
        <w:t>Frohnenberg</w:t>
      </w:r>
      <w:proofErr w:type="spellEnd"/>
      <w:r w:rsidRPr="00651C98">
        <w:t xml:space="preserve">, C. (2014). </w:t>
      </w:r>
      <w:r w:rsidRPr="00191B96">
        <w:rPr>
          <w:i/>
          <w:iCs/>
        </w:rPr>
        <w:t>Nachteilsausgleich für behinderte Auszubildende. Handbuch für die Ausbildungs- und Prüfungspraxis. Bundesinstitut für Berufsbildung.</w:t>
      </w:r>
      <w:r w:rsidRPr="00651C98">
        <w:t xml:space="preserve"> </w:t>
      </w:r>
      <w:hyperlink r:id="rId22" w:history="1">
        <w:r w:rsidRPr="00651C98">
          <w:rPr>
            <w:rStyle w:val="Hyperlink"/>
          </w:rPr>
          <w:t>https://www.bibb.de/dienst/publikationen/de/download/7407</w:t>
        </w:r>
      </w:hyperlink>
    </w:p>
    <w:p w14:paraId="2E4341CA" w14:textId="25361AC2" w:rsidR="00870508" w:rsidRPr="00153133" w:rsidRDefault="00651C98" w:rsidP="00870508">
      <w:pPr>
        <w:pStyle w:val="Literaturverzeichnis"/>
        <w:rPr>
          <w:rFonts w:cs="Open Sans SemiCondensed"/>
        </w:rPr>
      </w:pPr>
      <w:r w:rsidRPr="00651C98">
        <w:t>Wüthrich, R. (2024). (</w:t>
      </w:r>
      <w:proofErr w:type="spellStart"/>
      <w:r w:rsidRPr="00651C98">
        <w:t>Un</w:t>
      </w:r>
      <w:proofErr w:type="spellEnd"/>
      <w:r w:rsidRPr="00651C98">
        <w:t xml:space="preserve">)genutztes Potenzial – Unterstützungsmaßnahmen zur Erhöhung von Inklusion an Berufsfachschulen. </w:t>
      </w:r>
      <w:proofErr w:type="spellStart"/>
      <w:r w:rsidRPr="00651C98">
        <w:rPr>
          <w:i/>
          <w:iCs/>
        </w:rPr>
        <w:t>bwp</w:t>
      </w:r>
      <w:proofErr w:type="spellEnd"/>
      <w:r w:rsidRPr="00651C98">
        <w:rPr>
          <w:i/>
          <w:iCs/>
        </w:rPr>
        <w:t>@ Berufs- und Wirtschaftspädagogik – online,</w:t>
      </w:r>
      <w:r w:rsidRPr="00651C98">
        <w:t xml:space="preserve"> 46, 1–17. </w:t>
      </w:r>
      <w:hyperlink r:id="rId23" w:history="1">
        <w:r w:rsidRPr="00651C98">
          <w:rPr>
            <w:rStyle w:val="Hyperlink"/>
          </w:rPr>
          <w:t>https://www.bwpat.de/ausgabe46/wuethrich_bwpat46.pdf</w:t>
        </w:r>
      </w:hyperlink>
      <w:bookmarkEnd w:id="0"/>
    </w:p>
    <w:sectPr w:rsidR="00870508" w:rsidRPr="00153133" w:rsidSect="00D1540A">
      <w:headerReference w:type="even" r:id="rId24"/>
      <w:headerReference w:type="default" r:id="rId25"/>
      <w:footerReference w:type="even" r:id="rId26"/>
      <w:footerReference w:type="default" r:id="rId27"/>
      <w:headerReference w:type="first" r:id="rId28"/>
      <w:footerReference w:type="first" r:id="rId29"/>
      <w:pgSz w:w="11907" w:h="16840" w:code="9"/>
      <w:pgMar w:top="1418" w:right="1418" w:bottom="1134" w:left="1418" w:header="720" w:footer="567" w:gutter="0"/>
      <w:pgNumType w:start="4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566E3" w14:textId="77777777" w:rsidR="002336C2" w:rsidRPr="00C702CF" w:rsidRDefault="002336C2">
      <w:pPr>
        <w:spacing w:line="240" w:lineRule="auto"/>
      </w:pPr>
      <w:r w:rsidRPr="00C702CF">
        <w:separator/>
      </w:r>
    </w:p>
  </w:endnote>
  <w:endnote w:type="continuationSeparator" w:id="0">
    <w:p w14:paraId="0E0DFDB2" w14:textId="77777777" w:rsidR="002336C2" w:rsidRPr="00C702CF" w:rsidRDefault="002336C2">
      <w:pPr>
        <w:spacing w:line="240" w:lineRule="auto"/>
      </w:pPr>
      <w:r w:rsidRPr="00C702CF">
        <w:continuationSeparator/>
      </w:r>
    </w:p>
  </w:endnote>
  <w:endnote w:type="continuationNotice" w:id="1">
    <w:p w14:paraId="72280771" w14:textId="77777777" w:rsidR="002336C2" w:rsidRDefault="002336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SemiCondensed">
    <w:panose1 w:val="00000000000000000000"/>
    <w:charset w:val="00"/>
    <w:family w:val="auto"/>
    <w:pitch w:val="variable"/>
    <w:sig w:usb0="E00002FF" w:usb1="4000201B" w:usb2="00000028" w:usb3="00000000" w:csb0="0000019F" w:csb1="00000000"/>
    <w:embedRegular r:id="rId1" w:fontKey="{DFAC4283-EFE2-4048-96E6-B4746F54E696}"/>
    <w:embedBold r:id="rId2" w:fontKey="{006E2ECA-7185-4D6F-8E04-5824583E2B22}"/>
    <w:embedItalic r:id="rId3" w:fontKey="{D9C7D46F-57E4-47B5-A403-E0DF8AD68285}"/>
    <w:embedBoldItalic r:id="rId4" w:fontKey="{830AC1B1-3192-4AA2-986B-3D111689F17B}"/>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SemiCondensed SemiCon">
    <w:altName w:val="Times New Roman"/>
    <w:charset w:val="00"/>
    <w:family w:val="auto"/>
    <w:pitch w:val="variable"/>
    <w:sig w:usb0="E00002FF" w:usb1="4000201B" w:usb2="00000028"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6521D" w14:textId="77777777" w:rsidR="00805D9D" w:rsidRDefault="00805D9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102FF" w14:textId="4C0BF5C5" w:rsidR="004B3A29" w:rsidRPr="00C702CF" w:rsidRDefault="00250627" w:rsidP="001D3BFB">
    <w:pPr>
      <w:pStyle w:val="Fuzeile"/>
      <w:rPr>
        <w:szCs w:val="22"/>
      </w:rPr>
    </w:pPr>
    <w:r>
      <w:rPr>
        <w:rFonts w:ascii="Times New Roman" w:hAnsi="Times New Roman" w:cs="Times New Roman"/>
        <w:noProof/>
        <w:spacing w:val="0"/>
        <w:sz w:val="24"/>
        <w:szCs w:val="24"/>
        <w:lang w:eastAsia="de-CH"/>
      </w:rPr>
      <mc:AlternateContent>
        <mc:Choice Requires="wps">
          <w:drawing>
            <wp:anchor distT="0" distB="0" distL="114300" distR="114300" simplePos="0" relativeHeight="251658241" behindDoc="0" locked="0" layoutInCell="1" allowOverlap="1" wp14:anchorId="3FE949EA" wp14:editId="15E2EE1C">
              <wp:simplePos x="0" y="0"/>
              <wp:positionH relativeFrom="column">
                <wp:posOffset>-1193800</wp:posOffset>
              </wp:positionH>
              <wp:positionV relativeFrom="paragraph">
                <wp:posOffset>-473075</wp:posOffset>
              </wp:positionV>
              <wp:extent cx="1087120" cy="322580"/>
              <wp:effectExtent l="306070" t="0" r="304800" b="0"/>
              <wp:wrapNone/>
              <wp:docPr id="1298899388"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87120" cy="322580"/>
                      </a:xfrm>
                      <a:prstGeom prst="rect">
                        <a:avLst/>
                      </a:prstGeom>
                      <a:noFill/>
                      <a:ln>
                        <a:noFill/>
                      </a:ln>
                    </wps:spPr>
                    <wps:txbx>
                      <w:txbxContent>
                        <w:p w14:paraId="73C5667A" w14:textId="77777777" w:rsidR="00250627" w:rsidRDefault="00250627" w:rsidP="00250627">
                          <w:pPr>
                            <w:rPr>
                              <w:rFonts w:eastAsia="+mn-ea" w:cs="Open Sans SemiCondensed"/>
                              <w:b/>
                              <w:bCs/>
                              <w:color w:val="252B46"/>
                              <w:kern w:val="24"/>
                              <w:sz w:val="28"/>
                              <w:szCs w:val="28"/>
                            </w:rPr>
                          </w:pPr>
                          <w:r>
                            <w:rPr>
                              <w:rFonts w:eastAsia="+mn-ea" w:cs="Open Sans SemiCondensed"/>
                              <w:b/>
                              <w:bCs/>
                              <w:color w:val="252B46"/>
                              <w:kern w:val="24"/>
                              <w:sz w:val="28"/>
                              <w:szCs w:val="28"/>
                            </w:rPr>
                            <w:t xml:space="preserve">: </w:t>
                          </w:r>
                          <w:r>
                            <w:rPr>
                              <w:rFonts w:eastAsia="+mn-ea" w:cs="Open Sans SemiCondensed"/>
                              <w:b/>
                              <w:bCs/>
                              <w:color w:val="D31932"/>
                              <w:kern w:val="24"/>
                              <w:sz w:val="21"/>
                              <w:szCs w:val="21"/>
                            </w:rPr>
                            <w:t xml:space="preserve">C S P S  </w:t>
                          </w:r>
                          <w:r>
                            <w:rPr>
                              <w:rFonts w:eastAsia="+mn-ea" w:cs="Open Sans SemiCondensed"/>
                              <w:b/>
                              <w:bCs/>
                              <w:color w:val="252B46"/>
                              <w:kern w:val="24"/>
                              <w:sz w:val="28"/>
                              <w:szCs w:val="28"/>
                            </w:rPr>
                            <w:t xml:space="preserve">: </w:t>
                          </w:r>
                          <w:r>
                            <w:rPr>
                              <w:rFonts w:eastAsia="+mn-ea" w:cs="Open Sans SemiCondensed"/>
                              <w:b/>
                              <w:bCs/>
                              <w:color w:val="D31932"/>
                              <w:kern w:val="24"/>
                              <w:sz w:val="21"/>
                              <w:szCs w:val="21"/>
                            </w:rPr>
                            <w:t>S Z H</w:t>
                          </w:r>
                        </w:p>
                      </w:txbxContent>
                    </wps:txbx>
                    <wps:bodyPr rot="0" vertOverflow="clip" horzOverflow="clip"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949EA" id="Rechteck 4" o:spid="_x0000_s1028" style="position:absolute;margin-left:-94pt;margin-top:-37.25pt;width:85.6pt;height:25.4pt;rotation:-90;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" filled="f" stroked="f">
              <v:textbox style="layout-flow:vertical;mso-layout-flow-alt:bottom-to-top">
                <w:txbxContent>
                  <w:p w14:paraId="73C5667A" w14:textId="77777777" w:rsidR="00250627" w:rsidRDefault="00250627" w:rsidP="00250627">
                    <w:pPr>
                      <w:rPr>
                        <w:rFonts w:eastAsia="+mn-ea" w:cs="Open Sans SemiCondensed"/>
                        <w:b/>
                        <w:bCs/>
                        <w:color w:val="252B46"/>
                        <w:kern w:val="24"/>
                        <w:sz w:val="28"/>
                        <w:szCs w:val="28"/>
                      </w:rPr>
                    </w:pPr>
                    <w:r>
                      <w:rPr>
                        <w:rFonts w:eastAsia="+mn-ea" w:cs="Open Sans SemiCondensed"/>
                        <w:b/>
                        <w:bCs/>
                        <w:color w:val="252B46"/>
                        <w:kern w:val="24"/>
                        <w:sz w:val="28"/>
                        <w:szCs w:val="28"/>
                      </w:rPr>
                      <w:t xml:space="preserve">: </w:t>
                    </w:r>
                    <w:r>
                      <w:rPr>
                        <w:rFonts w:eastAsia="+mn-ea" w:cs="Open Sans SemiCondensed"/>
                        <w:b/>
                        <w:bCs/>
                        <w:color w:val="D31932"/>
                        <w:kern w:val="24"/>
                        <w:sz w:val="21"/>
                        <w:szCs w:val="21"/>
                      </w:rPr>
                      <w:t xml:space="preserve">C S P </w:t>
                    </w:r>
                    <w:proofErr w:type="gramStart"/>
                    <w:r>
                      <w:rPr>
                        <w:rFonts w:eastAsia="+mn-ea" w:cs="Open Sans SemiCondensed"/>
                        <w:b/>
                        <w:bCs/>
                        <w:color w:val="D31932"/>
                        <w:kern w:val="24"/>
                        <w:sz w:val="21"/>
                        <w:szCs w:val="21"/>
                      </w:rPr>
                      <w:t xml:space="preserve">S  </w:t>
                    </w:r>
                    <w:r>
                      <w:rPr>
                        <w:rFonts w:eastAsia="+mn-ea" w:cs="Open Sans SemiCondensed"/>
                        <w:b/>
                        <w:bCs/>
                        <w:color w:val="252B46"/>
                        <w:kern w:val="24"/>
                        <w:sz w:val="28"/>
                        <w:szCs w:val="28"/>
                      </w:rPr>
                      <w:t>:</w:t>
                    </w:r>
                    <w:proofErr w:type="gramEnd"/>
                    <w:r>
                      <w:rPr>
                        <w:rFonts w:eastAsia="+mn-ea" w:cs="Open Sans SemiCondensed"/>
                        <w:b/>
                        <w:bCs/>
                        <w:color w:val="252B46"/>
                        <w:kern w:val="24"/>
                        <w:sz w:val="28"/>
                        <w:szCs w:val="28"/>
                      </w:rPr>
                      <w:t xml:space="preserve"> </w:t>
                    </w:r>
                    <w:r>
                      <w:rPr>
                        <w:rFonts w:eastAsia="+mn-ea" w:cs="Open Sans SemiCondensed"/>
                        <w:b/>
                        <w:bCs/>
                        <w:color w:val="D31932"/>
                        <w:kern w:val="24"/>
                        <w:sz w:val="21"/>
                        <w:szCs w:val="21"/>
                      </w:rPr>
                      <w:t>S Z H</w:t>
                    </w:r>
                  </w:p>
                </w:txbxContent>
              </v:textbox>
            </v:rect>
          </w:pict>
        </mc:Fallback>
      </mc:AlternateContent>
    </w:r>
    <w:r w:rsidR="001D3BFB" w:rsidRPr="00C702CF">
      <w:tab/>
    </w:r>
    <w:r w:rsidR="001D3BFB" w:rsidRPr="00C702CF">
      <w:tab/>
    </w:r>
    <w:r w:rsidR="001D3BFB" w:rsidRPr="00C702CF">
      <w:rPr>
        <w:szCs w:val="22"/>
      </w:rPr>
      <w:fldChar w:fldCharType="begin"/>
    </w:r>
    <w:r w:rsidR="001D3BFB" w:rsidRPr="00C702CF">
      <w:rPr>
        <w:szCs w:val="22"/>
      </w:rPr>
      <w:instrText>PAGE  \* Arabic  \* MERGEFORMAT</w:instrText>
    </w:r>
    <w:r w:rsidR="001D3BFB" w:rsidRPr="00C702CF">
      <w:rPr>
        <w:szCs w:val="22"/>
      </w:rPr>
      <w:fldChar w:fldCharType="separate"/>
    </w:r>
    <w:r w:rsidR="001D3BFB" w:rsidRPr="00C702CF">
      <w:rPr>
        <w:szCs w:val="22"/>
      </w:rPr>
      <w:t>1</w:t>
    </w:r>
    <w:r w:rsidR="001D3BFB" w:rsidRPr="00C702CF">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CEE03" w14:textId="77777777" w:rsidR="00805D9D" w:rsidRDefault="00805D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357A1" w14:textId="77777777" w:rsidR="002336C2" w:rsidRPr="00C702CF" w:rsidRDefault="002336C2" w:rsidP="002E13B6">
      <w:pPr>
        <w:spacing w:line="240" w:lineRule="auto"/>
        <w:rPr>
          <w:rFonts w:asciiTheme="minorHAnsi" w:hAnsiTheme="minorHAnsi"/>
        </w:rPr>
      </w:pPr>
      <w:r w:rsidRPr="00C702CF">
        <w:rPr>
          <w:rFonts w:asciiTheme="minorHAnsi" w:hAnsiTheme="minorHAnsi"/>
        </w:rPr>
        <w:separator/>
      </w:r>
    </w:p>
  </w:footnote>
  <w:footnote w:type="continuationSeparator" w:id="0">
    <w:p w14:paraId="25D22BE8" w14:textId="77777777" w:rsidR="002336C2" w:rsidRPr="00C702CF" w:rsidRDefault="002336C2">
      <w:r w:rsidRPr="00C702CF">
        <w:continuationSeparator/>
      </w:r>
    </w:p>
  </w:footnote>
  <w:footnote w:type="continuationNotice" w:id="1">
    <w:p w14:paraId="793C31FB" w14:textId="77777777" w:rsidR="002336C2" w:rsidRPr="00C702CF" w:rsidRDefault="002336C2">
      <w:pPr>
        <w:spacing w:line="240" w:lineRule="auto"/>
      </w:pPr>
    </w:p>
  </w:footnote>
  <w:footnote w:id="2">
    <w:p w14:paraId="5F5F5EA8" w14:textId="4E27CF1D" w:rsidR="006D2F10" w:rsidRDefault="006D2F10">
      <w:pPr>
        <w:pStyle w:val="Funotentext"/>
      </w:pPr>
      <w:r>
        <w:rPr>
          <w:rStyle w:val="Funotenzeichen"/>
        </w:rPr>
        <w:footnoteRef/>
      </w:r>
      <w:r>
        <w:t xml:space="preserve"> </w:t>
      </w:r>
      <w:r w:rsidR="008D467E">
        <w:t>B</w:t>
      </w:r>
      <w:r w:rsidRPr="006D2F10">
        <w:t xml:space="preserve">erufliche Grundbildung für erwachsene Personen </w:t>
      </w:r>
      <w:r>
        <w:t>(</w:t>
      </w:r>
      <w:r w:rsidRPr="006D2F10">
        <w:t>Art</w:t>
      </w:r>
      <w:r w:rsidR="008F3AEB">
        <w:t>. 32 BBV)</w:t>
      </w:r>
      <w:r w:rsidR="00AA558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300B4" w14:textId="77777777" w:rsidR="00805D9D" w:rsidRDefault="00805D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264A0" w14:textId="01DD1D67" w:rsidR="007B448B" w:rsidRPr="00C702CF" w:rsidRDefault="00307EC7" w:rsidP="007B448B">
    <w:pPr>
      <w:pStyle w:val="Themenschwerpunkt"/>
      <w:rPr>
        <w:b w:val="0"/>
        <w:bCs/>
        <w:noProof w:val="0"/>
        <w:lang w:val="de-CH"/>
      </w:rPr>
    </w:pPr>
    <w:r w:rsidRPr="00C702CF">
      <w:rPr>
        <w:lang w:val="de-CH"/>
      </w:rPr>
      <mc:AlternateContent>
        <mc:Choice Requires="wps">
          <w:drawing>
            <wp:anchor distT="0" distB="0" distL="114299" distR="114299" simplePos="0" relativeHeight="251658240" behindDoc="0" locked="0" layoutInCell="1" allowOverlap="1" wp14:anchorId="7A6E1E9E" wp14:editId="6D997C25">
              <wp:simplePos x="0" y="0"/>
              <wp:positionH relativeFrom="column">
                <wp:posOffset>-371476</wp:posOffset>
              </wp:positionH>
              <wp:positionV relativeFrom="paragraph">
                <wp:posOffset>-448310</wp:posOffset>
              </wp:positionV>
              <wp:extent cx="0" cy="12460605"/>
              <wp:effectExtent l="0" t="0" r="38100" b="36195"/>
              <wp:wrapNone/>
              <wp:docPr id="3" name="Gerader Verbinde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D7DF74" id="Gerader Verbinder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387E26">
      <w:rPr>
        <w:noProof w:val="0"/>
        <w:lang w:val="de-CH"/>
      </w:rPr>
      <w:t>BILDUNGSGERECHTIGKEIT</w:t>
    </w:r>
    <w:r w:rsidR="007B448B" w:rsidRPr="00C702CF">
      <w:rPr>
        <w:noProof w:val="0"/>
        <w:lang w:val="de-CH"/>
      </w:rPr>
      <w:tab/>
    </w:r>
    <w:r w:rsidR="007B448B" w:rsidRPr="00C702CF">
      <w:rPr>
        <w:noProof w:val="0"/>
        <w:lang w:val="de-CH"/>
      </w:rPr>
      <w:tab/>
    </w:r>
    <w:proofErr w:type="gramStart"/>
    <w:r w:rsidR="00C702CF" w:rsidRPr="00C702CF">
      <w:rPr>
        <w:b w:val="0"/>
        <w:bCs/>
        <w:noProof w:val="0"/>
        <w:lang w:val="de-CH"/>
      </w:rPr>
      <w:t>Schweizerische</w:t>
    </w:r>
    <w:proofErr w:type="gramEnd"/>
    <w:r w:rsidR="00C702CF" w:rsidRPr="00C702CF">
      <w:rPr>
        <w:b w:val="0"/>
        <w:bCs/>
        <w:noProof w:val="0"/>
        <w:lang w:val="de-CH"/>
      </w:rPr>
      <w:t xml:space="preserve"> Zeitschrift für Heilpädagogik, Jg. </w:t>
    </w:r>
    <w:r w:rsidR="00387E26">
      <w:rPr>
        <w:b w:val="0"/>
        <w:bCs/>
        <w:noProof w:val="0"/>
        <w:lang w:val="de-CH"/>
      </w:rPr>
      <w:t>30</w:t>
    </w:r>
    <w:r w:rsidR="00C702CF" w:rsidRPr="00C702CF">
      <w:rPr>
        <w:b w:val="0"/>
        <w:bCs/>
        <w:noProof w:val="0"/>
        <w:lang w:val="de-CH"/>
      </w:rPr>
      <w:t xml:space="preserve">, </w:t>
    </w:r>
    <w:r w:rsidR="00387E26">
      <w:rPr>
        <w:b w:val="0"/>
        <w:bCs/>
        <w:noProof w:val="0"/>
        <w:lang w:val="de-CH"/>
      </w:rPr>
      <w:t>07</w:t>
    </w:r>
    <w:r w:rsidR="00C702CF" w:rsidRPr="00C702CF">
      <w:rPr>
        <w:b w:val="0"/>
        <w:bCs/>
        <w:noProof w:val="0"/>
        <w:lang w:val="de-CH"/>
      </w:rPr>
      <w:t>/</w:t>
    </w:r>
    <w:r w:rsidR="00387E26">
      <w:rPr>
        <w:b w:val="0"/>
        <w:bCs/>
        <w:noProof w:val="0"/>
        <w:lang w:val="de-CH"/>
      </w:rPr>
      <w:t>2024</w:t>
    </w:r>
  </w:p>
  <w:p w14:paraId="3A8B2677" w14:textId="5154FFEB" w:rsidR="004B3A29" w:rsidRPr="00C702CF" w:rsidRDefault="00B7489C" w:rsidP="007B448B">
    <w:pPr>
      <w:pStyle w:val="Themenschwerpunkt"/>
      <w:rPr>
        <w:b w:val="0"/>
        <w:bCs/>
        <w:noProof w:val="0"/>
        <w:lang w:val="de-CH"/>
      </w:rPr>
    </w:pPr>
    <w:r w:rsidRPr="00C702CF">
      <w:rPr>
        <w:b w:val="0"/>
        <w:bCs/>
        <w:noProof w:val="0"/>
        <w:lang w:val="de-CH"/>
      </w:rPr>
      <w:t xml:space="preserve">| </w:t>
    </w:r>
    <w:r w:rsidR="00C702CF" w:rsidRPr="00C702CF">
      <w:rPr>
        <w:b w:val="0"/>
        <w:bCs/>
        <w:noProof w:val="0"/>
        <w:lang w:val="de-CH"/>
      </w:rPr>
      <w:t>ARTIKEL</w:t>
    </w:r>
    <w:r w:rsidR="007B448B" w:rsidRPr="00C702CF">
      <w:rPr>
        <w:b w:val="0"/>
        <w:bCs/>
        <w:noProof w:val="0"/>
        <w:lang w:val="de-CH"/>
      </w:rPr>
      <w:tab/>
    </w:r>
    <w:r w:rsidR="007B448B" w:rsidRPr="00C702CF">
      <w:rPr>
        <w:b w:val="0"/>
        <w:bCs/>
        <w:noProof w:val="0"/>
        <w:lang w:val="de-CH"/>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80E93" w14:textId="77777777" w:rsidR="00805D9D" w:rsidRDefault="00805D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2" w15:restartNumberingAfterBreak="0">
    <w:nsid w:val="068E36E8"/>
    <w:multiLevelType w:val="hybridMultilevel"/>
    <w:tmpl w:val="505EAD3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79D0C3D"/>
    <w:multiLevelType w:val="hybridMultilevel"/>
    <w:tmpl w:val="249856E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F5074BD"/>
    <w:multiLevelType w:val="hybridMultilevel"/>
    <w:tmpl w:val="7B86318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D9C1ED2"/>
    <w:multiLevelType w:val="hybridMultilevel"/>
    <w:tmpl w:val="CFD0FDA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A6614F9"/>
    <w:multiLevelType w:val="hybridMultilevel"/>
    <w:tmpl w:val="0856131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BC95F12"/>
    <w:multiLevelType w:val="hybridMultilevel"/>
    <w:tmpl w:val="FC32B54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816487952">
    <w:abstractNumId w:val="1"/>
  </w:num>
  <w:num w:numId="2" w16cid:durableId="379716589">
    <w:abstractNumId w:val="5"/>
  </w:num>
  <w:num w:numId="3" w16cid:durableId="1479614155">
    <w:abstractNumId w:val="0"/>
  </w:num>
  <w:num w:numId="4" w16cid:durableId="1177420835">
    <w:abstractNumId w:val="3"/>
  </w:num>
  <w:num w:numId="5" w16cid:durableId="1880120997">
    <w:abstractNumId w:val="7"/>
  </w:num>
  <w:num w:numId="6" w16cid:durableId="600838211">
    <w:abstractNumId w:val="8"/>
  </w:num>
  <w:num w:numId="7" w16cid:durableId="222762253">
    <w:abstractNumId w:val="2"/>
  </w:num>
  <w:num w:numId="8" w16cid:durableId="1484469581">
    <w:abstractNumId w:val="4"/>
  </w:num>
  <w:num w:numId="9" w16cid:durableId="10527791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C98"/>
    <w:rsid w:val="00002471"/>
    <w:rsid w:val="00003501"/>
    <w:rsid w:val="00012E9D"/>
    <w:rsid w:val="00016375"/>
    <w:rsid w:val="00016BFF"/>
    <w:rsid w:val="00020F34"/>
    <w:rsid w:val="00024143"/>
    <w:rsid w:val="00024E00"/>
    <w:rsid w:val="000302CB"/>
    <w:rsid w:val="00030870"/>
    <w:rsid w:val="0003314D"/>
    <w:rsid w:val="000352CE"/>
    <w:rsid w:val="0003631A"/>
    <w:rsid w:val="000448C6"/>
    <w:rsid w:val="00051457"/>
    <w:rsid w:val="00053353"/>
    <w:rsid w:val="00054B01"/>
    <w:rsid w:val="000550FD"/>
    <w:rsid w:val="000567E2"/>
    <w:rsid w:val="00063E5C"/>
    <w:rsid w:val="00067A59"/>
    <w:rsid w:val="00070A69"/>
    <w:rsid w:val="00073720"/>
    <w:rsid w:val="000759D7"/>
    <w:rsid w:val="00075C49"/>
    <w:rsid w:val="00077689"/>
    <w:rsid w:val="00084E30"/>
    <w:rsid w:val="000861E8"/>
    <w:rsid w:val="000A24FE"/>
    <w:rsid w:val="000A3A98"/>
    <w:rsid w:val="000A4260"/>
    <w:rsid w:val="000B5BB8"/>
    <w:rsid w:val="000B7E9B"/>
    <w:rsid w:val="000C1118"/>
    <w:rsid w:val="000D2172"/>
    <w:rsid w:val="000D25D4"/>
    <w:rsid w:val="000E08D0"/>
    <w:rsid w:val="000E1EDB"/>
    <w:rsid w:val="000E6A66"/>
    <w:rsid w:val="000F0956"/>
    <w:rsid w:val="000F4B54"/>
    <w:rsid w:val="000F4F89"/>
    <w:rsid w:val="000F5288"/>
    <w:rsid w:val="0010334E"/>
    <w:rsid w:val="00104665"/>
    <w:rsid w:val="001114E2"/>
    <w:rsid w:val="00111C8F"/>
    <w:rsid w:val="001150A5"/>
    <w:rsid w:val="001156D6"/>
    <w:rsid w:val="00115EF5"/>
    <w:rsid w:val="001161D6"/>
    <w:rsid w:val="001166E9"/>
    <w:rsid w:val="00116A93"/>
    <w:rsid w:val="00120CBF"/>
    <w:rsid w:val="001210DE"/>
    <w:rsid w:val="00126AF6"/>
    <w:rsid w:val="001372FD"/>
    <w:rsid w:val="00143D2A"/>
    <w:rsid w:val="001443FB"/>
    <w:rsid w:val="00147385"/>
    <w:rsid w:val="00151BCA"/>
    <w:rsid w:val="00153133"/>
    <w:rsid w:val="001558D5"/>
    <w:rsid w:val="00155DBE"/>
    <w:rsid w:val="00157D7E"/>
    <w:rsid w:val="00165B29"/>
    <w:rsid w:val="00166C43"/>
    <w:rsid w:val="00167858"/>
    <w:rsid w:val="00176238"/>
    <w:rsid w:val="0018444E"/>
    <w:rsid w:val="00191B96"/>
    <w:rsid w:val="0019652D"/>
    <w:rsid w:val="001974EE"/>
    <w:rsid w:val="001A2EEC"/>
    <w:rsid w:val="001A5068"/>
    <w:rsid w:val="001B05BD"/>
    <w:rsid w:val="001B16E8"/>
    <w:rsid w:val="001B25F3"/>
    <w:rsid w:val="001B4F24"/>
    <w:rsid w:val="001B5D9C"/>
    <w:rsid w:val="001B7781"/>
    <w:rsid w:val="001C1EC6"/>
    <w:rsid w:val="001C219E"/>
    <w:rsid w:val="001C752A"/>
    <w:rsid w:val="001D3BFB"/>
    <w:rsid w:val="001D45A7"/>
    <w:rsid w:val="001D594E"/>
    <w:rsid w:val="001D7939"/>
    <w:rsid w:val="001E0981"/>
    <w:rsid w:val="001E3BE9"/>
    <w:rsid w:val="001E4ED0"/>
    <w:rsid w:val="00202A19"/>
    <w:rsid w:val="0020433A"/>
    <w:rsid w:val="0020467E"/>
    <w:rsid w:val="00210EA9"/>
    <w:rsid w:val="002145BB"/>
    <w:rsid w:val="002218EA"/>
    <w:rsid w:val="00225A04"/>
    <w:rsid w:val="00227FE7"/>
    <w:rsid w:val="002324E4"/>
    <w:rsid w:val="002336C2"/>
    <w:rsid w:val="00235A6C"/>
    <w:rsid w:val="00240DB4"/>
    <w:rsid w:val="0024315A"/>
    <w:rsid w:val="002443A6"/>
    <w:rsid w:val="00247157"/>
    <w:rsid w:val="00250627"/>
    <w:rsid w:val="00261FF7"/>
    <w:rsid w:val="00267155"/>
    <w:rsid w:val="00276B2C"/>
    <w:rsid w:val="00284D8C"/>
    <w:rsid w:val="00284EA0"/>
    <w:rsid w:val="002862AA"/>
    <w:rsid w:val="00296F05"/>
    <w:rsid w:val="0029709B"/>
    <w:rsid w:val="002B7229"/>
    <w:rsid w:val="002C120F"/>
    <w:rsid w:val="002C5235"/>
    <w:rsid w:val="002C58D0"/>
    <w:rsid w:val="002D36FA"/>
    <w:rsid w:val="002E13B6"/>
    <w:rsid w:val="002E5374"/>
    <w:rsid w:val="002E7248"/>
    <w:rsid w:val="002F5F6E"/>
    <w:rsid w:val="002F65FB"/>
    <w:rsid w:val="002F7AEE"/>
    <w:rsid w:val="0030447C"/>
    <w:rsid w:val="003047E8"/>
    <w:rsid w:val="00307309"/>
    <w:rsid w:val="00307EC7"/>
    <w:rsid w:val="00316494"/>
    <w:rsid w:val="00322024"/>
    <w:rsid w:val="003222A6"/>
    <w:rsid w:val="00332A5B"/>
    <w:rsid w:val="0033452B"/>
    <w:rsid w:val="00336333"/>
    <w:rsid w:val="0033661E"/>
    <w:rsid w:val="003400EB"/>
    <w:rsid w:val="00350882"/>
    <w:rsid w:val="003568A4"/>
    <w:rsid w:val="00357441"/>
    <w:rsid w:val="00357957"/>
    <w:rsid w:val="00360422"/>
    <w:rsid w:val="003651F7"/>
    <w:rsid w:val="00365730"/>
    <w:rsid w:val="00370691"/>
    <w:rsid w:val="003774AF"/>
    <w:rsid w:val="003819B7"/>
    <w:rsid w:val="00382314"/>
    <w:rsid w:val="00383074"/>
    <w:rsid w:val="00386CFF"/>
    <w:rsid w:val="00387E26"/>
    <w:rsid w:val="00392463"/>
    <w:rsid w:val="003A0EA7"/>
    <w:rsid w:val="003A2717"/>
    <w:rsid w:val="003A6B33"/>
    <w:rsid w:val="003B047D"/>
    <w:rsid w:val="003B4C81"/>
    <w:rsid w:val="003B6615"/>
    <w:rsid w:val="003D221C"/>
    <w:rsid w:val="003D502F"/>
    <w:rsid w:val="003E022D"/>
    <w:rsid w:val="003E0578"/>
    <w:rsid w:val="003F0DF9"/>
    <w:rsid w:val="003F479A"/>
    <w:rsid w:val="003F5B1B"/>
    <w:rsid w:val="003F6A6B"/>
    <w:rsid w:val="003F78C2"/>
    <w:rsid w:val="00400218"/>
    <w:rsid w:val="004027D5"/>
    <w:rsid w:val="00404F18"/>
    <w:rsid w:val="00407E18"/>
    <w:rsid w:val="004106E4"/>
    <w:rsid w:val="004108D3"/>
    <w:rsid w:val="00414332"/>
    <w:rsid w:val="0041734C"/>
    <w:rsid w:val="00421D05"/>
    <w:rsid w:val="00426606"/>
    <w:rsid w:val="004305ED"/>
    <w:rsid w:val="00436821"/>
    <w:rsid w:val="00441F45"/>
    <w:rsid w:val="004463BA"/>
    <w:rsid w:val="0045144F"/>
    <w:rsid w:val="00452917"/>
    <w:rsid w:val="00454BCF"/>
    <w:rsid w:val="00461A17"/>
    <w:rsid w:val="00467E46"/>
    <w:rsid w:val="004708EF"/>
    <w:rsid w:val="0047168D"/>
    <w:rsid w:val="00481867"/>
    <w:rsid w:val="00486270"/>
    <w:rsid w:val="00487557"/>
    <w:rsid w:val="00487EF7"/>
    <w:rsid w:val="00491868"/>
    <w:rsid w:val="00492321"/>
    <w:rsid w:val="00497D8E"/>
    <w:rsid w:val="004A2854"/>
    <w:rsid w:val="004B1834"/>
    <w:rsid w:val="004B29F8"/>
    <w:rsid w:val="004B3001"/>
    <w:rsid w:val="004B37B6"/>
    <w:rsid w:val="004B3A29"/>
    <w:rsid w:val="004B40A7"/>
    <w:rsid w:val="004C13EB"/>
    <w:rsid w:val="004C4A76"/>
    <w:rsid w:val="004C6A4C"/>
    <w:rsid w:val="004D542D"/>
    <w:rsid w:val="004D58AC"/>
    <w:rsid w:val="004D7B62"/>
    <w:rsid w:val="004E232F"/>
    <w:rsid w:val="004E2561"/>
    <w:rsid w:val="004E6A09"/>
    <w:rsid w:val="004F2F54"/>
    <w:rsid w:val="004F5C23"/>
    <w:rsid w:val="004F70D4"/>
    <w:rsid w:val="00502BB4"/>
    <w:rsid w:val="005055D5"/>
    <w:rsid w:val="0050562B"/>
    <w:rsid w:val="00507ED5"/>
    <w:rsid w:val="0051257C"/>
    <w:rsid w:val="00514E03"/>
    <w:rsid w:val="00521559"/>
    <w:rsid w:val="005238A3"/>
    <w:rsid w:val="00530E98"/>
    <w:rsid w:val="00533DA1"/>
    <w:rsid w:val="00534D84"/>
    <w:rsid w:val="00536B24"/>
    <w:rsid w:val="00546490"/>
    <w:rsid w:val="0055403E"/>
    <w:rsid w:val="0056578A"/>
    <w:rsid w:val="0056595B"/>
    <w:rsid w:val="00571C0D"/>
    <w:rsid w:val="0057240F"/>
    <w:rsid w:val="00572C4C"/>
    <w:rsid w:val="0057584B"/>
    <w:rsid w:val="0057605E"/>
    <w:rsid w:val="00576E09"/>
    <w:rsid w:val="00577261"/>
    <w:rsid w:val="005812A6"/>
    <w:rsid w:val="00581DB2"/>
    <w:rsid w:val="0058524D"/>
    <w:rsid w:val="00585CDD"/>
    <w:rsid w:val="00585ED0"/>
    <w:rsid w:val="0058699B"/>
    <w:rsid w:val="0059026A"/>
    <w:rsid w:val="00592776"/>
    <w:rsid w:val="00594747"/>
    <w:rsid w:val="00594844"/>
    <w:rsid w:val="005958AE"/>
    <w:rsid w:val="005A2642"/>
    <w:rsid w:val="005A646E"/>
    <w:rsid w:val="005A6F41"/>
    <w:rsid w:val="005A7AE7"/>
    <w:rsid w:val="005B208C"/>
    <w:rsid w:val="005B74A1"/>
    <w:rsid w:val="005D15B8"/>
    <w:rsid w:val="005E097D"/>
    <w:rsid w:val="005E150A"/>
    <w:rsid w:val="005E1866"/>
    <w:rsid w:val="005E6CCE"/>
    <w:rsid w:val="005E7DD5"/>
    <w:rsid w:val="005F3FDD"/>
    <w:rsid w:val="005F5176"/>
    <w:rsid w:val="0060020C"/>
    <w:rsid w:val="00607026"/>
    <w:rsid w:val="006109F6"/>
    <w:rsid w:val="006111D5"/>
    <w:rsid w:val="006111F5"/>
    <w:rsid w:val="00614C71"/>
    <w:rsid w:val="00620605"/>
    <w:rsid w:val="00621322"/>
    <w:rsid w:val="00623E11"/>
    <w:rsid w:val="0062753D"/>
    <w:rsid w:val="006411DE"/>
    <w:rsid w:val="006448C5"/>
    <w:rsid w:val="00651C98"/>
    <w:rsid w:val="00653EE4"/>
    <w:rsid w:val="0065404C"/>
    <w:rsid w:val="006555BD"/>
    <w:rsid w:val="00667265"/>
    <w:rsid w:val="006676E2"/>
    <w:rsid w:val="00667FBA"/>
    <w:rsid w:val="006727B2"/>
    <w:rsid w:val="0067497E"/>
    <w:rsid w:val="00676832"/>
    <w:rsid w:val="00682B8C"/>
    <w:rsid w:val="00683E88"/>
    <w:rsid w:val="00685EB4"/>
    <w:rsid w:val="00693BF1"/>
    <w:rsid w:val="00696541"/>
    <w:rsid w:val="006A2BB4"/>
    <w:rsid w:val="006A4C05"/>
    <w:rsid w:val="006A7EF4"/>
    <w:rsid w:val="006B0311"/>
    <w:rsid w:val="006B2DD3"/>
    <w:rsid w:val="006B5275"/>
    <w:rsid w:val="006B5540"/>
    <w:rsid w:val="006C1126"/>
    <w:rsid w:val="006C12FD"/>
    <w:rsid w:val="006C2B84"/>
    <w:rsid w:val="006C3DFC"/>
    <w:rsid w:val="006C4984"/>
    <w:rsid w:val="006C7F75"/>
    <w:rsid w:val="006D214A"/>
    <w:rsid w:val="006D2F10"/>
    <w:rsid w:val="006D4A8B"/>
    <w:rsid w:val="006D5D28"/>
    <w:rsid w:val="006D6906"/>
    <w:rsid w:val="006E0325"/>
    <w:rsid w:val="006E0A8E"/>
    <w:rsid w:val="006E1447"/>
    <w:rsid w:val="006E152D"/>
    <w:rsid w:val="006E210A"/>
    <w:rsid w:val="006E260B"/>
    <w:rsid w:val="006E7D7D"/>
    <w:rsid w:val="006F5B2E"/>
    <w:rsid w:val="006F5D35"/>
    <w:rsid w:val="007019D7"/>
    <w:rsid w:val="00702BE5"/>
    <w:rsid w:val="0070657A"/>
    <w:rsid w:val="00713F3C"/>
    <w:rsid w:val="00714B17"/>
    <w:rsid w:val="007155B8"/>
    <w:rsid w:val="0073434B"/>
    <w:rsid w:val="00736748"/>
    <w:rsid w:val="007373E7"/>
    <w:rsid w:val="00741277"/>
    <w:rsid w:val="007424F5"/>
    <w:rsid w:val="00742EE5"/>
    <w:rsid w:val="0074329B"/>
    <w:rsid w:val="0074442C"/>
    <w:rsid w:val="00747B75"/>
    <w:rsid w:val="00753E99"/>
    <w:rsid w:val="00767560"/>
    <w:rsid w:val="007676CA"/>
    <w:rsid w:val="00774549"/>
    <w:rsid w:val="00777A2F"/>
    <w:rsid w:val="0078195D"/>
    <w:rsid w:val="00786614"/>
    <w:rsid w:val="00787B6E"/>
    <w:rsid w:val="00795FF6"/>
    <w:rsid w:val="007A3489"/>
    <w:rsid w:val="007A599F"/>
    <w:rsid w:val="007A75E1"/>
    <w:rsid w:val="007B0374"/>
    <w:rsid w:val="007B448B"/>
    <w:rsid w:val="007B44B2"/>
    <w:rsid w:val="007B4F54"/>
    <w:rsid w:val="007B5701"/>
    <w:rsid w:val="007B62B5"/>
    <w:rsid w:val="007B69FC"/>
    <w:rsid w:val="007C07FE"/>
    <w:rsid w:val="007C3889"/>
    <w:rsid w:val="007C5AB3"/>
    <w:rsid w:val="007D3D93"/>
    <w:rsid w:val="007D7512"/>
    <w:rsid w:val="007E0FD8"/>
    <w:rsid w:val="007E657F"/>
    <w:rsid w:val="007E78D0"/>
    <w:rsid w:val="007F43B0"/>
    <w:rsid w:val="007F5E1D"/>
    <w:rsid w:val="00805D9D"/>
    <w:rsid w:val="00813846"/>
    <w:rsid w:val="008152E5"/>
    <w:rsid w:val="00822118"/>
    <w:rsid w:val="008221F5"/>
    <w:rsid w:val="00830A17"/>
    <w:rsid w:val="008351F7"/>
    <w:rsid w:val="00835C90"/>
    <w:rsid w:val="0084073A"/>
    <w:rsid w:val="00843560"/>
    <w:rsid w:val="00847285"/>
    <w:rsid w:val="00853805"/>
    <w:rsid w:val="00855097"/>
    <w:rsid w:val="00856519"/>
    <w:rsid w:val="00857CB9"/>
    <w:rsid w:val="00870508"/>
    <w:rsid w:val="008706E5"/>
    <w:rsid w:val="0087257F"/>
    <w:rsid w:val="00874271"/>
    <w:rsid w:val="0088237B"/>
    <w:rsid w:val="00882B9B"/>
    <w:rsid w:val="008854C8"/>
    <w:rsid w:val="00886EEF"/>
    <w:rsid w:val="00890D21"/>
    <w:rsid w:val="00891E7D"/>
    <w:rsid w:val="008924D4"/>
    <w:rsid w:val="008A1330"/>
    <w:rsid w:val="008A2229"/>
    <w:rsid w:val="008A26D6"/>
    <w:rsid w:val="008A4143"/>
    <w:rsid w:val="008A4C8A"/>
    <w:rsid w:val="008B7546"/>
    <w:rsid w:val="008C12B4"/>
    <w:rsid w:val="008C4F58"/>
    <w:rsid w:val="008C6306"/>
    <w:rsid w:val="008C6EDB"/>
    <w:rsid w:val="008D016D"/>
    <w:rsid w:val="008D1807"/>
    <w:rsid w:val="008D4168"/>
    <w:rsid w:val="008D467E"/>
    <w:rsid w:val="008D5616"/>
    <w:rsid w:val="008D5FC0"/>
    <w:rsid w:val="008E156D"/>
    <w:rsid w:val="008E202A"/>
    <w:rsid w:val="008F2E4E"/>
    <w:rsid w:val="008F3AEB"/>
    <w:rsid w:val="008F6C22"/>
    <w:rsid w:val="0090029C"/>
    <w:rsid w:val="0091027B"/>
    <w:rsid w:val="00912134"/>
    <w:rsid w:val="00912E02"/>
    <w:rsid w:val="009179EB"/>
    <w:rsid w:val="00920846"/>
    <w:rsid w:val="00920A21"/>
    <w:rsid w:val="00920B77"/>
    <w:rsid w:val="00921562"/>
    <w:rsid w:val="00921F15"/>
    <w:rsid w:val="00923D3D"/>
    <w:rsid w:val="00940239"/>
    <w:rsid w:val="00941AF0"/>
    <w:rsid w:val="00943B46"/>
    <w:rsid w:val="0094481F"/>
    <w:rsid w:val="009517C5"/>
    <w:rsid w:val="00953AE9"/>
    <w:rsid w:val="00954956"/>
    <w:rsid w:val="009552F9"/>
    <w:rsid w:val="0096527F"/>
    <w:rsid w:val="009655C2"/>
    <w:rsid w:val="009660DC"/>
    <w:rsid w:val="00967D5F"/>
    <w:rsid w:val="0097441E"/>
    <w:rsid w:val="009754EB"/>
    <w:rsid w:val="00985126"/>
    <w:rsid w:val="00985F87"/>
    <w:rsid w:val="0098678E"/>
    <w:rsid w:val="00991593"/>
    <w:rsid w:val="00996156"/>
    <w:rsid w:val="009A7FF6"/>
    <w:rsid w:val="009B64E9"/>
    <w:rsid w:val="009C10EC"/>
    <w:rsid w:val="009C28B6"/>
    <w:rsid w:val="009C408A"/>
    <w:rsid w:val="009C6886"/>
    <w:rsid w:val="009D2D86"/>
    <w:rsid w:val="009D4CCF"/>
    <w:rsid w:val="009D50EC"/>
    <w:rsid w:val="009D634C"/>
    <w:rsid w:val="009E5005"/>
    <w:rsid w:val="009E5DB4"/>
    <w:rsid w:val="009F3799"/>
    <w:rsid w:val="009F4C2A"/>
    <w:rsid w:val="009F4CD6"/>
    <w:rsid w:val="009F6A07"/>
    <w:rsid w:val="00A039C1"/>
    <w:rsid w:val="00A065B4"/>
    <w:rsid w:val="00A07152"/>
    <w:rsid w:val="00A10362"/>
    <w:rsid w:val="00A11404"/>
    <w:rsid w:val="00A13F4D"/>
    <w:rsid w:val="00A20A73"/>
    <w:rsid w:val="00A32017"/>
    <w:rsid w:val="00A32DB3"/>
    <w:rsid w:val="00A37E53"/>
    <w:rsid w:val="00A45EE7"/>
    <w:rsid w:val="00A50A1E"/>
    <w:rsid w:val="00A543D6"/>
    <w:rsid w:val="00A55E72"/>
    <w:rsid w:val="00A61330"/>
    <w:rsid w:val="00A63F0F"/>
    <w:rsid w:val="00A75215"/>
    <w:rsid w:val="00A86174"/>
    <w:rsid w:val="00A916DF"/>
    <w:rsid w:val="00A93F2A"/>
    <w:rsid w:val="00A9533A"/>
    <w:rsid w:val="00A954BA"/>
    <w:rsid w:val="00AA250E"/>
    <w:rsid w:val="00AA2F41"/>
    <w:rsid w:val="00AA3192"/>
    <w:rsid w:val="00AA3BBC"/>
    <w:rsid w:val="00AA5580"/>
    <w:rsid w:val="00AA71A2"/>
    <w:rsid w:val="00AA7D4C"/>
    <w:rsid w:val="00AB7501"/>
    <w:rsid w:val="00AC101E"/>
    <w:rsid w:val="00AC20F1"/>
    <w:rsid w:val="00AC5E02"/>
    <w:rsid w:val="00AC637C"/>
    <w:rsid w:val="00AD0020"/>
    <w:rsid w:val="00AD0426"/>
    <w:rsid w:val="00AD389F"/>
    <w:rsid w:val="00AD566E"/>
    <w:rsid w:val="00AE06A0"/>
    <w:rsid w:val="00AE583E"/>
    <w:rsid w:val="00AE5D15"/>
    <w:rsid w:val="00AE631D"/>
    <w:rsid w:val="00AE757A"/>
    <w:rsid w:val="00AF16EB"/>
    <w:rsid w:val="00B04A69"/>
    <w:rsid w:val="00B065B3"/>
    <w:rsid w:val="00B06A23"/>
    <w:rsid w:val="00B1380C"/>
    <w:rsid w:val="00B207A3"/>
    <w:rsid w:val="00B220FC"/>
    <w:rsid w:val="00B23FEC"/>
    <w:rsid w:val="00B25873"/>
    <w:rsid w:val="00B37F30"/>
    <w:rsid w:val="00B41A42"/>
    <w:rsid w:val="00B42D33"/>
    <w:rsid w:val="00B430E0"/>
    <w:rsid w:val="00B46F5D"/>
    <w:rsid w:val="00B50E21"/>
    <w:rsid w:val="00B52582"/>
    <w:rsid w:val="00B53B3E"/>
    <w:rsid w:val="00B54E5C"/>
    <w:rsid w:val="00B560BD"/>
    <w:rsid w:val="00B61E5F"/>
    <w:rsid w:val="00B669F0"/>
    <w:rsid w:val="00B66B9B"/>
    <w:rsid w:val="00B71621"/>
    <w:rsid w:val="00B7489C"/>
    <w:rsid w:val="00B74F64"/>
    <w:rsid w:val="00B75221"/>
    <w:rsid w:val="00B7596B"/>
    <w:rsid w:val="00B83E09"/>
    <w:rsid w:val="00BA5466"/>
    <w:rsid w:val="00BA7AF5"/>
    <w:rsid w:val="00BB3270"/>
    <w:rsid w:val="00BB73AE"/>
    <w:rsid w:val="00BC32F4"/>
    <w:rsid w:val="00BD1D78"/>
    <w:rsid w:val="00BD4FAD"/>
    <w:rsid w:val="00BD63D6"/>
    <w:rsid w:val="00BD74F7"/>
    <w:rsid w:val="00BE1118"/>
    <w:rsid w:val="00BE12D0"/>
    <w:rsid w:val="00BE5523"/>
    <w:rsid w:val="00BE719E"/>
    <w:rsid w:val="00BF256D"/>
    <w:rsid w:val="00C014A9"/>
    <w:rsid w:val="00C01AD6"/>
    <w:rsid w:val="00C05B47"/>
    <w:rsid w:val="00C05FF5"/>
    <w:rsid w:val="00C07254"/>
    <w:rsid w:val="00C133E0"/>
    <w:rsid w:val="00C13CD3"/>
    <w:rsid w:val="00C16BC2"/>
    <w:rsid w:val="00C201F8"/>
    <w:rsid w:val="00C24833"/>
    <w:rsid w:val="00C27F5A"/>
    <w:rsid w:val="00C32CBE"/>
    <w:rsid w:val="00C339C7"/>
    <w:rsid w:val="00C34661"/>
    <w:rsid w:val="00C350DC"/>
    <w:rsid w:val="00C35758"/>
    <w:rsid w:val="00C43705"/>
    <w:rsid w:val="00C43FE4"/>
    <w:rsid w:val="00C50710"/>
    <w:rsid w:val="00C546A5"/>
    <w:rsid w:val="00C61C5B"/>
    <w:rsid w:val="00C63ADB"/>
    <w:rsid w:val="00C64B67"/>
    <w:rsid w:val="00C702CF"/>
    <w:rsid w:val="00C769A2"/>
    <w:rsid w:val="00C77A77"/>
    <w:rsid w:val="00C83D14"/>
    <w:rsid w:val="00C85052"/>
    <w:rsid w:val="00C87BD3"/>
    <w:rsid w:val="00C903A3"/>
    <w:rsid w:val="00C90953"/>
    <w:rsid w:val="00C96E91"/>
    <w:rsid w:val="00C974E2"/>
    <w:rsid w:val="00CA0C01"/>
    <w:rsid w:val="00CA4580"/>
    <w:rsid w:val="00CB14E0"/>
    <w:rsid w:val="00CB3464"/>
    <w:rsid w:val="00CB34A3"/>
    <w:rsid w:val="00CB4997"/>
    <w:rsid w:val="00CC1689"/>
    <w:rsid w:val="00CC2714"/>
    <w:rsid w:val="00CC324D"/>
    <w:rsid w:val="00CC4569"/>
    <w:rsid w:val="00CC45F9"/>
    <w:rsid w:val="00CD0A99"/>
    <w:rsid w:val="00CD3B57"/>
    <w:rsid w:val="00CE04AC"/>
    <w:rsid w:val="00CF184E"/>
    <w:rsid w:val="00CF40BA"/>
    <w:rsid w:val="00CF4C21"/>
    <w:rsid w:val="00CF788D"/>
    <w:rsid w:val="00D013D0"/>
    <w:rsid w:val="00D02DE1"/>
    <w:rsid w:val="00D04464"/>
    <w:rsid w:val="00D1447B"/>
    <w:rsid w:val="00D1540A"/>
    <w:rsid w:val="00D159CB"/>
    <w:rsid w:val="00D17F8E"/>
    <w:rsid w:val="00D276D9"/>
    <w:rsid w:val="00D30491"/>
    <w:rsid w:val="00D30FC8"/>
    <w:rsid w:val="00D42978"/>
    <w:rsid w:val="00D43929"/>
    <w:rsid w:val="00D43FCB"/>
    <w:rsid w:val="00D45554"/>
    <w:rsid w:val="00D4716B"/>
    <w:rsid w:val="00D543F6"/>
    <w:rsid w:val="00D55316"/>
    <w:rsid w:val="00D606F2"/>
    <w:rsid w:val="00D614DC"/>
    <w:rsid w:val="00D622B3"/>
    <w:rsid w:val="00D65100"/>
    <w:rsid w:val="00D65FF0"/>
    <w:rsid w:val="00D67FC7"/>
    <w:rsid w:val="00D71A2F"/>
    <w:rsid w:val="00D75B7A"/>
    <w:rsid w:val="00D75B90"/>
    <w:rsid w:val="00D77C26"/>
    <w:rsid w:val="00D802D4"/>
    <w:rsid w:val="00D83C20"/>
    <w:rsid w:val="00D878B4"/>
    <w:rsid w:val="00D9463F"/>
    <w:rsid w:val="00D969AF"/>
    <w:rsid w:val="00DA08AF"/>
    <w:rsid w:val="00DA3CEB"/>
    <w:rsid w:val="00DA3D5B"/>
    <w:rsid w:val="00DA4C20"/>
    <w:rsid w:val="00DB085C"/>
    <w:rsid w:val="00DB1F8B"/>
    <w:rsid w:val="00DB2D7E"/>
    <w:rsid w:val="00DB5151"/>
    <w:rsid w:val="00DB5625"/>
    <w:rsid w:val="00DB76F8"/>
    <w:rsid w:val="00DC0AB5"/>
    <w:rsid w:val="00DC1432"/>
    <w:rsid w:val="00DC399A"/>
    <w:rsid w:val="00DC40B6"/>
    <w:rsid w:val="00DD02BE"/>
    <w:rsid w:val="00DD3119"/>
    <w:rsid w:val="00DE6B7F"/>
    <w:rsid w:val="00DF11B1"/>
    <w:rsid w:val="00DF5157"/>
    <w:rsid w:val="00E03695"/>
    <w:rsid w:val="00E03BC7"/>
    <w:rsid w:val="00E04BA1"/>
    <w:rsid w:val="00E05B56"/>
    <w:rsid w:val="00E05E68"/>
    <w:rsid w:val="00E111B9"/>
    <w:rsid w:val="00E13951"/>
    <w:rsid w:val="00E165EE"/>
    <w:rsid w:val="00E23124"/>
    <w:rsid w:val="00E249C3"/>
    <w:rsid w:val="00E26F3D"/>
    <w:rsid w:val="00E30D1F"/>
    <w:rsid w:val="00E31225"/>
    <w:rsid w:val="00E4024E"/>
    <w:rsid w:val="00E40613"/>
    <w:rsid w:val="00E42E44"/>
    <w:rsid w:val="00E45415"/>
    <w:rsid w:val="00E4690A"/>
    <w:rsid w:val="00E51413"/>
    <w:rsid w:val="00E54DD0"/>
    <w:rsid w:val="00E564D9"/>
    <w:rsid w:val="00E56BA7"/>
    <w:rsid w:val="00E60915"/>
    <w:rsid w:val="00E6236B"/>
    <w:rsid w:val="00E63010"/>
    <w:rsid w:val="00E735D4"/>
    <w:rsid w:val="00E75488"/>
    <w:rsid w:val="00E76371"/>
    <w:rsid w:val="00E7780E"/>
    <w:rsid w:val="00E840F3"/>
    <w:rsid w:val="00E8625B"/>
    <w:rsid w:val="00E9142E"/>
    <w:rsid w:val="00E91F90"/>
    <w:rsid w:val="00E9218A"/>
    <w:rsid w:val="00E93791"/>
    <w:rsid w:val="00E93D65"/>
    <w:rsid w:val="00E96C9F"/>
    <w:rsid w:val="00E96E69"/>
    <w:rsid w:val="00E97EF1"/>
    <w:rsid w:val="00EA44FF"/>
    <w:rsid w:val="00EA4676"/>
    <w:rsid w:val="00EA484D"/>
    <w:rsid w:val="00EA503F"/>
    <w:rsid w:val="00EC09C9"/>
    <w:rsid w:val="00EC0A4F"/>
    <w:rsid w:val="00EC1B30"/>
    <w:rsid w:val="00EC5F28"/>
    <w:rsid w:val="00ED473A"/>
    <w:rsid w:val="00ED693B"/>
    <w:rsid w:val="00EE0B9F"/>
    <w:rsid w:val="00EE27B4"/>
    <w:rsid w:val="00EE4108"/>
    <w:rsid w:val="00EF037C"/>
    <w:rsid w:val="00EF1027"/>
    <w:rsid w:val="00EF4C1D"/>
    <w:rsid w:val="00EF7CFB"/>
    <w:rsid w:val="00F00AB0"/>
    <w:rsid w:val="00F05FE5"/>
    <w:rsid w:val="00F1657B"/>
    <w:rsid w:val="00F2399D"/>
    <w:rsid w:val="00F359A0"/>
    <w:rsid w:val="00F402D0"/>
    <w:rsid w:val="00F43D5C"/>
    <w:rsid w:val="00F47AD4"/>
    <w:rsid w:val="00F54BA2"/>
    <w:rsid w:val="00F62B77"/>
    <w:rsid w:val="00F635C1"/>
    <w:rsid w:val="00F64F0B"/>
    <w:rsid w:val="00F767F6"/>
    <w:rsid w:val="00F76CB2"/>
    <w:rsid w:val="00F80B9E"/>
    <w:rsid w:val="00F83A13"/>
    <w:rsid w:val="00F83FF6"/>
    <w:rsid w:val="00FA2915"/>
    <w:rsid w:val="00FA449C"/>
    <w:rsid w:val="00FA5843"/>
    <w:rsid w:val="00FB0E75"/>
    <w:rsid w:val="00FB2600"/>
    <w:rsid w:val="00FB2889"/>
    <w:rsid w:val="00FB2DAA"/>
    <w:rsid w:val="00FB4241"/>
    <w:rsid w:val="00FB48D2"/>
    <w:rsid w:val="00FB7742"/>
    <w:rsid w:val="00FB7D44"/>
    <w:rsid w:val="00FC5F73"/>
    <w:rsid w:val="00FC6F85"/>
    <w:rsid w:val="00FC7953"/>
    <w:rsid w:val="00FD3D03"/>
    <w:rsid w:val="00FD5708"/>
    <w:rsid w:val="00FE3655"/>
    <w:rsid w:val="00FE57F9"/>
    <w:rsid w:val="00FE6E02"/>
    <w:rsid w:val="00FF2E2B"/>
    <w:rsid w:val="00FF5A3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EDC0C"/>
  <w15:docId w15:val="{5A323D92-8D11-4964-A289-23A30A5D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3"/>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3"/>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3"/>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3"/>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LegendeAbbildung">
    <w:name w:val="Legende Abbildung"/>
    <w:basedOn w:val="LegendeTabelle"/>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rsid w:val="00C24833"/>
    <w:pPr>
      <w:spacing w:before="0" w:after="0"/>
      <w:ind w:firstLine="0"/>
      <w:jc w:val="left"/>
    </w:pPr>
  </w:style>
  <w:style w:type="character" w:customStyle="1" w:styleId="Textkrper3Zchn">
    <w:name w:val="Textkörper 3 Zchn"/>
    <w:basedOn w:val="Absatz-Standardschriftart"/>
    <w:link w:val="Textkrper3"/>
    <w:rsid w:val="00C24833"/>
    <w:rPr>
      <w:lang w:val="de-CH"/>
    </w:rPr>
  </w:style>
  <w:style w:type="paragraph" w:customStyle="1" w:styleId="LegendeTabelle">
    <w:name w:val="Legende Tabelle"/>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
      </w:numPr>
      <w:ind w:left="454" w:hanging="284"/>
      <w:contextualSpacing/>
    </w:pPr>
  </w:style>
  <w:style w:type="paragraph" w:styleId="Liste2">
    <w:name w:val="List 2"/>
    <w:basedOn w:val="Standard"/>
    <w:unhideWhenUsed/>
    <w:rsid w:val="00ED473A"/>
    <w:pPr>
      <w:numPr>
        <w:ilvl w:val="1"/>
        <w:numId w:val="1"/>
      </w:numPr>
      <w:ind w:left="794" w:hanging="284"/>
      <w:contextualSpacing/>
    </w:pPr>
  </w:style>
  <w:style w:type="paragraph" w:styleId="Liste3">
    <w:name w:val="List 3"/>
    <w:basedOn w:val="Standard"/>
    <w:unhideWhenUsed/>
    <w:rsid w:val="00ED473A"/>
    <w:pPr>
      <w:numPr>
        <w:ilvl w:val="2"/>
        <w:numId w:val="1"/>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3"/>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C702CF"/>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B8DCC4" w:themeFill="accent4" w:themeFillTint="66"/>
    </w:pPr>
    <w:rPr>
      <w:lang w:val="fr-CH"/>
    </w:rPr>
  </w:style>
  <w:style w:type="paragraph" w:customStyle="1" w:styleId="Fragen">
    <w:name w:val="Fragen"/>
    <w:basedOn w:val="Textkrper"/>
    <w:next w:val="Textkrper"/>
    <w:qFormat/>
    <w:rsid w:val="0003314D"/>
    <w:pPr>
      <w:pBdr>
        <w:left w:val="single" w:sz="12" w:space="4" w:color="D31932" w:themeColor="accent1"/>
      </w:pBdr>
      <w:spacing w:before="120"/>
      <w:ind w:left="17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147385"/>
    <w:pPr>
      <w:spacing w:after="0"/>
    </w:pPr>
    <w:rPr>
      <w:lang w:val="de-CH"/>
    </w:rPr>
  </w:style>
  <w:style w:type="table" w:customStyle="1" w:styleId="Tabellenraster1">
    <w:name w:val="Tabellenraster1"/>
    <w:basedOn w:val="NormaleTabelle"/>
    <w:next w:val="Tabellenraster"/>
    <w:rsid w:val="00A20A73"/>
    <w:pPr>
      <w:spacing w:after="0"/>
    </w:pPr>
    <w:rPr>
      <w:rFonts w:ascii="Open Sans SemiCondensed SemiCon" w:hAnsi="Open Sans SemiCondensed SemiCo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mailto:claudia.rapold@ehb.swis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dudoc.ch/record/215650?ln=de"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rene.wuethrich@ehb.swis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edudoc.ch/record/216981/files/empf_nachteilsausgleich_d.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4-07-07"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bwpat.de/ausgabe46/wuethrich_bwpat46.pdf"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anne.trojanek@ehb.swis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bibb.de/dienst/publikationen/de/download/7407" TargetMode="External"/><Relationship Id="rId27" Type="http://schemas.openxmlformats.org/officeDocument/2006/relationships/footer" Target="footer2.xml"/><Relationship Id="rId30"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SZH%20CSPS\Daten_Allgemein%20-%20General\2_Produkte\50_Open_Access\Layout\Layout_v8.3_DE.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8" ma:contentTypeDescription="Ein neues Dokument erstellen." ma:contentTypeScope="" ma:versionID="4c042081b775e753c1bb232e58584a4e">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ffe972dd866110c8e29933bd44e2f340"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2.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3.xml><?xml version="1.0" encoding="utf-8"?>
<ds:datastoreItem xmlns:ds="http://schemas.openxmlformats.org/officeDocument/2006/customXml" ds:itemID="{E36FFB69-F6F7-4342-B3D8-7295391FE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7EC88C-8D21-434D-9DE7-8252E3B8E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Layout_v8.3_DE</Template>
  <TotalTime>0</TotalTime>
  <Pages>6</Pages>
  <Words>2677</Words>
  <Characters>16866</Characters>
  <Application>Microsoft Office Word</Application>
  <DocSecurity>0</DocSecurity>
  <Lines>140</Lines>
  <Paragraphs>39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Title</vt:lpstr>
      <vt:lpstr>Title</vt:lpstr>
    </vt:vector>
  </TitlesOfParts>
  <Company/>
  <LinksUpToDate>false</LinksUpToDate>
  <CharactersWithSpaces>19504</CharactersWithSpaces>
  <SharedDoc>false</SharedDoc>
  <HLinks>
    <vt:vector size="78" baseType="variant">
      <vt:variant>
        <vt:i4>524321</vt:i4>
      </vt:variant>
      <vt:variant>
        <vt:i4>27</vt:i4>
      </vt:variant>
      <vt:variant>
        <vt:i4>0</vt:i4>
      </vt:variant>
      <vt:variant>
        <vt:i4>5</vt:i4>
      </vt:variant>
      <vt:variant>
        <vt:lpwstr>https://www.bwpat.de/ausgabe46/wuethrich_bwpat46.pdf</vt:lpwstr>
      </vt:variant>
      <vt:variant>
        <vt:lpwstr/>
      </vt:variant>
      <vt:variant>
        <vt:i4>5111829</vt:i4>
      </vt:variant>
      <vt:variant>
        <vt:i4>24</vt:i4>
      </vt:variant>
      <vt:variant>
        <vt:i4>0</vt:i4>
      </vt:variant>
      <vt:variant>
        <vt:i4>5</vt:i4>
      </vt:variant>
      <vt:variant>
        <vt:lpwstr>https://www.bibb.de/dienst/publikationen/de/download/7407</vt:lpwstr>
      </vt:variant>
      <vt:variant>
        <vt:lpwstr/>
      </vt:variant>
      <vt:variant>
        <vt:i4>4980770</vt:i4>
      </vt:variant>
      <vt:variant>
        <vt:i4>21</vt:i4>
      </vt:variant>
      <vt:variant>
        <vt:i4>0</vt:i4>
      </vt:variant>
      <vt:variant>
        <vt:i4>5</vt:i4>
      </vt:variant>
      <vt:variant>
        <vt:lpwstr>https://www.are.admin.ch/dam/are/de/dokumente/nachhaltige_entwicklung/dokumente/bericht/zwischenbericht-sne2030.pdf.download.pdf/Zwischenbericht zur Umsetzung der SNE 2030.pdf</vt:lpwstr>
      </vt:variant>
      <vt:variant>
        <vt:lpwstr/>
      </vt:variant>
      <vt:variant>
        <vt:i4>5701715</vt:i4>
      </vt:variant>
      <vt:variant>
        <vt:i4>18</vt:i4>
      </vt:variant>
      <vt:variant>
        <vt:i4>0</vt:i4>
      </vt:variant>
      <vt:variant>
        <vt:i4>5</vt:i4>
      </vt:variant>
      <vt:variant>
        <vt:lpwstr>https://edudoc.ch/record/215650?ln=de</vt:lpwstr>
      </vt:variant>
      <vt:variant>
        <vt:lpwstr/>
      </vt:variant>
      <vt:variant>
        <vt:i4>589908</vt:i4>
      </vt:variant>
      <vt:variant>
        <vt:i4>15</vt:i4>
      </vt:variant>
      <vt:variant>
        <vt:i4>0</vt:i4>
      </vt:variant>
      <vt:variant>
        <vt:i4>5</vt:i4>
      </vt:variant>
      <vt:variant>
        <vt:lpwstr>https://edudoc.ch/record/216981/files/empf_nachteilsausgleich_d.pdf</vt:lpwstr>
      </vt:variant>
      <vt:variant>
        <vt:lpwstr/>
      </vt:variant>
      <vt:variant>
        <vt:i4>8192120</vt:i4>
      </vt:variant>
      <vt:variant>
        <vt:i4>12</vt:i4>
      </vt:variant>
      <vt:variant>
        <vt:i4>0</vt:i4>
      </vt:variant>
      <vt:variant>
        <vt:i4>5</vt:i4>
      </vt:variant>
      <vt:variant>
        <vt:lpwstr>https://www.bfs.admin.ch/bfs/de/home/statistiken/bildung-wissenschaft/bildungsindikatoren/themen/bildungserfolg/abschlussquote-sekii.assetdetail.28905353.html</vt:lpwstr>
      </vt:variant>
      <vt:variant>
        <vt:lpwstr/>
      </vt:variant>
      <vt:variant>
        <vt:i4>3145820</vt:i4>
      </vt:variant>
      <vt:variant>
        <vt:i4>9</vt:i4>
      </vt:variant>
      <vt:variant>
        <vt:i4>0</vt:i4>
      </vt:variant>
      <vt:variant>
        <vt:i4>5</vt:i4>
      </vt:variant>
      <vt:variant>
        <vt:lpwstr>mailto:anne.trojanek@ehb.swiss</vt:lpwstr>
      </vt:variant>
      <vt:variant>
        <vt:lpwstr/>
      </vt:variant>
      <vt:variant>
        <vt:i4>589923</vt:i4>
      </vt:variant>
      <vt:variant>
        <vt:i4>6</vt:i4>
      </vt:variant>
      <vt:variant>
        <vt:i4>0</vt:i4>
      </vt:variant>
      <vt:variant>
        <vt:i4>5</vt:i4>
      </vt:variant>
      <vt:variant>
        <vt:lpwstr>mailto:claudia.rapold@ehb.swiss</vt:lpwstr>
      </vt:variant>
      <vt:variant>
        <vt:lpwstr/>
      </vt:variant>
      <vt:variant>
        <vt:i4>4325420</vt:i4>
      </vt:variant>
      <vt:variant>
        <vt:i4>3</vt:i4>
      </vt:variant>
      <vt:variant>
        <vt:i4>0</vt:i4>
      </vt:variant>
      <vt:variant>
        <vt:i4>5</vt:i4>
      </vt:variant>
      <vt:variant>
        <vt:lpwstr>mailto:rene.wuethrich@ehb.swiss</vt:lpwstr>
      </vt:variant>
      <vt:variant>
        <vt:lpwstr/>
      </vt:variant>
      <vt:variant>
        <vt:i4>7209066</vt:i4>
      </vt:variant>
      <vt:variant>
        <vt:i4>0</vt:i4>
      </vt:variant>
      <vt:variant>
        <vt:i4>0</vt:i4>
      </vt:variant>
      <vt:variant>
        <vt:i4>5</vt:i4>
      </vt:variant>
      <vt:variant>
        <vt:lpwstr>https://doi.org/10.57161/z20xx-yy-</vt:lpwstr>
      </vt:variant>
      <vt:variant>
        <vt:lpwstr/>
      </vt:variant>
      <vt:variant>
        <vt:i4>4718642</vt:i4>
      </vt:variant>
      <vt:variant>
        <vt:i4>6</vt:i4>
      </vt:variant>
      <vt:variant>
        <vt:i4>0</vt:i4>
      </vt:variant>
      <vt:variant>
        <vt:i4>5</vt:i4>
      </vt:variant>
      <vt:variant>
        <vt:lpwstr>https://www.ehb.swiss/sites/default/files/styles/original_max_3000/public/media/image/2022-11/Rapold_Claudia.jpg</vt:lpwstr>
      </vt:variant>
      <vt:variant>
        <vt:lpwstr/>
      </vt:variant>
      <vt:variant>
        <vt:i4>6553604</vt:i4>
      </vt:variant>
      <vt:variant>
        <vt:i4>3</vt:i4>
      </vt:variant>
      <vt:variant>
        <vt:i4>0</vt:i4>
      </vt:variant>
      <vt:variant>
        <vt:i4>5</vt:i4>
      </vt:variant>
      <vt:variant>
        <vt:lpwstr>https://www.ehb.swiss/sites/default/files/styles/original_max_3000/public/media/image/2023-09/Trojanek_Anne.jpg</vt:lpwstr>
      </vt:variant>
      <vt:variant>
        <vt:lpwstr/>
      </vt:variant>
      <vt:variant>
        <vt:i4>6160420</vt:i4>
      </vt:variant>
      <vt:variant>
        <vt:i4>0</vt:i4>
      </vt:variant>
      <vt:variant>
        <vt:i4>0</vt:i4>
      </vt:variant>
      <vt:variant>
        <vt:i4>5</vt:i4>
      </vt:variant>
      <vt:variant>
        <vt:lpwstr>https://www.ehb.swiss/sites/default/files/styles/original_max_3000/public/media/image/2023-05/Rene_Wuethrich.jpg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Nachteilsausgleich als Schlüssel zu mehr Chancengleichheit in der inklusiven Berufsbildung_x000d_</dc:title>
  <dc:creator>René Wüthrich; Claudia Rapold;Anne Trojanek_x000d_</dc:creator>
  <cp:keywords>Nachteilsausgleich, berufliche Grundbildung, Berufsbildung, duales System, Lernorte / compensation des désavantages, formation professionnelle initiale, formation professionnelle, système dual, lieu de formation</cp:keywords>
  <cp:lastModifiedBy>Schnyder, Silvia</cp:lastModifiedBy>
  <cp:revision>41</cp:revision>
  <cp:lastPrinted>2024-09-24T12:07:00Z</cp:lastPrinted>
  <dcterms:created xsi:type="dcterms:W3CDTF">2024-09-12T06:46:00Z</dcterms:created>
  <dcterms:modified xsi:type="dcterms:W3CDTF">2024-10-08T08:11:00Z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4" name="ZOTERO_PREF_2">
    <vt:lpwstr>JournalAbbreviations" value="true"/&gt;&lt;/prefs&gt;&lt;/data&gt;</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6"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7"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8" name="ZOTERO_BREF_LJpYRCftHTcs_4">
    <vt:lpwstr>ate-parts":[["2010"]]},"citation-key":"bourke-taylorImpactCaringSchoolaged2010"}}],"schema":"https://github.com/citation-style-language/schema/raw/master/csl-citation.json"}</vt:lpwstr>
  </property>
  <property fmtid="{D5CDD505-2E9C-101B-9397-08002B2CF9AE}" pid="29" name="ZOTERO_BREF_0lLwaBULNIz3_1">
    <vt:lpwstr>ZOTERO_BIBL {"uncited":[],"omitted":[],"custom":[]} CSL_BIBLIOGRAPHY</vt:lpwstr>
  </property>
  <property fmtid="{D5CDD505-2E9C-101B-9397-08002B2CF9AE}" pid="30" name="ContentTypeId">
    <vt:lpwstr>0x010100C27681858B7D484080A6C8E6830BC98C</vt:lpwstr>
  </property>
</Properties>
</file>