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C43C" w14:textId="7E62687D" w:rsidR="001114E2" w:rsidRPr="0020358C" w:rsidRDefault="00134C35" w:rsidP="00FF2E2B">
      <w:pPr>
        <w:pStyle w:val="Titel"/>
      </w:pPr>
      <w:r w:rsidRPr="00134C35">
        <w:t xml:space="preserve">Herausfordernde Verhaltensweisen von Erwachsenen mit </w:t>
      </w:r>
      <w:r w:rsidRPr="00134C35">
        <w:rPr>
          <w:noProof/>
        </w:rPr>
        <w:t>kognitiven</w:t>
      </w:r>
      <w:r w:rsidRPr="00134C35">
        <w:t xml:space="preserve"> Beeinträchtigungen erfordern Anpassungen</w:t>
      </w:r>
    </w:p>
    <w:p w14:paraId="61A116B9" w14:textId="5427F1EE" w:rsidR="001114E2" w:rsidRPr="0020358C" w:rsidRDefault="00DB3099" w:rsidP="002E5374">
      <w:pPr>
        <w:pStyle w:val="Untertitel"/>
        <w:rPr>
          <w:rFonts w:cs="Open Sans SemiCondensed"/>
        </w:rPr>
      </w:pPr>
      <w:r w:rsidRPr="00DB3099">
        <w:rPr>
          <w:rFonts w:cs="Open Sans SemiCondensed"/>
        </w:rPr>
        <w:t>Ergebnisse einer SNF-Studie</w:t>
      </w:r>
    </w:p>
    <w:p w14:paraId="7BF1AABE" w14:textId="198EBDF3" w:rsidR="001114E2" w:rsidRPr="004A560F" w:rsidRDefault="00DB3099" w:rsidP="006C2B84">
      <w:pPr>
        <w:pStyle w:val="Author"/>
        <w:rPr>
          <w:rFonts w:cs="Open Sans SemiCondensed"/>
          <w:lang w:val="de-CH"/>
        </w:rPr>
      </w:pPr>
      <w:r w:rsidRPr="004A560F">
        <w:rPr>
          <w:rFonts w:cs="Open Sans SemiCondensed"/>
          <w:lang w:val="de-CH"/>
        </w:rPr>
        <w:t xml:space="preserve">Natalie </w:t>
      </w:r>
      <w:proofErr w:type="spellStart"/>
      <w:r w:rsidRPr="004A560F">
        <w:rPr>
          <w:rFonts w:cs="Open Sans SemiCondensed"/>
          <w:lang w:val="de-CH"/>
        </w:rPr>
        <w:t>Zambrino</w:t>
      </w:r>
      <w:proofErr w:type="spellEnd"/>
      <w:r w:rsidRPr="004A560F">
        <w:rPr>
          <w:rFonts w:cs="Open Sans SemiCondensed"/>
          <w:lang w:val="de-CH"/>
        </w:rPr>
        <w:t xml:space="preserve">, Eva </w:t>
      </w:r>
      <w:proofErr w:type="spellStart"/>
      <w:r w:rsidRPr="004A560F">
        <w:rPr>
          <w:rFonts w:cs="Open Sans SemiCondensed"/>
          <w:lang w:val="de-CH"/>
        </w:rPr>
        <w:t>Büschi</w:t>
      </w:r>
      <w:proofErr w:type="spellEnd"/>
      <w:r w:rsidRPr="004A560F">
        <w:rPr>
          <w:rFonts w:cs="Open Sans SemiCondensed"/>
          <w:lang w:val="de-CH"/>
        </w:rPr>
        <w:t xml:space="preserve"> und Stefania Calabrese</w:t>
      </w:r>
    </w:p>
    <w:p w14:paraId="718C168A" w14:textId="46863861" w:rsidR="00DB3099" w:rsidRDefault="00985126" w:rsidP="000352CE">
      <w:pPr>
        <w:pStyle w:val="Abstract"/>
        <w:rPr>
          <w:rFonts w:cs="Open Sans SemiCondensed"/>
        </w:rPr>
      </w:pPr>
      <w:r w:rsidRPr="00237079">
        <w:rPr>
          <w:rFonts w:cs="Open Sans SemiCondensed"/>
        </w:rPr>
        <w:t>Zusammenfassung</w:t>
      </w:r>
      <w:bookmarkStart w:id="0" w:name="_Hlk149550879"/>
      <w:r w:rsidR="00E7780E" w:rsidRPr="00237079">
        <w:rPr>
          <w:rFonts w:cs="Open Sans SemiCondensed"/>
        </w:rPr>
        <w:br/>
      </w:r>
      <w:bookmarkEnd w:id="0"/>
      <w:r w:rsidR="00DB3099" w:rsidRPr="00DB3099">
        <w:rPr>
          <w:rFonts w:cs="Open Sans SemiCondensed"/>
        </w:rPr>
        <w:t>In Institutionen des Behindertenbereichs treten oft herausfordernde Verhaltensweisen von Erwachsenen mit kognitiven Beeinträchtigungen auf. In diesem Artikel werden ausgewählte Ergebnisse der SNF-Studie «Herausfordernde Verhaltensweisen von Erwachsenen mit kognitiven Beeinträchtigungen in Institutionen des Behindertenbereiches in der Schweiz» präsentiert. Eine schriftliche Befragung von 172 Leitungspersonen dieser Institutionen ergab, dass knapp 60 Prozent in ihrer Institution Anpassungen bedingt durch die herausfordernden Verhaltensweisen dieser Klientel vorgenommen haben. Die meistgenannten Anpassungen waren struktureller Art und mit vergleichsweise hohem Ressourcenaufwand verbunden.</w:t>
      </w:r>
    </w:p>
    <w:p w14:paraId="4763A30E" w14:textId="4B55169C" w:rsidR="009C613E" w:rsidRPr="000A2BC9" w:rsidRDefault="009C613E" w:rsidP="009C613E">
      <w:pPr>
        <w:pStyle w:val="Abstract"/>
        <w:rPr>
          <w:lang w:val="fr-CH"/>
        </w:rPr>
      </w:pPr>
      <w:r w:rsidRPr="000A2BC9">
        <w:rPr>
          <w:lang w:val="fr-CH"/>
        </w:rPr>
        <w:t>Résumé</w:t>
      </w:r>
      <w:r w:rsidRPr="000A2BC9">
        <w:rPr>
          <w:rFonts w:cs="Open Sans SemiCondensed"/>
          <w:lang w:val="fr-CH"/>
        </w:rPr>
        <w:br/>
      </w:r>
      <w:r w:rsidR="000A2BC9" w:rsidRPr="00BB06F4">
        <w:rPr>
          <w:lang w:val="fr-CH"/>
        </w:rPr>
        <w:t>Les institutions</w:t>
      </w:r>
      <w:r w:rsidR="000A2BC9">
        <w:rPr>
          <w:lang w:val="fr-CH"/>
        </w:rPr>
        <w:t xml:space="preserve"> spécialisées</w:t>
      </w:r>
      <w:r w:rsidR="000A2BC9" w:rsidRPr="00BB06F4">
        <w:rPr>
          <w:lang w:val="fr-CH"/>
        </w:rPr>
        <w:t xml:space="preserve"> sont souvent confrontées à des comportements</w:t>
      </w:r>
      <w:r w:rsidR="000A2BC9">
        <w:rPr>
          <w:lang w:val="fr-CH"/>
        </w:rPr>
        <w:t xml:space="preserve">-défis </w:t>
      </w:r>
      <w:r w:rsidR="000A2BC9" w:rsidRPr="00BB06F4">
        <w:rPr>
          <w:lang w:val="fr-CH"/>
        </w:rPr>
        <w:t xml:space="preserve">de la part d'adultes </w:t>
      </w:r>
      <w:r w:rsidR="000A2BC9">
        <w:rPr>
          <w:lang w:val="fr-CH"/>
        </w:rPr>
        <w:t>ayant une déficience intellectuelle</w:t>
      </w:r>
      <w:r w:rsidR="000A2BC9" w:rsidRPr="00BB06F4">
        <w:rPr>
          <w:lang w:val="fr-CH"/>
        </w:rPr>
        <w:t>. Cet article présente une sélection de résultats de l'</w:t>
      </w:r>
      <w:r w:rsidR="000A2BC9">
        <w:rPr>
          <w:lang w:val="fr-CH"/>
        </w:rPr>
        <w:t xml:space="preserve">enquête </w:t>
      </w:r>
      <w:r w:rsidR="000A2BC9" w:rsidRPr="00BB06F4">
        <w:rPr>
          <w:lang w:val="fr-CH"/>
        </w:rPr>
        <w:t>du FNS</w:t>
      </w:r>
      <w:r w:rsidR="000A2BC9">
        <w:rPr>
          <w:lang w:val="fr-CH"/>
        </w:rPr>
        <w:t xml:space="preserve"> « </w:t>
      </w:r>
      <w:r w:rsidR="000A2BC9" w:rsidRPr="00AF582C">
        <w:rPr>
          <w:lang w:val="fr-CH"/>
        </w:rPr>
        <w:t>Les comportements</w:t>
      </w:r>
      <w:r w:rsidR="000A2BC9">
        <w:rPr>
          <w:lang w:val="fr-CH"/>
        </w:rPr>
        <w:t>-</w:t>
      </w:r>
      <w:r w:rsidR="000A2BC9" w:rsidRPr="00AF582C">
        <w:rPr>
          <w:lang w:val="fr-CH"/>
        </w:rPr>
        <w:t>défis des adultes présentant une déficience intellectuelle dans les institutions suisses pour les personnes en situation de handicap</w:t>
      </w:r>
      <w:r w:rsidR="000A2BC9">
        <w:rPr>
          <w:lang w:val="fr-CH"/>
        </w:rPr>
        <w:t xml:space="preserve"> » [traduction libre]. </w:t>
      </w:r>
      <w:r w:rsidR="000A2BC9" w:rsidRPr="00BB06F4">
        <w:rPr>
          <w:lang w:val="fr-CH"/>
        </w:rPr>
        <w:t>Une enquête menée</w:t>
      </w:r>
      <w:r w:rsidR="000A2BC9">
        <w:rPr>
          <w:lang w:val="fr-CH"/>
        </w:rPr>
        <w:t xml:space="preserve"> </w:t>
      </w:r>
      <w:r w:rsidR="000A2BC9" w:rsidRPr="00BB06F4">
        <w:rPr>
          <w:lang w:val="fr-CH"/>
        </w:rPr>
        <w:t xml:space="preserve">auprès de 172 </w:t>
      </w:r>
      <w:r w:rsidR="000A2BC9">
        <w:rPr>
          <w:lang w:val="fr-CH"/>
        </w:rPr>
        <w:t xml:space="preserve">personnes </w:t>
      </w:r>
      <w:r w:rsidR="000A2BC9" w:rsidRPr="00BB06F4">
        <w:rPr>
          <w:lang w:val="fr-CH"/>
        </w:rPr>
        <w:t>responsables d</w:t>
      </w:r>
      <w:r w:rsidR="000A2BC9">
        <w:rPr>
          <w:lang w:val="fr-CH"/>
        </w:rPr>
        <w:t>’</w:t>
      </w:r>
      <w:r w:rsidR="000A2BC9" w:rsidRPr="00BB06F4">
        <w:rPr>
          <w:lang w:val="fr-CH"/>
        </w:rPr>
        <w:t>institution a révélé que près de 60</w:t>
      </w:r>
      <w:r w:rsidR="000A2BC9">
        <w:rPr>
          <w:lang w:val="fr-CH"/>
        </w:rPr>
        <w:t> </w:t>
      </w:r>
      <w:r w:rsidR="000A2BC9" w:rsidRPr="00BB06F4">
        <w:rPr>
          <w:lang w:val="fr-CH"/>
        </w:rPr>
        <w:t xml:space="preserve">% d'entre </w:t>
      </w:r>
      <w:r w:rsidR="000A2BC9">
        <w:rPr>
          <w:lang w:val="fr-CH"/>
        </w:rPr>
        <w:t>elles</w:t>
      </w:r>
      <w:r w:rsidR="000A2BC9" w:rsidRPr="00BB06F4">
        <w:rPr>
          <w:lang w:val="fr-CH"/>
        </w:rPr>
        <w:t xml:space="preserve"> ont procédé à des a</w:t>
      </w:r>
      <w:r w:rsidR="000A2BC9">
        <w:rPr>
          <w:lang w:val="fr-CH"/>
        </w:rPr>
        <w:t>ménagements</w:t>
      </w:r>
      <w:r w:rsidR="000A2BC9" w:rsidRPr="00BB06F4">
        <w:rPr>
          <w:lang w:val="fr-CH"/>
        </w:rPr>
        <w:t xml:space="preserve"> dans leur institution en raison de comportements</w:t>
      </w:r>
      <w:r w:rsidR="000A2BC9">
        <w:rPr>
          <w:lang w:val="fr-CH"/>
        </w:rPr>
        <w:t>-</w:t>
      </w:r>
      <w:r w:rsidR="000A2BC9" w:rsidRPr="00BB06F4">
        <w:rPr>
          <w:lang w:val="fr-CH"/>
        </w:rPr>
        <w:t>d</w:t>
      </w:r>
      <w:r w:rsidR="000A2BC9">
        <w:rPr>
          <w:lang w:val="fr-CH"/>
        </w:rPr>
        <w:t>éfis</w:t>
      </w:r>
      <w:r w:rsidR="000A2BC9" w:rsidRPr="00BB06F4">
        <w:rPr>
          <w:lang w:val="fr-CH"/>
        </w:rPr>
        <w:t xml:space="preserve"> de cette clientèle. Les </w:t>
      </w:r>
      <w:r w:rsidR="000A2BC9">
        <w:rPr>
          <w:lang w:val="fr-CH"/>
        </w:rPr>
        <w:t>aménagements</w:t>
      </w:r>
      <w:r w:rsidR="000A2BC9" w:rsidRPr="00BB06F4">
        <w:rPr>
          <w:lang w:val="fr-CH"/>
        </w:rPr>
        <w:t xml:space="preserve"> les plus souvent cités étaient de nature structurelle et </w:t>
      </w:r>
      <w:r w:rsidR="000A2BC9">
        <w:rPr>
          <w:lang w:val="fr-CH"/>
        </w:rPr>
        <w:t xml:space="preserve">ont </w:t>
      </w:r>
      <w:r w:rsidR="000A2BC9" w:rsidRPr="00BB06F4">
        <w:rPr>
          <w:lang w:val="fr-CH"/>
        </w:rPr>
        <w:t>nécessit</w:t>
      </w:r>
      <w:r w:rsidR="000A2BC9">
        <w:rPr>
          <w:lang w:val="fr-CH"/>
        </w:rPr>
        <w:t>é</w:t>
      </w:r>
      <w:r w:rsidR="000A2BC9" w:rsidRPr="00BB06F4">
        <w:rPr>
          <w:lang w:val="fr-CH"/>
        </w:rPr>
        <w:t xml:space="preserve"> des ressources relativement importantes.</w:t>
      </w:r>
    </w:p>
    <w:p w14:paraId="32E12BDF" w14:textId="6208E451" w:rsidR="00EA4676" w:rsidRPr="00AA2261" w:rsidRDefault="00EA4676" w:rsidP="00C678D9">
      <w:pPr>
        <w:pStyle w:val="Textkrper3"/>
        <w:rPr>
          <w:lang w:val="fr-CH"/>
        </w:rPr>
      </w:pPr>
      <w:proofErr w:type="gramStart"/>
      <w:r w:rsidRPr="00AA2261">
        <w:rPr>
          <w:rStyle w:val="Fett"/>
          <w:rFonts w:cs="Open Sans SemiCondensed"/>
          <w:lang w:val="fr-CH"/>
        </w:rPr>
        <w:t>Keywords</w:t>
      </w:r>
      <w:r w:rsidRPr="00AA2261">
        <w:rPr>
          <w:lang w:val="fr-CH"/>
        </w:rPr>
        <w:t>:</w:t>
      </w:r>
      <w:proofErr w:type="gramEnd"/>
      <w:r w:rsidRPr="00AA2261">
        <w:rPr>
          <w:lang w:val="fr-CH"/>
        </w:rPr>
        <w:t xml:space="preserve"> </w:t>
      </w:r>
      <w:proofErr w:type="spellStart"/>
      <w:r w:rsidR="005763F3" w:rsidRPr="00B12976">
        <w:rPr>
          <w:lang w:val="fr-CH"/>
        </w:rPr>
        <w:t>Verhaltensauffälligkeit</w:t>
      </w:r>
      <w:proofErr w:type="spellEnd"/>
      <w:r w:rsidR="005763F3" w:rsidRPr="00B12976">
        <w:rPr>
          <w:lang w:val="fr-CH"/>
        </w:rPr>
        <w:t xml:space="preserve">, </w:t>
      </w:r>
      <w:proofErr w:type="spellStart"/>
      <w:r w:rsidR="005763F3" w:rsidRPr="00B12976">
        <w:rPr>
          <w:lang w:val="fr-CH"/>
        </w:rPr>
        <w:t>kognitive</w:t>
      </w:r>
      <w:proofErr w:type="spellEnd"/>
      <w:r w:rsidR="005763F3" w:rsidRPr="00B12976">
        <w:rPr>
          <w:lang w:val="fr-CH"/>
        </w:rPr>
        <w:t xml:space="preserve"> </w:t>
      </w:r>
      <w:proofErr w:type="spellStart"/>
      <w:r w:rsidR="005763F3" w:rsidRPr="00B12976">
        <w:rPr>
          <w:lang w:val="fr-CH"/>
        </w:rPr>
        <w:t>Beeinträchtigung</w:t>
      </w:r>
      <w:proofErr w:type="spellEnd"/>
      <w:r w:rsidR="005763F3" w:rsidRPr="00B12976">
        <w:rPr>
          <w:lang w:val="fr-CH"/>
        </w:rPr>
        <w:t xml:space="preserve">, </w:t>
      </w:r>
      <w:proofErr w:type="spellStart"/>
      <w:r w:rsidR="005763F3" w:rsidRPr="00B12976">
        <w:rPr>
          <w:lang w:val="fr-CH"/>
        </w:rPr>
        <w:t>Gewalt</w:t>
      </w:r>
      <w:proofErr w:type="spellEnd"/>
      <w:r w:rsidR="005763F3" w:rsidRPr="00B12976">
        <w:rPr>
          <w:lang w:val="fr-CH"/>
        </w:rPr>
        <w:t xml:space="preserve">, </w:t>
      </w:r>
      <w:proofErr w:type="spellStart"/>
      <w:r w:rsidR="005763F3" w:rsidRPr="00B12976">
        <w:rPr>
          <w:lang w:val="fr-CH"/>
        </w:rPr>
        <w:t>Prävention</w:t>
      </w:r>
      <w:proofErr w:type="spellEnd"/>
      <w:r w:rsidR="005763F3" w:rsidRPr="00B12976">
        <w:rPr>
          <w:lang w:val="fr-CH"/>
        </w:rPr>
        <w:t xml:space="preserve">, </w:t>
      </w:r>
      <w:proofErr w:type="spellStart"/>
      <w:r w:rsidR="005763F3" w:rsidRPr="00B12976">
        <w:rPr>
          <w:lang w:val="fr-CH"/>
        </w:rPr>
        <w:t>Erwachsene</w:t>
      </w:r>
      <w:proofErr w:type="spellEnd"/>
      <w:r w:rsidR="005763F3" w:rsidRPr="00B12976">
        <w:rPr>
          <w:lang w:val="fr-CH"/>
        </w:rPr>
        <w:t>, Institution</w:t>
      </w:r>
      <w:r w:rsidR="005763F3" w:rsidRPr="00AA2261">
        <w:rPr>
          <w:lang w:val="fr-CH"/>
        </w:rPr>
        <w:t xml:space="preserve"> / </w:t>
      </w:r>
      <w:r w:rsidR="00DD405C" w:rsidRPr="00AA2261">
        <w:rPr>
          <w:lang w:val="fr-CH"/>
        </w:rPr>
        <w:t xml:space="preserve">troubles du comportement, </w:t>
      </w:r>
      <w:r w:rsidR="00A75DC6" w:rsidRPr="00AA2261">
        <w:rPr>
          <w:lang w:val="fr-CH"/>
        </w:rPr>
        <w:t>déficience intellectuelle, violence</w:t>
      </w:r>
      <w:r w:rsidR="00A75DC6">
        <w:rPr>
          <w:lang w:val="fr-CH"/>
        </w:rPr>
        <w:t xml:space="preserve">, </w:t>
      </w:r>
      <w:r w:rsidR="00A75DC6" w:rsidRPr="00AA2261">
        <w:rPr>
          <w:lang w:val="fr-CH"/>
        </w:rPr>
        <w:t xml:space="preserve">prévention, </w:t>
      </w:r>
      <w:r w:rsidR="005763F3" w:rsidRPr="00AA2261">
        <w:rPr>
          <w:lang w:val="fr-CH"/>
        </w:rPr>
        <w:t>adulte, institution</w:t>
      </w:r>
    </w:p>
    <w:p w14:paraId="5C8338C9" w14:textId="49F92E81" w:rsidR="001E2C34" w:rsidRPr="004815EE" w:rsidRDefault="00EA4676" w:rsidP="00C678D9">
      <w:pPr>
        <w:pStyle w:val="Textkrper3"/>
        <w:rPr>
          <w:rFonts w:cs="Open Sans SemiCondensed"/>
          <w:bCs/>
          <w:iCs/>
          <w:color w:val="CF3649"/>
          <w:lang w:val="fr-CH"/>
        </w:rPr>
      </w:pPr>
      <w:proofErr w:type="gramStart"/>
      <w:r w:rsidRPr="00153133">
        <w:rPr>
          <w:rStyle w:val="Fett"/>
          <w:rFonts w:cs="Open Sans SemiCondensed"/>
          <w:lang w:val="fr-CH"/>
        </w:rPr>
        <w:t>DOI</w:t>
      </w:r>
      <w:r w:rsidRPr="004815EE">
        <w:rPr>
          <w:rFonts w:cs="Open Sans SemiCondensed"/>
          <w:lang w:val="fr-CH"/>
        </w:rPr>
        <w:t>:</w:t>
      </w:r>
      <w:proofErr w:type="gramEnd"/>
      <w:r w:rsidRPr="004815EE">
        <w:rPr>
          <w:rFonts w:cs="Open Sans SemiCondensed"/>
          <w:lang w:val="fr-CH"/>
        </w:rPr>
        <w:t xml:space="preserve"> </w:t>
      </w:r>
      <w:hyperlink r:id="rId11" w:history="1">
        <w:r w:rsidR="001E2C34" w:rsidRPr="00513129">
          <w:rPr>
            <w:rStyle w:val="Hyperlink"/>
            <w:rFonts w:cs="Open Sans SemiCondensed"/>
            <w:lang w:val="fr-CH"/>
          </w:rPr>
          <w:t>https://doi.org/10.57161/z2023-09-</w:t>
        </w:r>
        <w:r w:rsidR="001E2C34" w:rsidRPr="00513129">
          <w:rPr>
            <w:rStyle w:val="Hyperlink"/>
            <w:bCs w:val="0"/>
            <w:iCs w:val="0"/>
            <w:lang w:val="fr-CH"/>
          </w:rPr>
          <w:t>06</w:t>
        </w:r>
      </w:hyperlink>
    </w:p>
    <w:p w14:paraId="192E9274" w14:textId="6500A6B2" w:rsidR="001161D6" w:rsidRPr="00EC61B0" w:rsidRDefault="001161D6" w:rsidP="00C678D9">
      <w:pPr>
        <w:pStyle w:val="Textkrper3"/>
      </w:pPr>
      <w:r w:rsidRPr="00153133">
        <w:t xml:space="preserve">Schweizerische Zeitschrift für Heilpädagogik, Jg. </w:t>
      </w:r>
      <w:r w:rsidR="0089274E">
        <w:t>29</w:t>
      </w:r>
      <w:r w:rsidRPr="00EC61B0">
        <w:t xml:space="preserve">, </w:t>
      </w:r>
      <w:r w:rsidR="0089274E">
        <w:t>09</w:t>
      </w:r>
      <w:r w:rsidRPr="00EC61B0">
        <w:t>/</w:t>
      </w:r>
      <w:r w:rsidR="0089274E">
        <w:t>2023</w:t>
      </w:r>
    </w:p>
    <w:p w14:paraId="3E9419AA" w14:textId="05C3292B" w:rsidR="00134C35" w:rsidRPr="0090013D" w:rsidRDefault="000E6A66" w:rsidP="00856BD6">
      <w:pPr>
        <w:pStyle w:val="Textkrper3"/>
        <w:rPr>
          <w:rFonts w:asciiTheme="minorHAnsi" w:hAnsiTheme="minorHAnsi" w:cstheme="minorHAnsi"/>
          <w:b/>
          <w:sz w:val="24"/>
          <w:szCs w:val="24"/>
        </w:rPr>
      </w:pPr>
      <w:r w:rsidRPr="00153133">
        <w:rPr>
          <w:noProof/>
        </w:rPr>
        <w:drawing>
          <wp:inline distT="0" distB="0" distL="0" distR="0" wp14:anchorId="301AD5FA" wp14:editId="108FB542">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bookmarkStart w:id="1" w:name="heading-1"/>
    </w:p>
    <w:p w14:paraId="1A6FB639" w14:textId="77777777" w:rsidR="00134C35" w:rsidRPr="00360863" w:rsidRDefault="00134C35" w:rsidP="00856BD6">
      <w:pPr>
        <w:pStyle w:val="berschrift1"/>
      </w:pPr>
      <w:r>
        <w:t>Wechselwirkungen zwischen Umwelt und Individuum</w:t>
      </w:r>
    </w:p>
    <w:p w14:paraId="4AAE6207" w14:textId="092B1293" w:rsidR="00134C35" w:rsidRPr="007A66B0" w:rsidRDefault="00134C35" w:rsidP="00064718">
      <w:pPr>
        <w:pStyle w:val="Textkrper"/>
        <w:ind w:firstLine="0"/>
      </w:pPr>
      <w:r>
        <w:t xml:space="preserve">Der Begriff </w:t>
      </w:r>
      <w:bookmarkStart w:id="2" w:name="_Hlk146525538"/>
      <w:r w:rsidRPr="00AB0DFB">
        <w:rPr>
          <w:i/>
          <w:iCs/>
        </w:rPr>
        <w:t>herausfordernde Verhaltensweisen</w:t>
      </w:r>
      <w:r>
        <w:t xml:space="preserve"> </w:t>
      </w:r>
      <w:bookmarkEnd w:id="2"/>
      <w:r>
        <w:t>(HEVE) steht für diverse Verhaltensweisen, die regelmässig und mit einer gewissen Intensität über einen längeren Zeitraum auftreten. Diese werden von der Person, die sie zeigt oder deren Umfeld als sozial oder kulturell unerwünscht wahrgenommen (</w:t>
      </w:r>
      <w:proofErr w:type="spellStart"/>
      <w:r w:rsidRPr="00BF27ED">
        <w:t>Büschi</w:t>
      </w:r>
      <w:proofErr w:type="spellEnd"/>
      <w:r w:rsidRPr="00BF27ED">
        <w:t xml:space="preserve"> &amp; Calabrese, 2021</w:t>
      </w:r>
      <w:r>
        <w:t xml:space="preserve">). Beispiele dafür sind Selbst- und Fremdverletzungen, Sachbeschädigungen oder Rückzugstendenzen. Menschen mit kognitiven Beeinträchtigungen zeigen häufiger </w:t>
      </w:r>
      <w:r w:rsidRPr="001A0F7A">
        <w:t xml:space="preserve">herausfordernde Verhaltensweisen </w:t>
      </w:r>
      <w:r>
        <w:t>als Menschen ohne Beeinträchtigung</w:t>
      </w:r>
      <w:r w:rsidR="00877A37">
        <w:t>en</w:t>
      </w:r>
      <w:r>
        <w:t xml:space="preserve">. In diesem Punkt sind sich verschiedene </w:t>
      </w:r>
      <w:proofErr w:type="spellStart"/>
      <w:r>
        <w:t>Forscher:innen</w:t>
      </w:r>
      <w:proofErr w:type="spellEnd"/>
      <w:r>
        <w:t xml:space="preserve"> einig (</w:t>
      </w:r>
      <w:r w:rsidRPr="00B01BE3">
        <w:t>Theunissen, 2021; Schanze</w:t>
      </w:r>
      <w:r>
        <w:t xml:space="preserve"> et al.</w:t>
      </w:r>
      <w:r w:rsidRPr="00B01BE3">
        <w:t xml:space="preserve">, 2014; Weber Long, 2014; </w:t>
      </w:r>
      <w:proofErr w:type="spellStart"/>
      <w:r w:rsidRPr="00B01BE3">
        <w:t>Luiselli</w:t>
      </w:r>
      <w:proofErr w:type="spellEnd"/>
      <w:r w:rsidRPr="00B01BE3">
        <w:t xml:space="preserve">, 2012; </w:t>
      </w:r>
      <w:proofErr w:type="spellStart"/>
      <w:r w:rsidRPr="00B01BE3">
        <w:t>Došen</w:t>
      </w:r>
      <w:proofErr w:type="spellEnd"/>
      <w:r w:rsidRPr="00B01BE3">
        <w:t xml:space="preserve"> 1997).</w:t>
      </w:r>
      <w:r w:rsidRPr="00BF27ED">
        <w:t xml:space="preserve"> </w:t>
      </w:r>
      <w:r>
        <w:t>D</w:t>
      </w:r>
      <w:r w:rsidRPr="007A66B0">
        <w:t>arüber hinaus l</w:t>
      </w:r>
      <w:r>
        <w:t xml:space="preserve">ässt sich über die Prävalenz von herausfordernden Verhaltensweisen bei </w:t>
      </w:r>
      <w:r w:rsidRPr="005D17EC">
        <w:t xml:space="preserve">Menschen mit kognitiven Beeinträchtigungen </w:t>
      </w:r>
      <w:r>
        <w:t>aber nur begrenzt Einigkeit feststellen. Es finden sich Prävalenzangaben von 10 bis 15 Prozent</w:t>
      </w:r>
      <w:r w:rsidRPr="00B01BE3">
        <w:t xml:space="preserve"> (Emerson &amp; Hatton, 2014), 15 bis 17</w:t>
      </w:r>
      <w:r>
        <w:t>,</w:t>
      </w:r>
      <w:r w:rsidRPr="00B01BE3">
        <w:t>5</w:t>
      </w:r>
      <w:r>
        <w:t> Prozent</w:t>
      </w:r>
      <w:r w:rsidRPr="00B01BE3">
        <w:t xml:space="preserve"> (</w:t>
      </w:r>
      <w:proofErr w:type="spellStart"/>
      <w:r w:rsidRPr="00B01BE3">
        <w:t>Koritsas</w:t>
      </w:r>
      <w:proofErr w:type="spellEnd"/>
      <w:r w:rsidRPr="00B01BE3">
        <w:t xml:space="preserve"> &amp; </w:t>
      </w:r>
      <w:proofErr w:type="spellStart"/>
      <w:r w:rsidRPr="00B01BE3">
        <w:t>Iacono</w:t>
      </w:r>
      <w:proofErr w:type="spellEnd"/>
      <w:r w:rsidRPr="00B01BE3">
        <w:t>, 2012) oder 10 bis 52</w:t>
      </w:r>
      <w:r>
        <w:t> Prozent</w:t>
      </w:r>
      <w:r w:rsidRPr="00B01BE3">
        <w:t xml:space="preserve"> (</w:t>
      </w:r>
      <w:proofErr w:type="spellStart"/>
      <w:r w:rsidRPr="00B01BE3">
        <w:t>Matson</w:t>
      </w:r>
      <w:proofErr w:type="spellEnd"/>
      <w:r w:rsidRPr="00B01BE3">
        <w:t xml:space="preserve"> &amp; Kozlowski</w:t>
      </w:r>
      <w:r>
        <w:t>,</w:t>
      </w:r>
      <w:r w:rsidRPr="00B01BE3">
        <w:t xml:space="preserve"> 2012).</w:t>
      </w:r>
      <w:r>
        <w:t xml:space="preserve"> Diese teilweise grossen Differenzen lassen sich begründen durch ein unterschiedliches Verständnis von herausfordernden Verhaltensweisen und darauf basierend kaum vergleichbaren </w:t>
      </w:r>
      <w:proofErr w:type="spellStart"/>
      <w:r>
        <w:t>Samplingkriterien</w:t>
      </w:r>
      <w:proofErr w:type="spellEnd"/>
      <w:r>
        <w:t>. Die diesem Artikel zugrunde liegende SNF-Studie</w:t>
      </w:r>
      <w:r>
        <w:rPr>
          <w:rStyle w:val="Funotenzeichen"/>
          <w:rFonts w:asciiTheme="minorHAnsi" w:hAnsiTheme="minorHAnsi" w:cstheme="minorHAnsi"/>
          <w:sz w:val="24"/>
          <w:szCs w:val="24"/>
        </w:rPr>
        <w:footnoteReference w:id="2"/>
      </w:r>
      <w:r>
        <w:t xml:space="preserve"> ergab eine Prävalenz von 28,2 Prozent von Erwachsenen mit kognitiven Beeinträchtigun</w:t>
      </w:r>
      <w:r w:rsidR="005D618E">
        <w:softHyphen/>
      </w:r>
      <w:r>
        <w:lastRenderedPageBreak/>
        <w:t xml:space="preserve">gen, die </w:t>
      </w:r>
      <w:r w:rsidRPr="00A90CA2">
        <w:t xml:space="preserve">herausfordernde Verhaltensweisen </w:t>
      </w:r>
      <w:r>
        <w:t>zeigen und in einem institutionellen Kontext leben (Lustenberger et al., 2019)</w:t>
      </w:r>
      <w:r w:rsidR="00877A37">
        <w:t>.</w:t>
      </w:r>
      <w:r>
        <w:rPr>
          <w:rStyle w:val="Funotenzeichen"/>
          <w:rFonts w:asciiTheme="minorHAnsi" w:hAnsiTheme="minorHAnsi" w:cstheme="minorHAnsi"/>
          <w:sz w:val="24"/>
          <w:szCs w:val="24"/>
        </w:rPr>
        <w:footnoteReference w:id="3"/>
      </w:r>
      <w:r>
        <w:t xml:space="preserve"> H</w:t>
      </w:r>
      <w:r w:rsidRPr="00A90CA2">
        <w:t>erausfordernde Verhaltensweisen</w:t>
      </w:r>
      <w:r>
        <w:t xml:space="preserve"> sind folglich für Institutionen eine ernst zu nehmende Thematik.</w:t>
      </w:r>
    </w:p>
    <w:p w14:paraId="1EF37EA9" w14:textId="3741EBF6" w:rsidR="00134C35" w:rsidRDefault="00EB3068" w:rsidP="00781DE1">
      <w:pPr>
        <w:pStyle w:val="Textkrper"/>
      </w:pPr>
      <w:r w:rsidRPr="000375AD">
        <w:rPr>
          <w:noProof/>
          <w:lang w:val="de-DE" w:eastAsia="de-DE"/>
        </w:rPr>
        <mc:AlternateContent>
          <mc:Choice Requires="wps">
            <w:drawing>
              <wp:anchor distT="45720" distB="45720" distL="46990" distR="46990" simplePos="0" relativeHeight="251658240" behindDoc="0" locked="0" layoutInCell="1" allowOverlap="0" wp14:anchorId="37BF65EE" wp14:editId="7DD35D74">
                <wp:simplePos x="0" y="0"/>
                <wp:positionH relativeFrom="page">
                  <wp:align>left</wp:align>
                </wp:positionH>
                <wp:positionV relativeFrom="paragraph">
                  <wp:posOffset>2760980</wp:posOffset>
                </wp:positionV>
                <wp:extent cx="5175250" cy="510540"/>
                <wp:effectExtent l="0" t="0" r="0" b="3810"/>
                <wp:wrapTopAndBottom/>
                <wp:docPr id="1798563370" name="Zone de texte 17985633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5A058675" w14:textId="28F6383A" w:rsidR="000375AD" w:rsidRPr="00DD046D" w:rsidRDefault="000375AD" w:rsidP="000375AD">
                            <w:pPr>
                              <w:pStyle w:val="Hervorhebung1"/>
                            </w:pPr>
                            <w:r w:rsidRPr="000375AD">
                              <w:t xml:space="preserve">Schweizweit leben zwei Drittel der Erwachsenen mit einer kognitiven </w:t>
                            </w:r>
                            <w:r w:rsidRPr="000375AD">
                              <w:rPr>
                                <w:noProof/>
                              </w:rPr>
                              <w:t>Beeinträchtigung</w:t>
                            </w:r>
                            <w:r w:rsidRPr="000375AD">
                              <w:t xml:space="preserve"> in einem institutionellen Kontext.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F65EE" id="_x0000_t202" coordsize="21600,21600" o:spt="202" path="m,l,21600r21600,l21600,xe">
                <v:stroke joinstyle="miter"/>
                <v:path gradientshapeok="t" o:connecttype="rect"/>
              </v:shapetype>
              <v:shape id="Zone de texte 1798563370" o:spid="_x0000_s1026" type="#_x0000_t202" alt="&quot;&quot;" style="position:absolute;left:0;text-align:left;margin-left:0;margin-top:217.4pt;width:407.5pt;height:40.2pt;z-index:25165824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" o:allowoverlap="f" filled="f" stroked="f">
                <v:textbox inset="29mm,,2.5mm">
                  <w:txbxContent>
                    <w:p w14:paraId="5A058675" w14:textId="28F6383A" w:rsidR="000375AD" w:rsidRPr="00DD046D" w:rsidRDefault="000375AD" w:rsidP="000375AD">
                      <w:pPr>
                        <w:pStyle w:val="Hervorhebung1"/>
                      </w:pPr>
                      <w:r w:rsidRPr="000375AD">
                        <w:t xml:space="preserve">Schweizweit leben zwei Drittel der Erwachsenen mit einer kognitiven </w:t>
                      </w:r>
                      <w:r w:rsidRPr="000375AD">
                        <w:rPr>
                          <w:noProof/>
                        </w:rPr>
                        <w:t>Beeinträchtigung</w:t>
                      </w:r>
                      <w:r w:rsidRPr="000375AD">
                        <w:t xml:space="preserve"> in einem institutionellen Kontext.</w:t>
                      </w:r>
                    </w:p>
                  </w:txbxContent>
                </v:textbox>
                <w10:wrap type="topAndBottom" anchorx="page"/>
              </v:shape>
            </w:pict>
          </mc:Fallback>
        </mc:AlternateContent>
      </w:r>
      <w:r w:rsidR="00134C35">
        <w:t>In der</w:t>
      </w:r>
      <w:r w:rsidR="00134C35" w:rsidRPr="00360863">
        <w:t xml:space="preserve"> Auseinandersetzung </w:t>
      </w:r>
      <w:r w:rsidR="00134C35">
        <w:t>mit herausfordernden Verhaltensweisen</w:t>
      </w:r>
      <w:r w:rsidR="00134C35" w:rsidRPr="00360863">
        <w:t xml:space="preserve"> </w:t>
      </w:r>
      <w:r w:rsidR="00134C35">
        <w:t>erweist sich</w:t>
      </w:r>
      <w:r w:rsidR="00134C35" w:rsidRPr="00360863">
        <w:t xml:space="preserve"> </w:t>
      </w:r>
      <w:r w:rsidR="00134C35">
        <w:t>eine</w:t>
      </w:r>
      <w:r w:rsidR="00134C35" w:rsidRPr="00360863">
        <w:t xml:space="preserve"> syst</w:t>
      </w:r>
      <w:r w:rsidR="00134C35">
        <w:t>emökologische</w:t>
      </w:r>
      <w:r w:rsidR="00134C35" w:rsidRPr="00360863">
        <w:t xml:space="preserve"> </w:t>
      </w:r>
      <w:r w:rsidR="00134C35">
        <w:t>Betrachtungsweise als sinnvoll:</w:t>
      </w:r>
      <w:r w:rsidR="00134C35" w:rsidRPr="00360863">
        <w:t xml:space="preserve"> </w:t>
      </w:r>
      <w:r w:rsidR="00134C35">
        <w:t>Das gezeigte Verhalten wird in einer dynamischen Wechselwirkung zwischen einem Individuum und seiner Umwelt</w:t>
      </w:r>
      <w:r w:rsidR="00134C35" w:rsidRPr="00C3682E">
        <w:t xml:space="preserve"> </w:t>
      </w:r>
      <w:r w:rsidR="00134C35">
        <w:t xml:space="preserve">verortet. Herausforderndes Verhalten ist somit ein Resultat einer ungünstigen Wechselbeziehung </w:t>
      </w:r>
      <w:r w:rsidR="00941E0E">
        <w:t>zwischen Menschen</w:t>
      </w:r>
      <w:r w:rsidR="00134C35">
        <w:t xml:space="preserve"> und Umwelt. Unter einer systemökologischen Perspektive werden sowohl die Komplexität der Thematik als auch die multifaktoriellen Bedingungen der Verhaltensweisen anerkannt, wodurch eine rein personenbezogene Betrachtung vermieden werden kann. Als Folge dessen rückt die Funktionalität von herausfordernden Verhaltensweisen ins Zentrum. Sowohl deren Ursachen und Auslöser als auch deren aufrechterhaltende Bedingungen werden ergründet (Elbing, 2003; Theunissen, 2021; Calabrese, 2017). Vor diesem Hintergrund und der Tatsache, dass schweizweit zwei Drittel der Erwachsenen mit kognitiven Beeinträchtigung</w:t>
      </w:r>
      <w:r w:rsidR="00AA07E9">
        <w:t>en</w:t>
      </w:r>
      <w:r w:rsidR="00134C35">
        <w:t xml:space="preserve"> in einem institutionellen Kontext leben (Fritschi et al., 2019), wird diese Thematik i</w:t>
      </w:r>
      <w:r w:rsidR="002C6895">
        <w:t xml:space="preserve">m vorliegenden </w:t>
      </w:r>
      <w:r w:rsidR="00134C35">
        <w:t>Beitrag genauer beleuchtet: Wie gehen Institutionen mit diesen Herausforderungen um? Wird die institutionelle Umwelt von Erwachsenen mit kognitiven Beeinträchtigungen, die herausfordernde Verhaltensweisen zeigen, verändert, um ihnen auf adäquatere Weise begegnen zu können? Und wenn ja: Welche Veränderungen erfolgen? Nachfolgend werden diese Fragen beantwortet.</w:t>
      </w:r>
    </w:p>
    <w:p w14:paraId="33973056" w14:textId="0DD8F7E9" w:rsidR="00134C35" w:rsidRDefault="00134C35" w:rsidP="000375AD">
      <w:pPr>
        <w:pStyle w:val="berschrift1"/>
      </w:pPr>
      <w:r>
        <w:t>Institutionelle Anpassungen aufgrund von h</w:t>
      </w:r>
      <w:r w:rsidRPr="00360863">
        <w:t>erausfordernde</w:t>
      </w:r>
      <w:r>
        <w:t>n</w:t>
      </w:r>
      <w:r w:rsidRPr="00360863">
        <w:t xml:space="preserve"> Verhaltensweisen</w:t>
      </w:r>
    </w:p>
    <w:p w14:paraId="4A261900" w14:textId="53178014" w:rsidR="00134C35" w:rsidRPr="00B01BE3" w:rsidRDefault="00134C35" w:rsidP="0084474A">
      <w:pPr>
        <w:pStyle w:val="Textkrper"/>
        <w:ind w:firstLine="0"/>
        <w:rPr>
          <w:b/>
        </w:rPr>
      </w:pPr>
      <w:r w:rsidRPr="00360863">
        <w:t>Die folgenden Ergebnisse stammen aus der ersten Projektphase</w:t>
      </w:r>
      <w:r>
        <w:t xml:space="preserve"> der oben genannten SNF-Studie. Hierfür wurden</w:t>
      </w:r>
      <w:r w:rsidRPr="00360863">
        <w:t xml:space="preserve"> Leitungspersonen von Institutionen für Erwachsene mit kognitiven Beeinträchtigungen befragt. Der schriftliche </w:t>
      </w:r>
      <w:r>
        <w:t>O</w:t>
      </w:r>
      <w:r w:rsidRPr="00360863">
        <w:t>nline</w:t>
      </w:r>
      <w:r>
        <w:t>f</w:t>
      </w:r>
      <w:r w:rsidRPr="00360863">
        <w:t xml:space="preserve">ragebogen wurde an alle </w:t>
      </w:r>
      <w:r>
        <w:t xml:space="preserve">357 </w:t>
      </w:r>
      <w:r w:rsidRPr="00360863">
        <w:t>Institutionen</w:t>
      </w:r>
      <w:r>
        <w:t xml:space="preserve"> in der Schweiz versandt</w:t>
      </w:r>
      <w:r w:rsidRPr="00360863">
        <w:t xml:space="preserve">, </w:t>
      </w:r>
      <w:r>
        <w:t>di</w:t>
      </w:r>
      <w:r w:rsidRPr="00360863">
        <w:t xml:space="preserve">e Wohnmöglichkeiten für </w:t>
      </w:r>
      <w:r>
        <w:t>die beschriebene Klientel</w:t>
      </w:r>
      <w:r w:rsidRPr="00360863">
        <w:t xml:space="preserve"> anbieten. 172 Frageb</w:t>
      </w:r>
      <w:r w:rsidR="00177C4A">
        <w:t>o</w:t>
      </w:r>
      <w:r w:rsidRPr="00360863">
        <w:t>gen wurden ausgefüllt, was einer Rücklaufquote von 48</w:t>
      </w:r>
      <w:r>
        <w:t>,</w:t>
      </w:r>
      <w:r w:rsidRPr="00360863">
        <w:t>2</w:t>
      </w:r>
      <w:r>
        <w:t> Prozent</w:t>
      </w:r>
      <w:r w:rsidRPr="00360863">
        <w:t xml:space="preserve"> entspricht. </w:t>
      </w:r>
      <w:r>
        <w:t xml:space="preserve">Wir präsentieren in diesem Beitrag </w:t>
      </w:r>
      <w:r w:rsidRPr="00360863">
        <w:t xml:space="preserve">ausgewählte Ergebnisse zu Anpassungen, welche </w:t>
      </w:r>
      <w:r>
        <w:t>nach Einschätzung der Leitungspersonen aufgrund von herausfordernden Verhaltensweisen der Klientel</w:t>
      </w:r>
      <w:r w:rsidRPr="00360863">
        <w:t xml:space="preserve"> </w:t>
      </w:r>
      <w:r>
        <w:t>erfolgten</w:t>
      </w:r>
      <w:r w:rsidRPr="00360863">
        <w:t>.</w:t>
      </w:r>
    </w:p>
    <w:p w14:paraId="3299F2F6" w14:textId="4E4E0BB5" w:rsidR="00134C35" w:rsidRDefault="00134C35" w:rsidP="0084474A">
      <w:pPr>
        <w:pStyle w:val="Textkrper"/>
      </w:pPr>
      <w:r>
        <w:t>Etwas mehr als ein Viertel (N = 46) der</w:t>
      </w:r>
      <w:r w:rsidRPr="00360863">
        <w:t xml:space="preserve"> </w:t>
      </w:r>
      <w:r>
        <w:t xml:space="preserve">172 </w:t>
      </w:r>
      <w:r w:rsidRPr="00360863">
        <w:t>Institutionsleit</w:t>
      </w:r>
      <w:r>
        <w:t xml:space="preserve">ungen </w:t>
      </w:r>
      <w:r w:rsidRPr="00360863">
        <w:t xml:space="preserve">gab an, keine Anpassungen vorgenommen zu haben. Von der Mehrheit der Teilnehmenden (N = 105) wurden vielfältige Anpassungen beschrieben. </w:t>
      </w:r>
      <w:r>
        <w:t>Herausfordernde Verhaltensweisen</w:t>
      </w:r>
      <w:r w:rsidRPr="00360863">
        <w:t xml:space="preserve"> scheinen </w:t>
      </w:r>
      <w:r>
        <w:t>demnach</w:t>
      </w:r>
      <w:r w:rsidRPr="00360863">
        <w:t xml:space="preserve"> ein </w:t>
      </w:r>
      <w:r>
        <w:t>beachtenswerter Grund</w:t>
      </w:r>
      <w:r w:rsidRPr="00360863">
        <w:t xml:space="preserve"> für Anpassungen in Institutionen zu sein. </w:t>
      </w:r>
      <w:r>
        <w:t xml:space="preserve">Die genannten Anpassungen werden </w:t>
      </w:r>
      <w:r w:rsidR="00F70D71">
        <w:t>in der Folge</w:t>
      </w:r>
      <w:r>
        <w:t xml:space="preserve"> aufgezeigt</w:t>
      </w:r>
      <w:r w:rsidRPr="00360863">
        <w:t xml:space="preserve">. </w:t>
      </w:r>
    </w:p>
    <w:p w14:paraId="570A98AA" w14:textId="075CF47B" w:rsidR="00134C35" w:rsidRPr="00360863" w:rsidRDefault="00134C35" w:rsidP="0084474A">
      <w:pPr>
        <w:pStyle w:val="berschrift1"/>
      </w:pPr>
      <w:r>
        <w:t>Ressourcenintensive Anpassungen dominieren</w:t>
      </w:r>
    </w:p>
    <w:p w14:paraId="4C8F8EAB" w14:textId="36A0230B" w:rsidR="00134C35" w:rsidRDefault="00134C35" w:rsidP="0084474A">
      <w:pPr>
        <w:pStyle w:val="Textkrper"/>
        <w:ind w:firstLine="0"/>
        <w:rPr>
          <w:rFonts w:asciiTheme="minorHAnsi" w:hAnsiTheme="minorHAnsi" w:cstheme="minorHAnsi"/>
        </w:rPr>
        <w:sectPr w:rsidR="00134C35" w:rsidSect="00822346">
          <w:headerReference w:type="default" r:id="rId14"/>
          <w:footerReference w:type="default" r:id="rId15"/>
          <w:pgSz w:w="11906" w:h="16838"/>
          <w:pgMar w:top="1417" w:right="1417" w:bottom="1134" w:left="1417" w:header="708" w:footer="708" w:gutter="0"/>
          <w:pgNumType w:start="35"/>
          <w:cols w:space="708"/>
          <w:docGrid w:linePitch="360"/>
        </w:sectPr>
      </w:pPr>
      <w:r w:rsidRPr="0084474A">
        <w:rPr>
          <w:rStyle w:val="TextkrperZchn"/>
        </w:rPr>
        <w:t xml:space="preserve">Die Institutionsleitungen nannten 176 </w:t>
      </w:r>
      <w:r w:rsidR="0048315C">
        <w:rPr>
          <w:rStyle w:val="TextkrperZchn"/>
        </w:rPr>
        <w:t xml:space="preserve">erfolgte </w:t>
      </w:r>
      <w:r w:rsidR="00AA514A">
        <w:rPr>
          <w:rStyle w:val="TextkrperZchn"/>
        </w:rPr>
        <w:t xml:space="preserve">Anpassungen </w:t>
      </w:r>
      <w:r w:rsidRPr="0084474A">
        <w:rPr>
          <w:rStyle w:val="TextkrperZchn"/>
        </w:rPr>
        <w:t xml:space="preserve">aufgrund von herausfordernden Verhaltensweisen. Eine Nennung war nicht zuordenbar, wodurch insgesamt 175 Nennungen resultierten. </w:t>
      </w:r>
      <w:r w:rsidR="00AA2139">
        <w:rPr>
          <w:rStyle w:val="TextkrperZchn"/>
        </w:rPr>
        <w:t>Tabelle</w:t>
      </w:r>
      <w:r w:rsidRPr="0084474A">
        <w:rPr>
          <w:rStyle w:val="TextkrperZchn"/>
        </w:rPr>
        <w:t xml:space="preserve"> 1 zeigt eine Zusammenfassung der von den Leitungspersonen genannten Anpassungen auf den drei Ebenen: Klientel (Ebene Klientel), Mitarbeitende in der Begleitung (Ebene Fachpersonen) oder institutionelle Struktur (strukturelle Ebene). Sortiert wurden diese zudem nach der geschätzten Höhe des finanziellen und zeitlichen Ressourcenaufwandes, den die Anpassungen für die Institution bedeuten. Diese Einteilung wurde im Rahmen der Datenanalyse von den Autorinnen vorgenommen</w:t>
      </w:r>
      <w:r>
        <w:rPr>
          <w:rFonts w:asciiTheme="minorHAnsi" w:hAnsiTheme="minorHAnsi" w:cstheme="minorHAnsi"/>
        </w:rPr>
        <w:t>.</w:t>
      </w:r>
    </w:p>
    <w:p w14:paraId="3A6118F4" w14:textId="1295887E" w:rsidR="00134C35" w:rsidRPr="0084474A" w:rsidRDefault="0084474A" w:rsidP="0039426A">
      <w:pPr>
        <w:pStyle w:val="TabelleBeschriftung"/>
        <w:rPr>
          <w:rFonts w:asciiTheme="minorHAnsi" w:hAnsiTheme="minorHAnsi" w:cstheme="minorHAnsi"/>
        </w:rPr>
      </w:pPr>
      <w:r>
        <w:lastRenderedPageBreak/>
        <w:t>Tabelle</w:t>
      </w:r>
      <w:r w:rsidR="00134C35" w:rsidRPr="00EA3C50">
        <w:t xml:space="preserve"> </w:t>
      </w:r>
      <w:r w:rsidR="00134C35" w:rsidRPr="00EA3C50">
        <w:fldChar w:fldCharType="begin"/>
      </w:r>
      <w:r w:rsidR="00134C35" w:rsidRPr="00EA3C50">
        <w:instrText xml:space="preserve"> SEQ Abbildung \* ARABIC </w:instrText>
      </w:r>
      <w:r w:rsidR="00134C35" w:rsidRPr="00EA3C50">
        <w:fldChar w:fldCharType="separate"/>
      </w:r>
      <w:r w:rsidR="003D7644">
        <w:rPr>
          <w:noProof/>
        </w:rPr>
        <w:t>1</w:t>
      </w:r>
      <w:r w:rsidR="00134C35" w:rsidRPr="00EA3C50">
        <w:fldChar w:fldCharType="end"/>
      </w:r>
      <w:r w:rsidR="00134C35" w:rsidRPr="00EA3C50">
        <w:t xml:space="preserve">: Übersicht über die </w:t>
      </w:r>
      <w:r w:rsidR="00134C35">
        <w:t>erfolg</w:t>
      </w:r>
      <w:r w:rsidR="00134C35" w:rsidRPr="00EA3C50">
        <w:t>ten Anpassungen (eigene Darstellung, Mehrfachnennungen möglich)</w:t>
      </w:r>
    </w:p>
    <w:tbl>
      <w:tblPr>
        <w:tblW w:w="14981" w:type="dxa"/>
        <w:tblCellMar>
          <w:left w:w="70" w:type="dxa"/>
          <w:right w:w="70" w:type="dxa"/>
        </w:tblCellMar>
        <w:tblLook w:val="04A0" w:firstRow="1" w:lastRow="0" w:firstColumn="1" w:lastColumn="0" w:noHBand="0" w:noVBand="1"/>
      </w:tblPr>
      <w:tblGrid>
        <w:gridCol w:w="709"/>
        <w:gridCol w:w="851"/>
        <w:gridCol w:w="2835"/>
        <w:gridCol w:w="580"/>
        <w:gridCol w:w="3956"/>
        <w:gridCol w:w="700"/>
        <w:gridCol w:w="3410"/>
        <w:gridCol w:w="700"/>
        <w:gridCol w:w="1240"/>
      </w:tblGrid>
      <w:tr w:rsidR="00134C35" w:rsidRPr="0084474A" w14:paraId="3549106A" w14:textId="77777777" w:rsidTr="00881900">
        <w:trPr>
          <w:trHeight w:val="288"/>
        </w:trPr>
        <w:tc>
          <w:tcPr>
            <w:tcW w:w="709" w:type="dxa"/>
            <w:tcBorders>
              <w:top w:val="nil"/>
              <w:left w:val="nil"/>
              <w:bottom w:val="nil"/>
              <w:right w:val="nil"/>
            </w:tcBorders>
            <w:shd w:val="clear" w:color="auto" w:fill="A98899" w:themeFill="accent6"/>
            <w:noWrap/>
            <w:vAlign w:val="bottom"/>
            <w:hideMark/>
          </w:tcPr>
          <w:p w14:paraId="3A071285" w14:textId="77777777" w:rsidR="00134C35" w:rsidRPr="0084474A" w:rsidRDefault="00134C35" w:rsidP="003B19C1">
            <w:pPr>
              <w:rPr>
                <w:rFonts w:asciiTheme="minorHAnsi" w:eastAsia="Times New Roman" w:hAnsiTheme="minorHAnsi" w:cstheme="minorHAnsi"/>
                <w:lang w:eastAsia="de-CH"/>
              </w:rPr>
            </w:pPr>
          </w:p>
        </w:tc>
        <w:tc>
          <w:tcPr>
            <w:tcW w:w="851" w:type="dxa"/>
            <w:tcBorders>
              <w:top w:val="nil"/>
              <w:left w:val="nil"/>
              <w:bottom w:val="single" w:sz="4" w:space="0" w:color="auto"/>
              <w:right w:val="single" w:sz="4" w:space="0" w:color="auto"/>
            </w:tcBorders>
            <w:shd w:val="clear" w:color="auto" w:fill="A98899" w:themeFill="accent6"/>
            <w:noWrap/>
            <w:vAlign w:val="bottom"/>
            <w:hideMark/>
          </w:tcPr>
          <w:p w14:paraId="3C5E55E7"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 </w:t>
            </w:r>
          </w:p>
        </w:tc>
        <w:tc>
          <w:tcPr>
            <w:tcW w:w="2835" w:type="dxa"/>
            <w:tcBorders>
              <w:top w:val="nil"/>
              <w:left w:val="nil"/>
              <w:bottom w:val="single" w:sz="4" w:space="0" w:color="auto"/>
              <w:right w:val="nil"/>
            </w:tcBorders>
            <w:shd w:val="clear" w:color="auto" w:fill="A98899" w:themeFill="accent6"/>
            <w:noWrap/>
            <w:vAlign w:val="center"/>
            <w:hideMark/>
          </w:tcPr>
          <w:p w14:paraId="0A1253BE"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Ebene Klientel</w:t>
            </w:r>
          </w:p>
        </w:tc>
        <w:tc>
          <w:tcPr>
            <w:tcW w:w="580" w:type="dxa"/>
            <w:tcBorders>
              <w:top w:val="nil"/>
              <w:left w:val="nil"/>
              <w:bottom w:val="single" w:sz="4" w:space="0" w:color="auto"/>
              <w:right w:val="single" w:sz="4" w:space="0" w:color="auto"/>
            </w:tcBorders>
            <w:shd w:val="clear" w:color="auto" w:fill="A98899" w:themeFill="accent6"/>
            <w:noWrap/>
            <w:vAlign w:val="center"/>
            <w:hideMark/>
          </w:tcPr>
          <w:p w14:paraId="7C2344CF"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N</w:t>
            </w:r>
          </w:p>
        </w:tc>
        <w:tc>
          <w:tcPr>
            <w:tcW w:w="3956" w:type="dxa"/>
            <w:tcBorders>
              <w:top w:val="nil"/>
              <w:left w:val="single" w:sz="4" w:space="0" w:color="auto"/>
              <w:bottom w:val="single" w:sz="4" w:space="0" w:color="auto"/>
              <w:right w:val="nil"/>
            </w:tcBorders>
            <w:shd w:val="clear" w:color="auto" w:fill="A98899" w:themeFill="accent6"/>
            <w:noWrap/>
            <w:vAlign w:val="bottom"/>
            <w:hideMark/>
          </w:tcPr>
          <w:p w14:paraId="7013C084"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Ebene Fachpersonen</w:t>
            </w:r>
          </w:p>
        </w:tc>
        <w:tc>
          <w:tcPr>
            <w:tcW w:w="700" w:type="dxa"/>
            <w:tcBorders>
              <w:top w:val="nil"/>
              <w:left w:val="nil"/>
              <w:bottom w:val="single" w:sz="4" w:space="0" w:color="auto"/>
              <w:right w:val="single" w:sz="4" w:space="0" w:color="auto"/>
            </w:tcBorders>
            <w:shd w:val="clear" w:color="auto" w:fill="A98899" w:themeFill="accent6"/>
            <w:noWrap/>
            <w:vAlign w:val="bottom"/>
            <w:hideMark/>
          </w:tcPr>
          <w:p w14:paraId="40CD89F4"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N</w:t>
            </w:r>
          </w:p>
        </w:tc>
        <w:tc>
          <w:tcPr>
            <w:tcW w:w="3410" w:type="dxa"/>
            <w:tcBorders>
              <w:top w:val="nil"/>
              <w:left w:val="single" w:sz="4" w:space="0" w:color="auto"/>
              <w:bottom w:val="single" w:sz="4" w:space="0" w:color="auto"/>
              <w:right w:val="nil"/>
            </w:tcBorders>
            <w:shd w:val="clear" w:color="auto" w:fill="A98899" w:themeFill="accent6"/>
            <w:noWrap/>
            <w:vAlign w:val="bottom"/>
            <w:hideMark/>
          </w:tcPr>
          <w:p w14:paraId="2832352D"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strukturelle Ebene</w:t>
            </w:r>
          </w:p>
        </w:tc>
        <w:tc>
          <w:tcPr>
            <w:tcW w:w="700" w:type="dxa"/>
            <w:tcBorders>
              <w:top w:val="nil"/>
              <w:left w:val="nil"/>
              <w:bottom w:val="single" w:sz="4" w:space="0" w:color="auto"/>
              <w:right w:val="single" w:sz="4" w:space="0" w:color="auto"/>
            </w:tcBorders>
            <w:shd w:val="clear" w:color="auto" w:fill="A98899" w:themeFill="accent6"/>
            <w:noWrap/>
            <w:vAlign w:val="bottom"/>
            <w:hideMark/>
          </w:tcPr>
          <w:p w14:paraId="292EC987"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N</w:t>
            </w:r>
          </w:p>
        </w:tc>
        <w:tc>
          <w:tcPr>
            <w:tcW w:w="1240" w:type="dxa"/>
            <w:tcBorders>
              <w:top w:val="nil"/>
              <w:left w:val="nil"/>
              <w:bottom w:val="single" w:sz="4" w:space="0" w:color="auto"/>
              <w:right w:val="nil"/>
            </w:tcBorders>
            <w:shd w:val="clear" w:color="auto" w:fill="A98899" w:themeFill="accent6"/>
            <w:noWrap/>
            <w:vAlign w:val="bottom"/>
            <w:hideMark/>
          </w:tcPr>
          <w:p w14:paraId="02F61324"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 </w:t>
            </w:r>
          </w:p>
        </w:tc>
      </w:tr>
      <w:tr w:rsidR="009E3340" w:rsidRPr="0084474A" w14:paraId="6C00B464" w14:textId="77777777" w:rsidTr="00D70023">
        <w:trPr>
          <w:trHeight w:val="288"/>
        </w:trPr>
        <w:tc>
          <w:tcPr>
            <w:tcW w:w="709" w:type="dxa"/>
            <w:vMerge w:val="restart"/>
            <w:tcBorders>
              <w:top w:val="nil"/>
              <w:left w:val="nil"/>
              <w:right w:val="nil"/>
            </w:tcBorders>
            <w:shd w:val="clear" w:color="auto" w:fill="A98899" w:themeFill="accent6"/>
            <w:noWrap/>
            <w:textDirection w:val="btLr"/>
            <w:vAlign w:val="center"/>
            <w:hideMark/>
          </w:tcPr>
          <w:p w14:paraId="4F077F29" w14:textId="77777777" w:rsidR="009E3340" w:rsidRPr="0084474A" w:rsidRDefault="009E3340"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Höhe des Ressourcenaufwands</w:t>
            </w:r>
          </w:p>
        </w:tc>
        <w:tc>
          <w:tcPr>
            <w:tcW w:w="851" w:type="dxa"/>
            <w:vMerge w:val="restart"/>
            <w:tcBorders>
              <w:top w:val="nil"/>
              <w:left w:val="nil"/>
              <w:right w:val="single" w:sz="4" w:space="0" w:color="auto"/>
            </w:tcBorders>
            <w:shd w:val="clear" w:color="auto" w:fill="F2F2F2" w:themeFill="background1" w:themeFillShade="F2"/>
            <w:noWrap/>
            <w:vAlign w:val="center"/>
            <w:hideMark/>
          </w:tcPr>
          <w:p w14:paraId="6DA631C4" w14:textId="52F583FF" w:rsidR="009E3340" w:rsidRPr="0084474A" w:rsidRDefault="009E3340" w:rsidP="006228F7">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hoch</w:t>
            </w:r>
          </w:p>
        </w:tc>
        <w:tc>
          <w:tcPr>
            <w:tcW w:w="2835" w:type="dxa"/>
            <w:tcBorders>
              <w:top w:val="nil"/>
              <w:left w:val="nil"/>
              <w:bottom w:val="nil"/>
              <w:right w:val="nil"/>
            </w:tcBorders>
            <w:shd w:val="clear" w:color="auto" w:fill="F2F2F2" w:themeFill="background1" w:themeFillShade="F2"/>
            <w:noWrap/>
            <w:vAlign w:val="center"/>
            <w:hideMark/>
          </w:tcPr>
          <w:p w14:paraId="1BD01F4C"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interne Umplatzierungen</w:t>
            </w:r>
          </w:p>
        </w:tc>
        <w:tc>
          <w:tcPr>
            <w:tcW w:w="580" w:type="dxa"/>
            <w:tcBorders>
              <w:top w:val="nil"/>
              <w:left w:val="nil"/>
              <w:bottom w:val="nil"/>
              <w:right w:val="single" w:sz="4" w:space="0" w:color="auto"/>
            </w:tcBorders>
            <w:shd w:val="clear" w:color="auto" w:fill="F2F2F2" w:themeFill="background1" w:themeFillShade="F2"/>
            <w:noWrap/>
            <w:vAlign w:val="center"/>
            <w:hideMark/>
          </w:tcPr>
          <w:p w14:paraId="1A4D5A16"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5</w:t>
            </w:r>
          </w:p>
        </w:tc>
        <w:tc>
          <w:tcPr>
            <w:tcW w:w="3956" w:type="dxa"/>
            <w:tcBorders>
              <w:top w:val="nil"/>
              <w:left w:val="single" w:sz="4" w:space="0" w:color="auto"/>
              <w:bottom w:val="nil"/>
              <w:right w:val="nil"/>
            </w:tcBorders>
            <w:shd w:val="clear" w:color="auto" w:fill="F2F2F2" w:themeFill="background1" w:themeFillShade="F2"/>
            <w:vAlign w:val="center"/>
            <w:hideMark/>
          </w:tcPr>
          <w:p w14:paraId="2485CFAB"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spezifische Weiterbildung und Schulung</w:t>
            </w:r>
          </w:p>
        </w:tc>
        <w:tc>
          <w:tcPr>
            <w:tcW w:w="700" w:type="dxa"/>
            <w:tcBorders>
              <w:top w:val="nil"/>
              <w:left w:val="nil"/>
              <w:bottom w:val="nil"/>
              <w:right w:val="single" w:sz="4" w:space="0" w:color="auto"/>
            </w:tcBorders>
            <w:shd w:val="clear" w:color="auto" w:fill="F2F2F2" w:themeFill="background1" w:themeFillShade="F2"/>
            <w:vAlign w:val="center"/>
            <w:hideMark/>
          </w:tcPr>
          <w:p w14:paraId="3C7C8626"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19</w:t>
            </w: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10332E08"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Erarbeitung und Umsetzung von </w:t>
            </w:r>
            <w:r w:rsidRPr="0084474A">
              <w:rPr>
                <w:rFonts w:asciiTheme="minorHAnsi" w:eastAsia="Times New Roman" w:hAnsiTheme="minorHAnsi" w:cstheme="minorHAnsi"/>
                <w:noProof/>
                <w:color w:val="000000"/>
                <w:lang w:eastAsia="de-CH"/>
              </w:rPr>
              <w:t>Konzepten</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1679B4A9"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32</w:t>
            </w:r>
          </w:p>
        </w:tc>
        <w:tc>
          <w:tcPr>
            <w:tcW w:w="1240" w:type="dxa"/>
            <w:vMerge w:val="restart"/>
            <w:tcBorders>
              <w:top w:val="nil"/>
              <w:left w:val="nil"/>
              <w:bottom w:val="single" w:sz="4" w:space="0" w:color="000000"/>
              <w:right w:val="nil"/>
            </w:tcBorders>
            <w:shd w:val="clear" w:color="auto" w:fill="F2F2F2" w:themeFill="background1" w:themeFillShade="F2"/>
            <w:noWrap/>
            <w:vAlign w:val="bottom"/>
            <w:hideMark/>
          </w:tcPr>
          <w:p w14:paraId="5614835F" w14:textId="77777777" w:rsidR="009E3340" w:rsidRPr="0084474A" w:rsidRDefault="009E3340"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96</w:t>
            </w:r>
          </w:p>
        </w:tc>
      </w:tr>
      <w:tr w:rsidR="009E3340" w:rsidRPr="0084474A" w14:paraId="40D12E40" w14:textId="77777777" w:rsidTr="00D70023">
        <w:trPr>
          <w:trHeight w:val="288"/>
        </w:trPr>
        <w:tc>
          <w:tcPr>
            <w:tcW w:w="709" w:type="dxa"/>
            <w:vMerge/>
            <w:tcBorders>
              <w:left w:val="nil"/>
              <w:right w:val="nil"/>
            </w:tcBorders>
            <w:shd w:val="clear" w:color="auto" w:fill="A98899" w:themeFill="accent6"/>
            <w:vAlign w:val="center"/>
            <w:hideMark/>
          </w:tcPr>
          <w:p w14:paraId="72155B35"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F2F2F2" w:themeFill="background1" w:themeFillShade="F2"/>
            <w:noWrap/>
            <w:vAlign w:val="center"/>
            <w:hideMark/>
          </w:tcPr>
          <w:p w14:paraId="3858FC43" w14:textId="4D91D9F8" w:rsidR="009E3340" w:rsidRPr="0084474A" w:rsidRDefault="009E3340" w:rsidP="006228F7">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F2F2F2" w:themeFill="background1" w:themeFillShade="F2"/>
            <w:noWrap/>
            <w:vAlign w:val="center"/>
            <w:hideMark/>
          </w:tcPr>
          <w:p w14:paraId="48D2617E"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externes Time-Out</w:t>
            </w:r>
          </w:p>
        </w:tc>
        <w:tc>
          <w:tcPr>
            <w:tcW w:w="580" w:type="dxa"/>
            <w:tcBorders>
              <w:top w:val="nil"/>
              <w:left w:val="nil"/>
              <w:bottom w:val="nil"/>
              <w:right w:val="single" w:sz="4" w:space="0" w:color="auto"/>
            </w:tcBorders>
            <w:shd w:val="clear" w:color="auto" w:fill="F2F2F2" w:themeFill="background1" w:themeFillShade="F2"/>
            <w:noWrap/>
            <w:vAlign w:val="center"/>
            <w:hideMark/>
          </w:tcPr>
          <w:p w14:paraId="49F2FFBB" w14:textId="77777777" w:rsidR="009E3340" w:rsidRPr="0084474A" w:rsidRDefault="009E3340" w:rsidP="003B19C1">
            <w:pPr>
              <w:jc w:val="center"/>
              <w:rPr>
                <w:rFonts w:asciiTheme="minorHAnsi" w:eastAsia="Times New Roman" w:hAnsiTheme="minorHAnsi" w:cstheme="minorHAnsi"/>
                <w:lang w:eastAsia="de-CH"/>
              </w:rPr>
            </w:pPr>
            <w:r w:rsidRPr="0084474A">
              <w:rPr>
                <w:rFonts w:asciiTheme="minorHAnsi" w:eastAsia="Times New Roman" w:hAnsiTheme="minorHAnsi" w:cstheme="minorHAnsi"/>
                <w:lang w:eastAsia="de-CH"/>
              </w:rPr>
              <w:t>1</w:t>
            </w:r>
          </w:p>
        </w:tc>
        <w:tc>
          <w:tcPr>
            <w:tcW w:w="3956" w:type="dxa"/>
            <w:tcBorders>
              <w:top w:val="nil"/>
              <w:left w:val="single" w:sz="4" w:space="0" w:color="auto"/>
              <w:bottom w:val="nil"/>
              <w:right w:val="nil"/>
            </w:tcBorders>
            <w:shd w:val="clear" w:color="auto" w:fill="F2F2F2" w:themeFill="background1" w:themeFillShade="F2"/>
            <w:vAlign w:val="center"/>
            <w:hideMark/>
          </w:tcPr>
          <w:p w14:paraId="0A49846D"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Anpassung personeller Ressourcen und </w:t>
            </w:r>
            <w:r w:rsidRPr="0084474A">
              <w:rPr>
                <w:rFonts w:asciiTheme="minorHAnsi" w:eastAsia="Times New Roman" w:hAnsiTheme="minorHAnsi" w:cstheme="minorHAnsi"/>
                <w:noProof/>
                <w:color w:val="000000"/>
                <w:lang w:eastAsia="de-CH"/>
              </w:rPr>
              <w:t>Veränderung</w:t>
            </w:r>
            <w:r w:rsidRPr="0084474A">
              <w:rPr>
                <w:rFonts w:asciiTheme="minorHAnsi" w:eastAsia="Times New Roman" w:hAnsiTheme="minorHAnsi" w:cstheme="minorHAnsi"/>
                <w:color w:val="000000"/>
                <w:lang w:eastAsia="de-CH"/>
              </w:rPr>
              <w:t xml:space="preserve"> der Teamzusammenstellung</w:t>
            </w:r>
          </w:p>
        </w:tc>
        <w:tc>
          <w:tcPr>
            <w:tcW w:w="700" w:type="dxa"/>
            <w:tcBorders>
              <w:top w:val="nil"/>
              <w:left w:val="nil"/>
              <w:bottom w:val="nil"/>
              <w:right w:val="single" w:sz="4" w:space="0" w:color="auto"/>
            </w:tcBorders>
            <w:shd w:val="clear" w:color="auto" w:fill="F2F2F2" w:themeFill="background1" w:themeFillShade="F2"/>
            <w:vAlign w:val="center"/>
            <w:hideMark/>
          </w:tcPr>
          <w:p w14:paraId="4169F4C2"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15</w:t>
            </w: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18DF81EF"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bauliche Anpassung von Immobilien</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51885DED"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15</w:t>
            </w:r>
          </w:p>
        </w:tc>
        <w:tc>
          <w:tcPr>
            <w:tcW w:w="1240" w:type="dxa"/>
            <w:vMerge/>
            <w:tcBorders>
              <w:top w:val="nil"/>
              <w:left w:val="nil"/>
              <w:bottom w:val="single" w:sz="4" w:space="0" w:color="000000"/>
              <w:right w:val="nil"/>
            </w:tcBorders>
            <w:vAlign w:val="center"/>
            <w:hideMark/>
          </w:tcPr>
          <w:p w14:paraId="77883E76"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3CBC84B9" w14:textId="77777777" w:rsidTr="00D70023">
        <w:trPr>
          <w:trHeight w:val="288"/>
        </w:trPr>
        <w:tc>
          <w:tcPr>
            <w:tcW w:w="709" w:type="dxa"/>
            <w:vMerge/>
            <w:tcBorders>
              <w:left w:val="nil"/>
              <w:right w:val="nil"/>
            </w:tcBorders>
            <w:shd w:val="clear" w:color="auto" w:fill="A98899" w:themeFill="accent6"/>
            <w:vAlign w:val="center"/>
            <w:hideMark/>
          </w:tcPr>
          <w:p w14:paraId="33E830FB"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F2F2F2" w:themeFill="background1" w:themeFillShade="F2"/>
            <w:noWrap/>
            <w:vAlign w:val="center"/>
            <w:hideMark/>
          </w:tcPr>
          <w:p w14:paraId="6DABDDF4" w14:textId="623FD083" w:rsidR="009E3340" w:rsidRPr="0084474A" w:rsidRDefault="009E3340" w:rsidP="006228F7">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F2F2F2" w:themeFill="background1" w:themeFillShade="F2"/>
            <w:noWrap/>
            <w:vAlign w:val="center"/>
            <w:hideMark/>
          </w:tcPr>
          <w:p w14:paraId="756ED27F"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tcBorders>
              <w:top w:val="nil"/>
              <w:left w:val="nil"/>
              <w:bottom w:val="nil"/>
              <w:right w:val="single" w:sz="4" w:space="0" w:color="auto"/>
            </w:tcBorders>
            <w:shd w:val="clear" w:color="auto" w:fill="F2F2F2" w:themeFill="background1" w:themeFillShade="F2"/>
            <w:noWrap/>
            <w:vAlign w:val="center"/>
            <w:hideMark/>
          </w:tcPr>
          <w:p w14:paraId="378E51E4" w14:textId="77777777" w:rsidR="009E3340" w:rsidRPr="0084474A" w:rsidRDefault="009E3340" w:rsidP="003B19C1">
            <w:pPr>
              <w:jc w:val="center"/>
              <w:rPr>
                <w:rFonts w:asciiTheme="minorHAnsi" w:eastAsia="Times New Roman" w:hAnsiTheme="minorHAnsi" w:cstheme="minorHAnsi"/>
                <w:lang w:eastAsia="de-CH"/>
              </w:rPr>
            </w:pPr>
          </w:p>
        </w:tc>
        <w:tc>
          <w:tcPr>
            <w:tcW w:w="3956" w:type="dxa"/>
            <w:tcBorders>
              <w:top w:val="nil"/>
              <w:left w:val="single" w:sz="4" w:space="0" w:color="auto"/>
              <w:bottom w:val="nil"/>
              <w:right w:val="nil"/>
            </w:tcBorders>
            <w:shd w:val="clear" w:color="auto" w:fill="F2F2F2" w:themeFill="background1" w:themeFillShade="F2"/>
            <w:noWrap/>
            <w:vAlign w:val="center"/>
            <w:hideMark/>
          </w:tcPr>
          <w:p w14:paraId="69E86620" w14:textId="77777777" w:rsidR="009E3340" w:rsidRPr="0084474A" w:rsidRDefault="009E3340" w:rsidP="003B19C1">
            <w:pPr>
              <w:jc w:val="center"/>
              <w:rPr>
                <w:rFonts w:asciiTheme="minorHAnsi" w:eastAsia="Times New Roman" w:hAnsiTheme="minorHAnsi" w:cstheme="minorHAnsi"/>
                <w:lang w:eastAsia="de-CH"/>
              </w:rPr>
            </w:pPr>
          </w:p>
        </w:tc>
        <w:tc>
          <w:tcPr>
            <w:tcW w:w="700" w:type="dxa"/>
            <w:tcBorders>
              <w:top w:val="nil"/>
              <w:left w:val="nil"/>
              <w:bottom w:val="nil"/>
              <w:right w:val="single" w:sz="4" w:space="0" w:color="auto"/>
            </w:tcBorders>
            <w:shd w:val="clear" w:color="auto" w:fill="F2F2F2" w:themeFill="background1" w:themeFillShade="F2"/>
            <w:noWrap/>
            <w:vAlign w:val="center"/>
            <w:hideMark/>
          </w:tcPr>
          <w:p w14:paraId="13A2D2B6" w14:textId="77777777" w:rsidR="009E3340" w:rsidRPr="0084474A" w:rsidRDefault="009E3340" w:rsidP="003B19C1">
            <w:pPr>
              <w:jc w:val="center"/>
              <w:rPr>
                <w:rFonts w:asciiTheme="minorHAnsi" w:eastAsia="Times New Roman" w:hAnsiTheme="minorHAnsi" w:cstheme="minorHAnsi"/>
                <w:lang w:eastAsia="de-CH"/>
              </w:rPr>
            </w:pP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687A57F9"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Angebotsveränderung Wohnplätze</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388DCCB7"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6</w:t>
            </w:r>
          </w:p>
        </w:tc>
        <w:tc>
          <w:tcPr>
            <w:tcW w:w="1240" w:type="dxa"/>
            <w:vMerge/>
            <w:tcBorders>
              <w:top w:val="nil"/>
              <w:left w:val="nil"/>
              <w:bottom w:val="single" w:sz="4" w:space="0" w:color="000000"/>
              <w:right w:val="nil"/>
            </w:tcBorders>
            <w:vAlign w:val="center"/>
            <w:hideMark/>
          </w:tcPr>
          <w:p w14:paraId="32F3597B"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2A49D997" w14:textId="77777777" w:rsidTr="00D70023">
        <w:trPr>
          <w:trHeight w:val="288"/>
        </w:trPr>
        <w:tc>
          <w:tcPr>
            <w:tcW w:w="709" w:type="dxa"/>
            <w:vMerge/>
            <w:tcBorders>
              <w:left w:val="nil"/>
              <w:right w:val="nil"/>
            </w:tcBorders>
            <w:shd w:val="clear" w:color="auto" w:fill="A98899" w:themeFill="accent6"/>
            <w:vAlign w:val="center"/>
            <w:hideMark/>
          </w:tcPr>
          <w:p w14:paraId="273C7A29"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F2F2F2" w:themeFill="background1" w:themeFillShade="F2"/>
            <w:noWrap/>
            <w:vAlign w:val="center"/>
            <w:hideMark/>
          </w:tcPr>
          <w:p w14:paraId="56273F46" w14:textId="24FFC92F" w:rsidR="009E3340" w:rsidRPr="0084474A" w:rsidRDefault="009E3340" w:rsidP="006228F7">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F2F2F2" w:themeFill="background1" w:themeFillShade="F2"/>
            <w:noWrap/>
            <w:vAlign w:val="center"/>
            <w:hideMark/>
          </w:tcPr>
          <w:p w14:paraId="3AB34C1A"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tcBorders>
              <w:top w:val="nil"/>
              <w:left w:val="nil"/>
              <w:bottom w:val="nil"/>
              <w:right w:val="single" w:sz="4" w:space="0" w:color="auto"/>
            </w:tcBorders>
            <w:shd w:val="clear" w:color="auto" w:fill="F2F2F2" w:themeFill="background1" w:themeFillShade="F2"/>
            <w:noWrap/>
            <w:vAlign w:val="center"/>
            <w:hideMark/>
          </w:tcPr>
          <w:p w14:paraId="0B7B5BF6" w14:textId="77777777" w:rsidR="009E3340" w:rsidRPr="0084474A" w:rsidRDefault="009E3340" w:rsidP="003B19C1">
            <w:pPr>
              <w:jc w:val="center"/>
              <w:rPr>
                <w:rFonts w:asciiTheme="minorHAnsi" w:eastAsia="Times New Roman" w:hAnsiTheme="minorHAnsi" w:cstheme="minorHAnsi"/>
                <w:lang w:eastAsia="de-CH"/>
              </w:rPr>
            </w:pPr>
          </w:p>
        </w:tc>
        <w:tc>
          <w:tcPr>
            <w:tcW w:w="3956" w:type="dxa"/>
            <w:tcBorders>
              <w:top w:val="nil"/>
              <w:left w:val="single" w:sz="4" w:space="0" w:color="auto"/>
              <w:bottom w:val="nil"/>
              <w:right w:val="nil"/>
            </w:tcBorders>
            <w:shd w:val="clear" w:color="auto" w:fill="F2F2F2" w:themeFill="background1" w:themeFillShade="F2"/>
            <w:noWrap/>
            <w:vAlign w:val="center"/>
            <w:hideMark/>
          </w:tcPr>
          <w:p w14:paraId="1683B008" w14:textId="77777777" w:rsidR="009E3340" w:rsidRPr="0084474A" w:rsidRDefault="009E3340" w:rsidP="003B19C1">
            <w:pPr>
              <w:jc w:val="center"/>
              <w:rPr>
                <w:rFonts w:asciiTheme="minorHAnsi" w:eastAsia="Times New Roman" w:hAnsiTheme="minorHAnsi" w:cstheme="minorHAnsi"/>
                <w:lang w:eastAsia="de-CH"/>
              </w:rPr>
            </w:pPr>
          </w:p>
        </w:tc>
        <w:tc>
          <w:tcPr>
            <w:tcW w:w="700" w:type="dxa"/>
            <w:tcBorders>
              <w:top w:val="nil"/>
              <w:left w:val="nil"/>
              <w:bottom w:val="nil"/>
              <w:right w:val="single" w:sz="4" w:space="0" w:color="auto"/>
            </w:tcBorders>
            <w:shd w:val="clear" w:color="auto" w:fill="F2F2F2" w:themeFill="background1" w:themeFillShade="F2"/>
            <w:noWrap/>
            <w:vAlign w:val="center"/>
            <w:hideMark/>
          </w:tcPr>
          <w:p w14:paraId="5504D735" w14:textId="77777777" w:rsidR="009E3340" w:rsidRPr="0084474A" w:rsidRDefault="009E3340" w:rsidP="003B19C1">
            <w:pPr>
              <w:jc w:val="center"/>
              <w:rPr>
                <w:rFonts w:asciiTheme="minorHAnsi" w:eastAsia="Times New Roman" w:hAnsiTheme="minorHAnsi" w:cstheme="minorHAnsi"/>
                <w:lang w:eastAsia="de-CH"/>
              </w:rPr>
            </w:pP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430BC69E"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Einrichtung einer Meldestelle</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71B203C3"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2</w:t>
            </w:r>
          </w:p>
        </w:tc>
        <w:tc>
          <w:tcPr>
            <w:tcW w:w="1240" w:type="dxa"/>
            <w:vMerge/>
            <w:tcBorders>
              <w:top w:val="nil"/>
              <w:left w:val="nil"/>
              <w:bottom w:val="single" w:sz="4" w:space="0" w:color="000000"/>
              <w:right w:val="nil"/>
            </w:tcBorders>
            <w:vAlign w:val="center"/>
            <w:hideMark/>
          </w:tcPr>
          <w:p w14:paraId="554745B3"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387B4C15" w14:textId="77777777" w:rsidTr="00D70023">
        <w:trPr>
          <w:trHeight w:val="288"/>
        </w:trPr>
        <w:tc>
          <w:tcPr>
            <w:tcW w:w="709" w:type="dxa"/>
            <w:vMerge/>
            <w:tcBorders>
              <w:left w:val="nil"/>
              <w:right w:val="nil"/>
            </w:tcBorders>
            <w:shd w:val="clear" w:color="auto" w:fill="A98899" w:themeFill="accent6"/>
            <w:vAlign w:val="center"/>
            <w:hideMark/>
          </w:tcPr>
          <w:p w14:paraId="6E2D4F78"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bottom w:val="single" w:sz="4" w:space="0" w:color="auto"/>
              <w:right w:val="single" w:sz="4" w:space="0" w:color="auto"/>
            </w:tcBorders>
            <w:shd w:val="clear" w:color="auto" w:fill="F2F2F2" w:themeFill="background1" w:themeFillShade="F2"/>
            <w:noWrap/>
            <w:vAlign w:val="center"/>
            <w:hideMark/>
          </w:tcPr>
          <w:p w14:paraId="5B4E91B9" w14:textId="3380600D" w:rsidR="009E3340" w:rsidRPr="0084474A" w:rsidRDefault="009E3340" w:rsidP="006228F7">
            <w:pPr>
              <w:rPr>
                <w:rFonts w:asciiTheme="minorHAnsi" w:eastAsia="Times New Roman" w:hAnsiTheme="minorHAnsi" w:cstheme="minorHAnsi"/>
                <w:color w:val="000000"/>
                <w:lang w:eastAsia="de-CH"/>
              </w:rPr>
            </w:pPr>
          </w:p>
        </w:tc>
        <w:tc>
          <w:tcPr>
            <w:tcW w:w="2835" w:type="dxa"/>
            <w:tcBorders>
              <w:top w:val="nil"/>
              <w:left w:val="nil"/>
              <w:bottom w:val="single" w:sz="4" w:space="0" w:color="auto"/>
              <w:right w:val="nil"/>
            </w:tcBorders>
            <w:shd w:val="clear" w:color="auto" w:fill="F2F2F2" w:themeFill="background1" w:themeFillShade="F2"/>
            <w:noWrap/>
            <w:vAlign w:val="center"/>
            <w:hideMark/>
          </w:tcPr>
          <w:p w14:paraId="70394C08"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tcBorders>
              <w:top w:val="nil"/>
              <w:left w:val="nil"/>
              <w:bottom w:val="single" w:sz="4" w:space="0" w:color="auto"/>
              <w:right w:val="single" w:sz="4" w:space="0" w:color="auto"/>
            </w:tcBorders>
            <w:shd w:val="clear" w:color="auto" w:fill="F2F2F2" w:themeFill="background1" w:themeFillShade="F2"/>
            <w:noWrap/>
            <w:vAlign w:val="center"/>
            <w:hideMark/>
          </w:tcPr>
          <w:p w14:paraId="6126C956" w14:textId="77777777" w:rsidR="009E3340" w:rsidRPr="0084474A" w:rsidRDefault="009E3340" w:rsidP="003B19C1">
            <w:pPr>
              <w:jc w:val="center"/>
              <w:rPr>
                <w:rFonts w:asciiTheme="minorHAnsi" w:eastAsia="Times New Roman" w:hAnsiTheme="minorHAnsi" w:cstheme="minorHAnsi"/>
                <w:color w:val="000000"/>
                <w:lang w:eastAsia="de-CH"/>
              </w:rPr>
            </w:pPr>
          </w:p>
        </w:tc>
        <w:tc>
          <w:tcPr>
            <w:tcW w:w="3956" w:type="dxa"/>
            <w:tcBorders>
              <w:top w:val="nil"/>
              <w:left w:val="single" w:sz="4" w:space="0" w:color="auto"/>
              <w:bottom w:val="single" w:sz="4" w:space="0" w:color="auto"/>
              <w:right w:val="nil"/>
            </w:tcBorders>
            <w:shd w:val="clear" w:color="auto" w:fill="F2F2F2" w:themeFill="background1" w:themeFillShade="F2"/>
            <w:noWrap/>
            <w:vAlign w:val="center"/>
            <w:hideMark/>
          </w:tcPr>
          <w:p w14:paraId="2806E0F4"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w:t>
            </w:r>
          </w:p>
        </w:tc>
        <w:tc>
          <w:tcPr>
            <w:tcW w:w="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AF0BC05" w14:textId="77777777" w:rsidR="009E3340" w:rsidRPr="0084474A" w:rsidRDefault="009E3340" w:rsidP="003B19C1">
            <w:pPr>
              <w:jc w:val="center"/>
              <w:rPr>
                <w:rFonts w:asciiTheme="minorHAnsi" w:eastAsia="Times New Roman" w:hAnsiTheme="minorHAnsi" w:cstheme="minorHAnsi"/>
                <w:color w:val="000000"/>
                <w:lang w:eastAsia="de-CH"/>
              </w:rPr>
            </w:pPr>
          </w:p>
        </w:tc>
        <w:tc>
          <w:tcPr>
            <w:tcW w:w="3410" w:type="dxa"/>
            <w:tcBorders>
              <w:top w:val="nil"/>
              <w:left w:val="single" w:sz="4" w:space="0" w:color="auto"/>
              <w:bottom w:val="single" w:sz="4" w:space="0" w:color="auto"/>
              <w:right w:val="nil"/>
            </w:tcBorders>
            <w:shd w:val="clear" w:color="auto" w:fill="F2F2F2" w:themeFill="background1" w:themeFillShade="F2"/>
            <w:noWrap/>
            <w:vAlign w:val="center"/>
            <w:hideMark/>
          </w:tcPr>
          <w:p w14:paraId="280F818D"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Aufbau neuer Tagesstruktur (</w:t>
            </w:r>
            <w:r w:rsidRPr="0084474A">
              <w:rPr>
                <w:rFonts w:asciiTheme="minorHAnsi" w:eastAsia="Times New Roman" w:hAnsiTheme="minorHAnsi" w:cstheme="minorHAnsi"/>
                <w:noProof/>
                <w:color w:val="000000"/>
                <w:lang w:eastAsia="de-CH"/>
              </w:rPr>
              <w:t>Waldangebot</w:t>
            </w:r>
            <w:r w:rsidRPr="0084474A">
              <w:rPr>
                <w:rFonts w:asciiTheme="minorHAnsi" w:eastAsia="Times New Roman" w:hAnsiTheme="minorHAnsi" w:cstheme="minorHAnsi"/>
                <w:color w:val="000000"/>
                <w:lang w:eastAsia="de-CH"/>
              </w:rPr>
              <w:t>)</w:t>
            </w:r>
          </w:p>
        </w:tc>
        <w:tc>
          <w:tcPr>
            <w:tcW w:w="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75E9D0DE"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w:t>
            </w:r>
          </w:p>
        </w:tc>
        <w:tc>
          <w:tcPr>
            <w:tcW w:w="1240" w:type="dxa"/>
            <w:vMerge/>
            <w:tcBorders>
              <w:top w:val="nil"/>
              <w:left w:val="nil"/>
              <w:bottom w:val="single" w:sz="4" w:space="0" w:color="000000"/>
              <w:right w:val="nil"/>
            </w:tcBorders>
            <w:vAlign w:val="center"/>
            <w:hideMark/>
          </w:tcPr>
          <w:p w14:paraId="25FEBBE7"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22A27D25" w14:textId="77777777" w:rsidTr="00C50D8A">
        <w:trPr>
          <w:trHeight w:val="288"/>
        </w:trPr>
        <w:tc>
          <w:tcPr>
            <w:tcW w:w="709" w:type="dxa"/>
            <w:vMerge/>
            <w:tcBorders>
              <w:left w:val="nil"/>
              <w:right w:val="nil"/>
            </w:tcBorders>
            <w:shd w:val="clear" w:color="auto" w:fill="A98899" w:themeFill="accent6"/>
            <w:vAlign w:val="center"/>
            <w:hideMark/>
          </w:tcPr>
          <w:p w14:paraId="6D22A030"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val="restart"/>
            <w:tcBorders>
              <w:top w:val="nil"/>
              <w:left w:val="nil"/>
              <w:right w:val="single" w:sz="4" w:space="0" w:color="auto"/>
            </w:tcBorders>
            <w:shd w:val="clear" w:color="auto" w:fill="auto"/>
            <w:noWrap/>
            <w:vAlign w:val="center"/>
            <w:hideMark/>
          </w:tcPr>
          <w:p w14:paraId="6468341E" w14:textId="41433F42" w:rsidR="009E3340" w:rsidRPr="0084474A" w:rsidRDefault="009E3340" w:rsidP="006228F7">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mittel</w:t>
            </w:r>
          </w:p>
        </w:tc>
        <w:tc>
          <w:tcPr>
            <w:tcW w:w="2835" w:type="dxa"/>
            <w:tcBorders>
              <w:top w:val="single" w:sz="4" w:space="0" w:color="auto"/>
              <w:left w:val="nil"/>
              <w:bottom w:val="nil"/>
              <w:right w:val="nil"/>
            </w:tcBorders>
            <w:shd w:val="clear" w:color="auto" w:fill="auto"/>
            <w:noWrap/>
            <w:vAlign w:val="center"/>
            <w:hideMark/>
          </w:tcPr>
          <w:p w14:paraId="0CA44548"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des Therapieangebots</w:t>
            </w:r>
          </w:p>
        </w:tc>
        <w:tc>
          <w:tcPr>
            <w:tcW w:w="580" w:type="dxa"/>
            <w:tcBorders>
              <w:top w:val="single" w:sz="4" w:space="0" w:color="auto"/>
              <w:left w:val="nil"/>
              <w:bottom w:val="nil"/>
              <w:right w:val="single" w:sz="4" w:space="0" w:color="auto"/>
            </w:tcBorders>
            <w:shd w:val="clear" w:color="auto" w:fill="auto"/>
            <w:noWrap/>
            <w:vAlign w:val="center"/>
            <w:hideMark/>
          </w:tcPr>
          <w:p w14:paraId="1502A197"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2</w:t>
            </w:r>
          </w:p>
        </w:tc>
        <w:tc>
          <w:tcPr>
            <w:tcW w:w="3956" w:type="dxa"/>
            <w:tcBorders>
              <w:top w:val="single" w:sz="4" w:space="0" w:color="auto"/>
              <w:left w:val="single" w:sz="4" w:space="0" w:color="auto"/>
              <w:bottom w:val="nil"/>
              <w:right w:val="nil"/>
            </w:tcBorders>
            <w:shd w:val="clear" w:color="auto" w:fill="auto"/>
            <w:noWrap/>
            <w:vAlign w:val="center"/>
            <w:hideMark/>
          </w:tcPr>
          <w:p w14:paraId="20FDEDCE"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Unterstützung durch interne und externe </w:t>
            </w:r>
            <w:proofErr w:type="spellStart"/>
            <w:r w:rsidRPr="0084474A">
              <w:rPr>
                <w:rFonts w:asciiTheme="minorHAnsi" w:eastAsia="Times New Roman" w:hAnsiTheme="minorHAnsi" w:cstheme="minorHAnsi"/>
                <w:color w:val="000000"/>
                <w:lang w:eastAsia="de-CH"/>
              </w:rPr>
              <w:t>Expert:innen</w:t>
            </w:r>
            <w:proofErr w:type="spellEnd"/>
          </w:p>
        </w:tc>
        <w:tc>
          <w:tcPr>
            <w:tcW w:w="700" w:type="dxa"/>
            <w:tcBorders>
              <w:top w:val="single" w:sz="4" w:space="0" w:color="auto"/>
              <w:left w:val="nil"/>
              <w:bottom w:val="nil"/>
              <w:right w:val="single" w:sz="4" w:space="0" w:color="auto"/>
            </w:tcBorders>
            <w:shd w:val="clear" w:color="auto" w:fill="auto"/>
            <w:noWrap/>
            <w:vAlign w:val="center"/>
            <w:hideMark/>
          </w:tcPr>
          <w:p w14:paraId="4898CA68"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17</w:t>
            </w:r>
          </w:p>
        </w:tc>
        <w:tc>
          <w:tcPr>
            <w:tcW w:w="3410" w:type="dxa"/>
            <w:tcBorders>
              <w:top w:val="single" w:sz="4" w:space="0" w:color="auto"/>
              <w:left w:val="single" w:sz="4" w:space="0" w:color="auto"/>
              <w:bottom w:val="nil"/>
              <w:right w:val="nil"/>
            </w:tcBorders>
            <w:shd w:val="clear" w:color="auto" w:fill="auto"/>
            <w:noWrap/>
            <w:vAlign w:val="center"/>
            <w:hideMark/>
          </w:tcPr>
          <w:p w14:paraId="2899D811"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von Tagesstrukturen</w:t>
            </w:r>
          </w:p>
        </w:tc>
        <w:tc>
          <w:tcPr>
            <w:tcW w:w="700" w:type="dxa"/>
            <w:tcBorders>
              <w:top w:val="single" w:sz="4" w:space="0" w:color="auto"/>
              <w:left w:val="nil"/>
              <w:bottom w:val="nil"/>
              <w:right w:val="single" w:sz="4" w:space="0" w:color="auto"/>
            </w:tcBorders>
            <w:shd w:val="clear" w:color="auto" w:fill="auto"/>
            <w:noWrap/>
            <w:vAlign w:val="center"/>
            <w:hideMark/>
          </w:tcPr>
          <w:p w14:paraId="3102C750"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10</w:t>
            </w:r>
          </w:p>
        </w:tc>
        <w:tc>
          <w:tcPr>
            <w:tcW w:w="1240" w:type="dxa"/>
            <w:vMerge w:val="restart"/>
            <w:tcBorders>
              <w:top w:val="nil"/>
              <w:left w:val="nil"/>
              <w:right w:val="nil"/>
            </w:tcBorders>
            <w:shd w:val="clear" w:color="auto" w:fill="auto"/>
            <w:noWrap/>
            <w:vAlign w:val="bottom"/>
            <w:hideMark/>
          </w:tcPr>
          <w:p w14:paraId="52A5184F" w14:textId="77777777" w:rsidR="009E3340" w:rsidRPr="0084474A" w:rsidRDefault="009E3340"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55</w:t>
            </w:r>
          </w:p>
        </w:tc>
      </w:tr>
      <w:tr w:rsidR="009E3340" w:rsidRPr="0084474A" w14:paraId="3E3FB08F" w14:textId="77777777" w:rsidTr="009E3340">
        <w:trPr>
          <w:trHeight w:val="288"/>
        </w:trPr>
        <w:tc>
          <w:tcPr>
            <w:tcW w:w="709" w:type="dxa"/>
            <w:vMerge/>
            <w:tcBorders>
              <w:left w:val="nil"/>
              <w:right w:val="nil"/>
            </w:tcBorders>
            <w:shd w:val="clear" w:color="auto" w:fill="A98899" w:themeFill="accent6"/>
            <w:vAlign w:val="center"/>
            <w:hideMark/>
          </w:tcPr>
          <w:p w14:paraId="4EA7C43D"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auto"/>
            <w:noWrap/>
            <w:vAlign w:val="center"/>
            <w:hideMark/>
          </w:tcPr>
          <w:p w14:paraId="15204329" w14:textId="46D3C02A" w:rsidR="009E3340" w:rsidRPr="0084474A" w:rsidRDefault="009E3340" w:rsidP="006228F7">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auto"/>
            <w:noWrap/>
            <w:vAlign w:val="center"/>
            <w:hideMark/>
          </w:tcPr>
          <w:p w14:paraId="11BD3E0F" w14:textId="77777777" w:rsidR="009E3340" w:rsidRPr="0084474A" w:rsidRDefault="009E3340" w:rsidP="003B19C1">
            <w:pPr>
              <w:rPr>
                <w:rFonts w:asciiTheme="minorHAnsi" w:eastAsia="Times New Roman" w:hAnsiTheme="minorHAnsi" w:cstheme="minorHAnsi"/>
                <w:color w:val="000000"/>
                <w:lang w:eastAsia="de-CH"/>
              </w:rPr>
            </w:pPr>
          </w:p>
          <w:p w14:paraId="240287D6"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Organisation Sexualbegleitung</w:t>
            </w:r>
          </w:p>
        </w:tc>
        <w:tc>
          <w:tcPr>
            <w:tcW w:w="580" w:type="dxa"/>
            <w:tcBorders>
              <w:top w:val="nil"/>
              <w:left w:val="nil"/>
              <w:bottom w:val="nil"/>
              <w:right w:val="single" w:sz="4" w:space="0" w:color="auto"/>
            </w:tcBorders>
            <w:shd w:val="clear" w:color="auto" w:fill="auto"/>
            <w:noWrap/>
            <w:vAlign w:val="center"/>
            <w:hideMark/>
          </w:tcPr>
          <w:p w14:paraId="1021F409" w14:textId="77777777" w:rsidR="009E3340" w:rsidRPr="0084474A" w:rsidRDefault="009E3340" w:rsidP="003B19C1">
            <w:pPr>
              <w:jc w:val="center"/>
              <w:rPr>
                <w:rFonts w:asciiTheme="minorHAnsi" w:eastAsia="Times New Roman" w:hAnsiTheme="minorHAnsi" w:cstheme="minorHAnsi"/>
                <w:lang w:eastAsia="de-CH"/>
              </w:rPr>
            </w:pPr>
            <w:r w:rsidRPr="0084474A">
              <w:rPr>
                <w:rFonts w:asciiTheme="minorHAnsi" w:eastAsia="Times New Roman" w:hAnsiTheme="minorHAnsi" w:cstheme="minorHAnsi"/>
                <w:lang w:eastAsia="de-CH"/>
              </w:rPr>
              <w:t>1</w:t>
            </w:r>
          </w:p>
        </w:tc>
        <w:tc>
          <w:tcPr>
            <w:tcW w:w="3956" w:type="dxa"/>
            <w:tcBorders>
              <w:top w:val="nil"/>
              <w:left w:val="single" w:sz="4" w:space="0" w:color="auto"/>
              <w:bottom w:val="nil"/>
              <w:right w:val="nil"/>
            </w:tcBorders>
            <w:shd w:val="clear" w:color="auto" w:fill="auto"/>
            <w:noWrap/>
            <w:vAlign w:val="center"/>
            <w:hideMark/>
          </w:tcPr>
          <w:p w14:paraId="019BC834"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der Arbeitszeiten</w:t>
            </w:r>
          </w:p>
        </w:tc>
        <w:tc>
          <w:tcPr>
            <w:tcW w:w="700" w:type="dxa"/>
            <w:tcBorders>
              <w:top w:val="nil"/>
              <w:left w:val="nil"/>
              <w:bottom w:val="nil"/>
              <w:right w:val="single" w:sz="4" w:space="0" w:color="auto"/>
            </w:tcBorders>
            <w:shd w:val="clear" w:color="auto" w:fill="auto"/>
            <w:noWrap/>
            <w:vAlign w:val="center"/>
            <w:hideMark/>
          </w:tcPr>
          <w:p w14:paraId="505C1894"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7</w:t>
            </w:r>
          </w:p>
        </w:tc>
        <w:tc>
          <w:tcPr>
            <w:tcW w:w="3410" w:type="dxa"/>
            <w:tcBorders>
              <w:top w:val="nil"/>
              <w:left w:val="single" w:sz="4" w:space="0" w:color="auto"/>
              <w:right w:val="nil"/>
            </w:tcBorders>
            <w:shd w:val="clear" w:color="auto" w:fill="auto"/>
            <w:noWrap/>
            <w:vAlign w:val="center"/>
            <w:hideMark/>
          </w:tcPr>
          <w:p w14:paraId="7827CD9D"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technische Anpassungen</w:t>
            </w:r>
          </w:p>
        </w:tc>
        <w:tc>
          <w:tcPr>
            <w:tcW w:w="700" w:type="dxa"/>
            <w:tcBorders>
              <w:top w:val="nil"/>
              <w:left w:val="nil"/>
              <w:bottom w:val="nil"/>
              <w:right w:val="single" w:sz="4" w:space="0" w:color="auto"/>
            </w:tcBorders>
            <w:shd w:val="clear" w:color="auto" w:fill="auto"/>
            <w:noWrap/>
            <w:vAlign w:val="center"/>
            <w:hideMark/>
          </w:tcPr>
          <w:p w14:paraId="2A080243"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9</w:t>
            </w:r>
          </w:p>
        </w:tc>
        <w:tc>
          <w:tcPr>
            <w:tcW w:w="1240" w:type="dxa"/>
            <w:vMerge/>
            <w:tcBorders>
              <w:left w:val="nil"/>
              <w:right w:val="nil"/>
            </w:tcBorders>
            <w:vAlign w:val="center"/>
            <w:hideMark/>
          </w:tcPr>
          <w:p w14:paraId="104B927E"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224F4FD1" w14:textId="77777777" w:rsidTr="009E3340">
        <w:trPr>
          <w:trHeight w:val="428"/>
        </w:trPr>
        <w:tc>
          <w:tcPr>
            <w:tcW w:w="709" w:type="dxa"/>
            <w:vMerge/>
            <w:tcBorders>
              <w:left w:val="nil"/>
              <w:right w:val="nil"/>
            </w:tcBorders>
            <w:shd w:val="clear" w:color="auto" w:fill="A98899" w:themeFill="accent6"/>
            <w:vAlign w:val="center"/>
            <w:hideMark/>
          </w:tcPr>
          <w:p w14:paraId="2C652E0D"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auto"/>
            <w:noWrap/>
            <w:vAlign w:val="center"/>
            <w:hideMark/>
          </w:tcPr>
          <w:p w14:paraId="40A462DE" w14:textId="52366CFE" w:rsidR="009E3340" w:rsidRPr="0084474A" w:rsidRDefault="009E3340" w:rsidP="006228F7">
            <w:pPr>
              <w:rPr>
                <w:rFonts w:asciiTheme="minorHAnsi" w:eastAsia="Times New Roman" w:hAnsiTheme="minorHAnsi" w:cstheme="minorHAnsi"/>
                <w:color w:val="000000"/>
                <w:lang w:eastAsia="de-CH"/>
              </w:rPr>
            </w:pPr>
          </w:p>
        </w:tc>
        <w:tc>
          <w:tcPr>
            <w:tcW w:w="2835" w:type="dxa"/>
            <w:vMerge w:val="restart"/>
            <w:tcBorders>
              <w:top w:val="nil"/>
              <w:left w:val="nil"/>
              <w:right w:val="nil"/>
            </w:tcBorders>
            <w:shd w:val="clear" w:color="auto" w:fill="auto"/>
            <w:noWrap/>
            <w:vAlign w:val="center"/>
            <w:hideMark/>
          </w:tcPr>
          <w:p w14:paraId="7D71B6B0"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vMerge w:val="restart"/>
            <w:tcBorders>
              <w:top w:val="nil"/>
              <w:left w:val="nil"/>
              <w:right w:val="single" w:sz="4" w:space="0" w:color="auto"/>
            </w:tcBorders>
            <w:shd w:val="clear" w:color="auto" w:fill="auto"/>
            <w:noWrap/>
            <w:vAlign w:val="center"/>
            <w:hideMark/>
          </w:tcPr>
          <w:p w14:paraId="0E7A6830" w14:textId="77777777" w:rsidR="009E3340" w:rsidRPr="0084474A" w:rsidRDefault="009E3340" w:rsidP="003B19C1">
            <w:pPr>
              <w:jc w:val="center"/>
              <w:rPr>
                <w:rFonts w:asciiTheme="minorHAnsi" w:eastAsia="Times New Roman" w:hAnsiTheme="minorHAnsi" w:cstheme="minorHAnsi"/>
                <w:lang w:eastAsia="de-CH"/>
              </w:rPr>
            </w:pPr>
          </w:p>
        </w:tc>
        <w:tc>
          <w:tcPr>
            <w:tcW w:w="3956" w:type="dxa"/>
            <w:vMerge w:val="restart"/>
            <w:tcBorders>
              <w:top w:val="nil"/>
              <w:left w:val="single" w:sz="4" w:space="0" w:color="auto"/>
              <w:right w:val="nil"/>
            </w:tcBorders>
            <w:shd w:val="clear" w:color="auto" w:fill="auto"/>
            <w:noWrap/>
            <w:vAlign w:val="center"/>
            <w:hideMark/>
          </w:tcPr>
          <w:p w14:paraId="08FBC2CC" w14:textId="77777777" w:rsidR="009E3340" w:rsidRPr="0084474A" w:rsidRDefault="009E3340" w:rsidP="003B19C1">
            <w:pPr>
              <w:rPr>
                <w:rFonts w:asciiTheme="minorHAnsi" w:eastAsia="Times New Roman" w:hAnsiTheme="minorHAnsi" w:cstheme="minorHAnsi"/>
                <w:lang w:eastAsia="de-CH"/>
              </w:rPr>
            </w:pPr>
          </w:p>
        </w:tc>
        <w:tc>
          <w:tcPr>
            <w:tcW w:w="700" w:type="dxa"/>
            <w:vMerge w:val="restart"/>
            <w:tcBorders>
              <w:top w:val="nil"/>
              <w:left w:val="nil"/>
              <w:right w:val="single" w:sz="4" w:space="0" w:color="auto"/>
            </w:tcBorders>
            <w:shd w:val="clear" w:color="auto" w:fill="auto"/>
            <w:noWrap/>
            <w:vAlign w:val="center"/>
            <w:hideMark/>
          </w:tcPr>
          <w:p w14:paraId="3D6CB8EB" w14:textId="77777777" w:rsidR="009E3340" w:rsidRPr="0084474A" w:rsidRDefault="009E3340" w:rsidP="003B19C1">
            <w:pPr>
              <w:jc w:val="center"/>
              <w:rPr>
                <w:rFonts w:asciiTheme="minorHAnsi" w:eastAsia="Times New Roman" w:hAnsiTheme="minorHAnsi" w:cstheme="minorHAnsi"/>
                <w:lang w:eastAsia="de-CH"/>
              </w:rPr>
            </w:pPr>
          </w:p>
        </w:tc>
        <w:tc>
          <w:tcPr>
            <w:tcW w:w="3410" w:type="dxa"/>
            <w:tcBorders>
              <w:top w:val="nil"/>
              <w:left w:val="single" w:sz="4" w:space="0" w:color="auto"/>
              <w:right w:val="nil"/>
            </w:tcBorders>
            <w:shd w:val="clear" w:color="auto" w:fill="auto"/>
            <w:noWrap/>
            <w:vAlign w:val="center"/>
            <w:hideMark/>
          </w:tcPr>
          <w:p w14:paraId="07073252" w14:textId="5D85462C"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der Innen- und Ausseneinrichtung</w:t>
            </w:r>
          </w:p>
        </w:tc>
        <w:tc>
          <w:tcPr>
            <w:tcW w:w="700" w:type="dxa"/>
            <w:tcBorders>
              <w:top w:val="nil"/>
              <w:left w:val="nil"/>
              <w:right w:val="single" w:sz="4" w:space="0" w:color="auto"/>
            </w:tcBorders>
            <w:shd w:val="clear" w:color="auto" w:fill="auto"/>
            <w:noWrap/>
            <w:vAlign w:val="center"/>
            <w:hideMark/>
          </w:tcPr>
          <w:p w14:paraId="1DEFEDC2" w14:textId="6EA855B2" w:rsidR="009E3340" w:rsidRPr="0084474A" w:rsidRDefault="009E3340" w:rsidP="009E3340">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8</w:t>
            </w:r>
          </w:p>
        </w:tc>
        <w:tc>
          <w:tcPr>
            <w:tcW w:w="1240" w:type="dxa"/>
            <w:vMerge/>
            <w:tcBorders>
              <w:left w:val="nil"/>
              <w:right w:val="nil"/>
            </w:tcBorders>
            <w:vAlign w:val="center"/>
            <w:hideMark/>
          </w:tcPr>
          <w:p w14:paraId="1880DA9C"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07DA3EAB" w14:textId="77777777" w:rsidTr="009E3340">
        <w:trPr>
          <w:trHeight w:val="428"/>
        </w:trPr>
        <w:tc>
          <w:tcPr>
            <w:tcW w:w="709" w:type="dxa"/>
            <w:vMerge/>
            <w:tcBorders>
              <w:left w:val="nil"/>
              <w:right w:val="nil"/>
            </w:tcBorders>
            <w:shd w:val="clear" w:color="auto" w:fill="A98899" w:themeFill="accent6"/>
            <w:vAlign w:val="center"/>
          </w:tcPr>
          <w:p w14:paraId="3D39E39B"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bottom w:val="single" w:sz="4" w:space="0" w:color="auto"/>
              <w:right w:val="single" w:sz="4" w:space="0" w:color="auto"/>
            </w:tcBorders>
            <w:shd w:val="clear" w:color="auto" w:fill="auto"/>
            <w:noWrap/>
            <w:vAlign w:val="center"/>
          </w:tcPr>
          <w:p w14:paraId="70DD97A8" w14:textId="77777777" w:rsidR="009E3340" w:rsidRPr="0084474A" w:rsidRDefault="009E3340" w:rsidP="006228F7">
            <w:pPr>
              <w:rPr>
                <w:rFonts w:asciiTheme="minorHAnsi" w:eastAsia="Times New Roman" w:hAnsiTheme="minorHAnsi" w:cstheme="minorHAnsi"/>
                <w:color w:val="000000"/>
                <w:lang w:eastAsia="de-CH"/>
              </w:rPr>
            </w:pPr>
          </w:p>
        </w:tc>
        <w:tc>
          <w:tcPr>
            <w:tcW w:w="2835" w:type="dxa"/>
            <w:vMerge/>
            <w:tcBorders>
              <w:left w:val="nil"/>
              <w:bottom w:val="single" w:sz="4" w:space="0" w:color="auto"/>
              <w:right w:val="nil"/>
            </w:tcBorders>
            <w:shd w:val="clear" w:color="auto" w:fill="auto"/>
            <w:noWrap/>
            <w:vAlign w:val="center"/>
          </w:tcPr>
          <w:p w14:paraId="00100CE2"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vMerge/>
            <w:tcBorders>
              <w:left w:val="nil"/>
              <w:bottom w:val="single" w:sz="4" w:space="0" w:color="auto"/>
              <w:right w:val="single" w:sz="4" w:space="0" w:color="auto"/>
            </w:tcBorders>
            <w:shd w:val="clear" w:color="auto" w:fill="auto"/>
            <w:noWrap/>
            <w:vAlign w:val="center"/>
          </w:tcPr>
          <w:p w14:paraId="02CAEF88" w14:textId="77777777" w:rsidR="009E3340" w:rsidRPr="0084474A" w:rsidRDefault="009E3340" w:rsidP="003B19C1">
            <w:pPr>
              <w:jc w:val="center"/>
              <w:rPr>
                <w:rFonts w:asciiTheme="minorHAnsi" w:eastAsia="Times New Roman" w:hAnsiTheme="minorHAnsi" w:cstheme="minorHAnsi"/>
                <w:lang w:eastAsia="de-CH"/>
              </w:rPr>
            </w:pPr>
          </w:p>
        </w:tc>
        <w:tc>
          <w:tcPr>
            <w:tcW w:w="3956" w:type="dxa"/>
            <w:vMerge/>
            <w:tcBorders>
              <w:left w:val="single" w:sz="4" w:space="0" w:color="auto"/>
              <w:bottom w:val="single" w:sz="4" w:space="0" w:color="auto"/>
              <w:right w:val="nil"/>
            </w:tcBorders>
            <w:shd w:val="clear" w:color="auto" w:fill="auto"/>
            <w:noWrap/>
            <w:vAlign w:val="center"/>
          </w:tcPr>
          <w:p w14:paraId="3E53D514" w14:textId="77777777" w:rsidR="009E3340" w:rsidRPr="0084474A" w:rsidRDefault="009E3340" w:rsidP="003B19C1">
            <w:pPr>
              <w:rPr>
                <w:rFonts w:asciiTheme="minorHAnsi" w:eastAsia="Times New Roman" w:hAnsiTheme="minorHAnsi" w:cstheme="minorHAnsi"/>
                <w:lang w:eastAsia="de-CH"/>
              </w:rPr>
            </w:pPr>
          </w:p>
        </w:tc>
        <w:tc>
          <w:tcPr>
            <w:tcW w:w="700" w:type="dxa"/>
            <w:vMerge/>
            <w:tcBorders>
              <w:left w:val="nil"/>
              <w:bottom w:val="single" w:sz="4" w:space="0" w:color="auto"/>
              <w:right w:val="single" w:sz="4" w:space="0" w:color="auto"/>
            </w:tcBorders>
            <w:shd w:val="clear" w:color="auto" w:fill="auto"/>
            <w:noWrap/>
            <w:vAlign w:val="center"/>
          </w:tcPr>
          <w:p w14:paraId="312228E4" w14:textId="77777777" w:rsidR="009E3340" w:rsidRPr="0084474A" w:rsidRDefault="009E3340" w:rsidP="003B19C1">
            <w:pPr>
              <w:jc w:val="center"/>
              <w:rPr>
                <w:rFonts w:asciiTheme="minorHAnsi" w:eastAsia="Times New Roman" w:hAnsiTheme="minorHAnsi" w:cstheme="minorHAnsi"/>
                <w:lang w:eastAsia="de-CH"/>
              </w:rPr>
            </w:pPr>
          </w:p>
        </w:tc>
        <w:tc>
          <w:tcPr>
            <w:tcW w:w="3410" w:type="dxa"/>
            <w:tcBorders>
              <w:left w:val="single" w:sz="4" w:space="0" w:color="auto"/>
              <w:bottom w:val="single" w:sz="4" w:space="0" w:color="auto"/>
              <w:right w:val="nil"/>
            </w:tcBorders>
            <w:shd w:val="clear" w:color="auto" w:fill="auto"/>
            <w:noWrap/>
            <w:vAlign w:val="center"/>
          </w:tcPr>
          <w:p w14:paraId="0687852E" w14:textId="74D10D62"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Kooperation mit Spital</w:t>
            </w:r>
          </w:p>
        </w:tc>
        <w:tc>
          <w:tcPr>
            <w:tcW w:w="700" w:type="dxa"/>
            <w:tcBorders>
              <w:left w:val="nil"/>
              <w:bottom w:val="single" w:sz="4" w:space="0" w:color="auto"/>
              <w:right w:val="single" w:sz="4" w:space="0" w:color="auto"/>
            </w:tcBorders>
            <w:shd w:val="clear" w:color="auto" w:fill="auto"/>
            <w:noWrap/>
            <w:vAlign w:val="center"/>
          </w:tcPr>
          <w:p w14:paraId="180CDABA" w14:textId="23F03528"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w:t>
            </w:r>
          </w:p>
        </w:tc>
        <w:tc>
          <w:tcPr>
            <w:tcW w:w="1240" w:type="dxa"/>
            <w:vMerge/>
            <w:tcBorders>
              <w:left w:val="nil"/>
              <w:bottom w:val="single" w:sz="4" w:space="0" w:color="000000"/>
              <w:right w:val="nil"/>
            </w:tcBorders>
            <w:vAlign w:val="center"/>
          </w:tcPr>
          <w:p w14:paraId="402FE112" w14:textId="77777777" w:rsidR="009E3340" w:rsidRPr="0084474A" w:rsidRDefault="009E3340" w:rsidP="003B19C1">
            <w:pPr>
              <w:jc w:val="center"/>
              <w:rPr>
                <w:rFonts w:asciiTheme="minorHAnsi" w:eastAsia="Times New Roman" w:hAnsiTheme="minorHAnsi" w:cstheme="minorHAnsi"/>
                <w:b/>
                <w:bCs/>
                <w:color w:val="000000"/>
                <w:lang w:eastAsia="de-CH"/>
              </w:rPr>
            </w:pPr>
          </w:p>
        </w:tc>
      </w:tr>
      <w:tr w:rsidR="009E3340" w:rsidRPr="0084474A" w14:paraId="3B41BC5F" w14:textId="77777777" w:rsidTr="00D70023">
        <w:trPr>
          <w:trHeight w:val="288"/>
        </w:trPr>
        <w:tc>
          <w:tcPr>
            <w:tcW w:w="709" w:type="dxa"/>
            <w:vMerge/>
            <w:tcBorders>
              <w:left w:val="nil"/>
              <w:right w:val="nil"/>
            </w:tcBorders>
            <w:shd w:val="clear" w:color="auto" w:fill="A98899" w:themeFill="accent6"/>
            <w:vAlign w:val="center"/>
            <w:hideMark/>
          </w:tcPr>
          <w:p w14:paraId="57B5C0CB"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val="restart"/>
            <w:tcBorders>
              <w:top w:val="single" w:sz="4" w:space="0" w:color="auto"/>
              <w:left w:val="nil"/>
              <w:right w:val="single" w:sz="4" w:space="0" w:color="auto"/>
            </w:tcBorders>
            <w:shd w:val="clear" w:color="auto" w:fill="F2F2F2" w:themeFill="background1" w:themeFillShade="F2"/>
            <w:noWrap/>
            <w:vAlign w:val="center"/>
            <w:hideMark/>
          </w:tcPr>
          <w:p w14:paraId="72B20A9A" w14:textId="7345EBF3" w:rsidR="009E3340" w:rsidRPr="0084474A" w:rsidRDefault="009E3340" w:rsidP="006228F7">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tief</w:t>
            </w:r>
            <w:r w:rsidRPr="0084474A">
              <w:rPr>
                <w:rFonts w:asciiTheme="minorHAnsi" w:eastAsia="Times New Roman" w:hAnsiTheme="minorHAnsi" w:cstheme="minorHAnsi"/>
                <w:color w:val="000000"/>
                <w:lang w:eastAsia="de-CH"/>
              </w:rPr>
              <w:t> </w:t>
            </w:r>
          </w:p>
        </w:tc>
        <w:tc>
          <w:tcPr>
            <w:tcW w:w="2835" w:type="dxa"/>
            <w:tcBorders>
              <w:top w:val="single" w:sz="4" w:space="0" w:color="auto"/>
              <w:left w:val="nil"/>
              <w:bottom w:val="nil"/>
              <w:right w:val="nil"/>
            </w:tcBorders>
            <w:shd w:val="clear" w:color="auto" w:fill="F2F2F2" w:themeFill="background1" w:themeFillShade="F2"/>
            <w:noWrap/>
            <w:vAlign w:val="center"/>
            <w:hideMark/>
          </w:tcPr>
          <w:p w14:paraId="334DB480"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Anpassung der Medikation durch </w:t>
            </w:r>
            <w:proofErr w:type="spellStart"/>
            <w:r w:rsidRPr="0084474A">
              <w:rPr>
                <w:rFonts w:asciiTheme="minorHAnsi" w:eastAsia="Times New Roman" w:hAnsiTheme="minorHAnsi" w:cstheme="minorHAnsi"/>
                <w:color w:val="000000"/>
                <w:lang w:eastAsia="de-CH"/>
              </w:rPr>
              <w:t>Mediziner:innen</w:t>
            </w:r>
            <w:proofErr w:type="spellEnd"/>
          </w:p>
        </w:tc>
        <w:tc>
          <w:tcPr>
            <w:tcW w:w="580" w:type="dxa"/>
            <w:tcBorders>
              <w:top w:val="single" w:sz="4" w:space="0" w:color="auto"/>
              <w:left w:val="nil"/>
              <w:bottom w:val="nil"/>
              <w:right w:val="single" w:sz="4" w:space="0" w:color="auto"/>
            </w:tcBorders>
            <w:shd w:val="clear" w:color="auto" w:fill="F2F2F2" w:themeFill="background1" w:themeFillShade="F2"/>
            <w:noWrap/>
            <w:vAlign w:val="center"/>
            <w:hideMark/>
          </w:tcPr>
          <w:p w14:paraId="47126466"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2</w:t>
            </w:r>
          </w:p>
        </w:tc>
        <w:tc>
          <w:tcPr>
            <w:tcW w:w="3956" w:type="dxa"/>
            <w:tcBorders>
              <w:top w:val="single" w:sz="4" w:space="0" w:color="auto"/>
              <w:left w:val="single" w:sz="4" w:space="0" w:color="auto"/>
              <w:bottom w:val="nil"/>
              <w:right w:val="nil"/>
            </w:tcBorders>
            <w:shd w:val="clear" w:color="auto" w:fill="F2F2F2" w:themeFill="background1" w:themeFillShade="F2"/>
            <w:noWrap/>
            <w:vAlign w:val="center"/>
            <w:hideMark/>
          </w:tcPr>
          <w:p w14:paraId="27A264FD"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im agogischen Umgang mit der Klientel</w:t>
            </w:r>
          </w:p>
        </w:tc>
        <w:tc>
          <w:tcPr>
            <w:tcW w:w="700" w:type="dxa"/>
            <w:tcBorders>
              <w:top w:val="single" w:sz="4" w:space="0" w:color="auto"/>
              <w:left w:val="nil"/>
              <w:bottom w:val="nil"/>
              <w:right w:val="single" w:sz="4" w:space="0" w:color="auto"/>
            </w:tcBorders>
            <w:shd w:val="clear" w:color="auto" w:fill="F2F2F2" w:themeFill="background1" w:themeFillShade="F2"/>
            <w:noWrap/>
            <w:vAlign w:val="center"/>
            <w:hideMark/>
          </w:tcPr>
          <w:p w14:paraId="1C08FFC6"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4</w:t>
            </w:r>
          </w:p>
        </w:tc>
        <w:tc>
          <w:tcPr>
            <w:tcW w:w="3410" w:type="dxa"/>
            <w:tcBorders>
              <w:top w:val="single" w:sz="4" w:space="0" w:color="auto"/>
              <w:left w:val="single" w:sz="4" w:space="0" w:color="auto"/>
              <w:bottom w:val="nil"/>
              <w:right w:val="nil"/>
            </w:tcBorders>
            <w:shd w:val="clear" w:color="auto" w:fill="F2F2F2" w:themeFill="background1" w:themeFillShade="F2"/>
            <w:noWrap/>
            <w:vAlign w:val="center"/>
            <w:hideMark/>
          </w:tcPr>
          <w:p w14:paraId="20491BCF"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Anpassung von Schliessmechanismen</w:t>
            </w:r>
          </w:p>
        </w:tc>
        <w:tc>
          <w:tcPr>
            <w:tcW w:w="700" w:type="dxa"/>
            <w:tcBorders>
              <w:top w:val="single" w:sz="4" w:space="0" w:color="auto"/>
              <w:left w:val="nil"/>
              <w:bottom w:val="nil"/>
              <w:right w:val="single" w:sz="4" w:space="0" w:color="auto"/>
            </w:tcBorders>
            <w:shd w:val="clear" w:color="auto" w:fill="F2F2F2" w:themeFill="background1" w:themeFillShade="F2"/>
            <w:noWrap/>
            <w:vAlign w:val="center"/>
            <w:hideMark/>
          </w:tcPr>
          <w:p w14:paraId="2FBC959D"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6</w:t>
            </w:r>
          </w:p>
        </w:tc>
        <w:tc>
          <w:tcPr>
            <w:tcW w:w="1240" w:type="dxa"/>
            <w:vMerge w:val="restart"/>
            <w:tcBorders>
              <w:top w:val="nil"/>
              <w:left w:val="nil"/>
              <w:bottom w:val="single" w:sz="4" w:space="0" w:color="000000"/>
              <w:right w:val="nil"/>
            </w:tcBorders>
            <w:shd w:val="clear" w:color="auto" w:fill="F2F2F2" w:themeFill="background1" w:themeFillShade="F2"/>
            <w:noWrap/>
            <w:vAlign w:val="bottom"/>
            <w:hideMark/>
          </w:tcPr>
          <w:p w14:paraId="70C47176" w14:textId="77777777" w:rsidR="009E3340" w:rsidRPr="0084474A" w:rsidRDefault="009E3340"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24</w:t>
            </w:r>
          </w:p>
        </w:tc>
      </w:tr>
      <w:tr w:rsidR="009E3340" w:rsidRPr="0084474A" w14:paraId="6499116A" w14:textId="77777777" w:rsidTr="00D70023">
        <w:trPr>
          <w:trHeight w:val="288"/>
        </w:trPr>
        <w:tc>
          <w:tcPr>
            <w:tcW w:w="709" w:type="dxa"/>
            <w:vMerge/>
            <w:tcBorders>
              <w:left w:val="nil"/>
              <w:right w:val="nil"/>
            </w:tcBorders>
            <w:shd w:val="clear" w:color="auto" w:fill="A98899" w:themeFill="accent6"/>
            <w:vAlign w:val="center"/>
            <w:hideMark/>
          </w:tcPr>
          <w:p w14:paraId="63E44FC4"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F2F2F2" w:themeFill="background1" w:themeFillShade="F2"/>
            <w:noWrap/>
            <w:vAlign w:val="bottom"/>
            <w:hideMark/>
          </w:tcPr>
          <w:p w14:paraId="48D50871" w14:textId="6992C59F" w:rsidR="009E3340" w:rsidRPr="0084474A" w:rsidRDefault="009E3340" w:rsidP="003B19C1">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F2F2F2" w:themeFill="background1" w:themeFillShade="F2"/>
            <w:noWrap/>
            <w:vAlign w:val="center"/>
            <w:hideMark/>
          </w:tcPr>
          <w:p w14:paraId="2FB1A2A8"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Portionieren von Essen</w:t>
            </w:r>
          </w:p>
        </w:tc>
        <w:tc>
          <w:tcPr>
            <w:tcW w:w="580" w:type="dxa"/>
            <w:tcBorders>
              <w:top w:val="nil"/>
              <w:left w:val="nil"/>
              <w:bottom w:val="nil"/>
              <w:right w:val="single" w:sz="4" w:space="0" w:color="auto"/>
            </w:tcBorders>
            <w:shd w:val="clear" w:color="auto" w:fill="F2F2F2" w:themeFill="background1" w:themeFillShade="F2"/>
            <w:noWrap/>
            <w:vAlign w:val="center"/>
            <w:hideMark/>
          </w:tcPr>
          <w:p w14:paraId="4CB9C512" w14:textId="77777777" w:rsidR="009E3340" w:rsidRPr="0084474A" w:rsidRDefault="009E3340" w:rsidP="003B19C1">
            <w:pPr>
              <w:jc w:val="center"/>
              <w:rPr>
                <w:rFonts w:asciiTheme="minorHAnsi" w:eastAsia="Times New Roman" w:hAnsiTheme="minorHAnsi" w:cstheme="minorHAnsi"/>
                <w:lang w:eastAsia="de-CH"/>
              </w:rPr>
            </w:pPr>
            <w:r w:rsidRPr="0084474A">
              <w:rPr>
                <w:rFonts w:asciiTheme="minorHAnsi" w:eastAsia="Times New Roman" w:hAnsiTheme="minorHAnsi" w:cstheme="minorHAnsi"/>
                <w:lang w:eastAsia="de-CH"/>
              </w:rPr>
              <w:t>1</w:t>
            </w:r>
          </w:p>
        </w:tc>
        <w:tc>
          <w:tcPr>
            <w:tcW w:w="3956" w:type="dxa"/>
            <w:tcBorders>
              <w:top w:val="nil"/>
              <w:left w:val="single" w:sz="4" w:space="0" w:color="auto"/>
              <w:bottom w:val="nil"/>
              <w:right w:val="nil"/>
            </w:tcBorders>
            <w:shd w:val="clear" w:color="auto" w:fill="F2F2F2" w:themeFill="background1" w:themeFillShade="F2"/>
            <w:noWrap/>
            <w:vAlign w:val="center"/>
            <w:hideMark/>
          </w:tcPr>
          <w:p w14:paraId="0DCA2CAB"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Sensibilisierung der Fachpersonen </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20204988"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4</w:t>
            </w: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65D67FDB"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Fixieren von Möbeln</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5977B4B8"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2</w:t>
            </w:r>
          </w:p>
        </w:tc>
        <w:tc>
          <w:tcPr>
            <w:tcW w:w="1240" w:type="dxa"/>
            <w:vMerge/>
            <w:tcBorders>
              <w:top w:val="nil"/>
              <w:left w:val="nil"/>
              <w:bottom w:val="single" w:sz="4" w:space="0" w:color="000000"/>
              <w:right w:val="nil"/>
            </w:tcBorders>
            <w:vAlign w:val="center"/>
            <w:hideMark/>
          </w:tcPr>
          <w:p w14:paraId="605CD660" w14:textId="77777777" w:rsidR="009E3340" w:rsidRPr="0084474A" w:rsidRDefault="009E3340" w:rsidP="003B19C1">
            <w:pPr>
              <w:rPr>
                <w:rFonts w:asciiTheme="minorHAnsi" w:eastAsia="Times New Roman" w:hAnsiTheme="minorHAnsi" w:cstheme="minorHAnsi"/>
                <w:b/>
                <w:bCs/>
                <w:color w:val="000000"/>
                <w:lang w:eastAsia="de-CH"/>
              </w:rPr>
            </w:pPr>
          </w:p>
        </w:tc>
      </w:tr>
      <w:tr w:rsidR="009E3340" w:rsidRPr="0084474A" w14:paraId="684E6BB2" w14:textId="77777777" w:rsidTr="00D70023">
        <w:trPr>
          <w:trHeight w:val="288"/>
        </w:trPr>
        <w:tc>
          <w:tcPr>
            <w:tcW w:w="709" w:type="dxa"/>
            <w:vMerge/>
            <w:tcBorders>
              <w:left w:val="nil"/>
              <w:right w:val="nil"/>
            </w:tcBorders>
            <w:shd w:val="clear" w:color="auto" w:fill="A98899" w:themeFill="accent6"/>
            <w:vAlign w:val="center"/>
            <w:hideMark/>
          </w:tcPr>
          <w:p w14:paraId="5F3E08F7"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right w:val="single" w:sz="4" w:space="0" w:color="auto"/>
            </w:tcBorders>
            <w:shd w:val="clear" w:color="auto" w:fill="F2F2F2" w:themeFill="background1" w:themeFillShade="F2"/>
            <w:noWrap/>
            <w:vAlign w:val="bottom"/>
            <w:hideMark/>
          </w:tcPr>
          <w:p w14:paraId="69EAD66D" w14:textId="5A0D6892" w:rsidR="009E3340" w:rsidRPr="0084474A" w:rsidRDefault="009E3340" w:rsidP="003B19C1">
            <w:pPr>
              <w:rPr>
                <w:rFonts w:asciiTheme="minorHAnsi" w:eastAsia="Times New Roman" w:hAnsiTheme="minorHAnsi" w:cstheme="minorHAnsi"/>
                <w:color w:val="000000"/>
                <w:lang w:eastAsia="de-CH"/>
              </w:rPr>
            </w:pPr>
          </w:p>
        </w:tc>
        <w:tc>
          <w:tcPr>
            <w:tcW w:w="2835" w:type="dxa"/>
            <w:tcBorders>
              <w:top w:val="nil"/>
              <w:left w:val="nil"/>
              <w:bottom w:val="nil"/>
              <w:right w:val="nil"/>
            </w:tcBorders>
            <w:shd w:val="clear" w:color="auto" w:fill="F2F2F2" w:themeFill="background1" w:themeFillShade="F2"/>
            <w:noWrap/>
            <w:vAlign w:val="center"/>
            <w:hideMark/>
          </w:tcPr>
          <w:p w14:paraId="7131069C"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tcBorders>
              <w:top w:val="nil"/>
              <w:left w:val="nil"/>
              <w:bottom w:val="nil"/>
              <w:right w:val="single" w:sz="4" w:space="0" w:color="auto"/>
            </w:tcBorders>
            <w:shd w:val="clear" w:color="auto" w:fill="F2F2F2" w:themeFill="background1" w:themeFillShade="F2"/>
            <w:noWrap/>
            <w:vAlign w:val="center"/>
            <w:hideMark/>
          </w:tcPr>
          <w:p w14:paraId="00D787E9" w14:textId="77777777" w:rsidR="009E3340" w:rsidRPr="0084474A" w:rsidRDefault="009E3340" w:rsidP="003B19C1">
            <w:pPr>
              <w:jc w:val="center"/>
              <w:rPr>
                <w:rFonts w:asciiTheme="minorHAnsi" w:eastAsia="Times New Roman" w:hAnsiTheme="minorHAnsi" w:cstheme="minorHAnsi"/>
                <w:lang w:eastAsia="de-CH"/>
              </w:rPr>
            </w:pPr>
          </w:p>
        </w:tc>
        <w:tc>
          <w:tcPr>
            <w:tcW w:w="3956" w:type="dxa"/>
            <w:tcBorders>
              <w:top w:val="nil"/>
              <w:left w:val="single" w:sz="4" w:space="0" w:color="auto"/>
              <w:bottom w:val="nil"/>
              <w:right w:val="nil"/>
            </w:tcBorders>
            <w:shd w:val="clear" w:color="auto" w:fill="F2F2F2" w:themeFill="background1" w:themeFillShade="F2"/>
            <w:noWrap/>
            <w:vAlign w:val="center"/>
            <w:hideMark/>
          </w:tcPr>
          <w:p w14:paraId="6785A539"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Anschaffung von Schutzkleidung</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0D2062AA"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2</w:t>
            </w:r>
          </w:p>
        </w:tc>
        <w:tc>
          <w:tcPr>
            <w:tcW w:w="3410" w:type="dxa"/>
            <w:tcBorders>
              <w:top w:val="nil"/>
              <w:left w:val="single" w:sz="4" w:space="0" w:color="auto"/>
              <w:bottom w:val="nil"/>
              <w:right w:val="nil"/>
            </w:tcBorders>
            <w:shd w:val="clear" w:color="auto" w:fill="F2F2F2" w:themeFill="background1" w:themeFillShade="F2"/>
            <w:noWrap/>
            <w:vAlign w:val="center"/>
            <w:hideMark/>
          </w:tcPr>
          <w:p w14:paraId="76AE42DF"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konsequente Auswertung von Meldungen zu herausfordernden Verhaltensweisen</w:t>
            </w:r>
          </w:p>
        </w:tc>
        <w:tc>
          <w:tcPr>
            <w:tcW w:w="700" w:type="dxa"/>
            <w:tcBorders>
              <w:top w:val="nil"/>
              <w:left w:val="nil"/>
              <w:bottom w:val="nil"/>
              <w:right w:val="single" w:sz="4" w:space="0" w:color="auto"/>
            </w:tcBorders>
            <w:shd w:val="clear" w:color="auto" w:fill="F2F2F2" w:themeFill="background1" w:themeFillShade="F2"/>
            <w:noWrap/>
            <w:vAlign w:val="center"/>
            <w:hideMark/>
          </w:tcPr>
          <w:p w14:paraId="16486418"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w:t>
            </w:r>
          </w:p>
        </w:tc>
        <w:tc>
          <w:tcPr>
            <w:tcW w:w="1240" w:type="dxa"/>
            <w:vMerge/>
            <w:tcBorders>
              <w:top w:val="nil"/>
              <w:left w:val="nil"/>
              <w:bottom w:val="single" w:sz="4" w:space="0" w:color="000000"/>
              <w:right w:val="nil"/>
            </w:tcBorders>
            <w:vAlign w:val="center"/>
            <w:hideMark/>
          </w:tcPr>
          <w:p w14:paraId="7234A297" w14:textId="77777777" w:rsidR="009E3340" w:rsidRPr="0084474A" w:rsidRDefault="009E3340" w:rsidP="003B19C1">
            <w:pPr>
              <w:rPr>
                <w:rFonts w:asciiTheme="minorHAnsi" w:eastAsia="Times New Roman" w:hAnsiTheme="minorHAnsi" w:cstheme="minorHAnsi"/>
                <w:b/>
                <w:bCs/>
                <w:color w:val="000000"/>
                <w:lang w:eastAsia="de-CH"/>
              </w:rPr>
            </w:pPr>
          </w:p>
        </w:tc>
      </w:tr>
      <w:tr w:rsidR="009E3340" w:rsidRPr="0084474A" w14:paraId="0CD934FF" w14:textId="77777777" w:rsidTr="00D70023">
        <w:trPr>
          <w:trHeight w:val="288"/>
        </w:trPr>
        <w:tc>
          <w:tcPr>
            <w:tcW w:w="709" w:type="dxa"/>
            <w:vMerge/>
            <w:tcBorders>
              <w:left w:val="nil"/>
              <w:bottom w:val="nil"/>
              <w:right w:val="nil"/>
            </w:tcBorders>
            <w:shd w:val="clear" w:color="auto" w:fill="A98899" w:themeFill="accent6"/>
            <w:vAlign w:val="center"/>
            <w:hideMark/>
          </w:tcPr>
          <w:p w14:paraId="23867AC9" w14:textId="77777777" w:rsidR="009E3340" w:rsidRPr="0084474A" w:rsidRDefault="009E3340" w:rsidP="003B19C1">
            <w:pPr>
              <w:rPr>
                <w:rFonts w:asciiTheme="minorHAnsi" w:eastAsia="Times New Roman" w:hAnsiTheme="minorHAnsi" w:cstheme="minorHAnsi"/>
                <w:b/>
                <w:bCs/>
                <w:color w:val="000000"/>
                <w:lang w:eastAsia="de-CH"/>
              </w:rPr>
            </w:pPr>
          </w:p>
        </w:tc>
        <w:tc>
          <w:tcPr>
            <w:tcW w:w="851" w:type="dxa"/>
            <w:vMerge/>
            <w:tcBorders>
              <w:left w:val="nil"/>
              <w:bottom w:val="single" w:sz="4" w:space="0" w:color="auto"/>
              <w:right w:val="single" w:sz="4" w:space="0" w:color="auto"/>
            </w:tcBorders>
            <w:shd w:val="clear" w:color="auto" w:fill="F2F2F2" w:themeFill="background1" w:themeFillShade="F2"/>
            <w:noWrap/>
            <w:vAlign w:val="bottom"/>
            <w:hideMark/>
          </w:tcPr>
          <w:p w14:paraId="792132CE" w14:textId="148CD2D3" w:rsidR="009E3340" w:rsidRPr="0084474A" w:rsidRDefault="009E3340" w:rsidP="003B19C1">
            <w:pPr>
              <w:rPr>
                <w:rFonts w:asciiTheme="minorHAnsi" w:eastAsia="Times New Roman" w:hAnsiTheme="minorHAnsi" w:cstheme="minorHAnsi"/>
                <w:color w:val="000000"/>
                <w:lang w:eastAsia="de-CH"/>
              </w:rPr>
            </w:pPr>
          </w:p>
        </w:tc>
        <w:tc>
          <w:tcPr>
            <w:tcW w:w="2835" w:type="dxa"/>
            <w:tcBorders>
              <w:top w:val="nil"/>
              <w:left w:val="nil"/>
              <w:bottom w:val="single" w:sz="4" w:space="0" w:color="auto"/>
              <w:right w:val="nil"/>
            </w:tcBorders>
            <w:shd w:val="clear" w:color="auto" w:fill="F2F2F2" w:themeFill="background1" w:themeFillShade="F2"/>
            <w:noWrap/>
            <w:vAlign w:val="center"/>
            <w:hideMark/>
          </w:tcPr>
          <w:p w14:paraId="09A6F51C" w14:textId="77777777" w:rsidR="009E3340" w:rsidRPr="0084474A" w:rsidRDefault="009E3340" w:rsidP="003B19C1">
            <w:pPr>
              <w:rPr>
                <w:rFonts w:asciiTheme="minorHAnsi" w:eastAsia="Times New Roman" w:hAnsiTheme="minorHAnsi" w:cstheme="minorHAnsi"/>
                <w:color w:val="000000"/>
                <w:lang w:eastAsia="de-CH"/>
              </w:rPr>
            </w:pPr>
          </w:p>
        </w:tc>
        <w:tc>
          <w:tcPr>
            <w:tcW w:w="580" w:type="dxa"/>
            <w:tcBorders>
              <w:top w:val="nil"/>
              <w:left w:val="nil"/>
              <w:bottom w:val="single" w:sz="4" w:space="0" w:color="auto"/>
              <w:right w:val="single" w:sz="4" w:space="0" w:color="auto"/>
            </w:tcBorders>
            <w:shd w:val="clear" w:color="auto" w:fill="F2F2F2" w:themeFill="background1" w:themeFillShade="F2"/>
            <w:noWrap/>
            <w:vAlign w:val="center"/>
            <w:hideMark/>
          </w:tcPr>
          <w:p w14:paraId="6515F8C7" w14:textId="77777777" w:rsidR="009E3340" w:rsidRPr="0084474A" w:rsidRDefault="009E3340" w:rsidP="003B19C1">
            <w:pPr>
              <w:jc w:val="center"/>
              <w:rPr>
                <w:rFonts w:asciiTheme="minorHAnsi" w:eastAsia="Times New Roman" w:hAnsiTheme="minorHAnsi" w:cstheme="minorHAnsi"/>
                <w:color w:val="000000"/>
                <w:lang w:eastAsia="de-CH"/>
              </w:rPr>
            </w:pPr>
          </w:p>
        </w:tc>
        <w:tc>
          <w:tcPr>
            <w:tcW w:w="3956" w:type="dxa"/>
            <w:tcBorders>
              <w:top w:val="nil"/>
              <w:left w:val="single" w:sz="4" w:space="0" w:color="auto"/>
              <w:bottom w:val="single" w:sz="4" w:space="0" w:color="auto"/>
              <w:right w:val="nil"/>
            </w:tcBorders>
            <w:shd w:val="clear" w:color="auto" w:fill="F2F2F2" w:themeFill="background1" w:themeFillShade="F2"/>
            <w:noWrap/>
            <w:vAlign w:val="center"/>
            <w:hideMark/>
          </w:tcPr>
          <w:p w14:paraId="6CC23DE9" w14:textId="68D835B4" w:rsidR="009E3340" w:rsidRPr="0084474A" w:rsidRDefault="009E3340" w:rsidP="0004237F">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systematische Fallbearbeitung</w:t>
            </w:r>
          </w:p>
        </w:tc>
        <w:tc>
          <w:tcPr>
            <w:tcW w:w="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28C8C790" w14:textId="7F66CD18" w:rsidR="009E3340" w:rsidRPr="0084474A" w:rsidRDefault="009E3340" w:rsidP="0004237F">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w:t>
            </w:r>
          </w:p>
        </w:tc>
        <w:tc>
          <w:tcPr>
            <w:tcW w:w="3410" w:type="dxa"/>
            <w:tcBorders>
              <w:top w:val="nil"/>
              <w:left w:val="single" w:sz="4" w:space="0" w:color="auto"/>
              <w:bottom w:val="single" w:sz="4" w:space="0" w:color="auto"/>
              <w:right w:val="nil"/>
            </w:tcBorders>
            <w:shd w:val="clear" w:color="auto" w:fill="F2F2F2" w:themeFill="background1" w:themeFillShade="F2"/>
            <w:noWrap/>
            <w:vAlign w:val="center"/>
            <w:hideMark/>
          </w:tcPr>
          <w:p w14:paraId="399CB495" w14:textId="77777777" w:rsidR="009E3340" w:rsidRPr="0084474A" w:rsidRDefault="009E3340"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xml:space="preserve">Standardtraktandum an </w:t>
            </w:r>
            <w:r w:rsidRPr="0084474A">
              <w:rPr>
                <w:rFonts w:asciiTheme="minorHAnsi" w:eastAsia="Times New Roman" w:hAnsiTheme="minorHAnsi" w:cstheme="minorHAnsi"/>
                <w:noProof/>
                <w:color w:val="000000"/>
                <w:lang w:eastAsia="de-CH"/>
              </w:rPr>
              <w:t>Geschäftsleitungssitzung</w:t>
            </w:r>
          </w:p>
        </w:tc>
        <w:tc>
          <w:tcPr>
            <w:tcW w:w="700" w:type="dxa"/>
            <w:tcBorders>
              <w:top w:val="nil"/>
              <w:left w:val="nil"/>
              <w:bottom w:val="single" w:sz="4" w:space="0" w:color="auto"/>
              <w:right w:val="single" w:sz="4" w:space="0" w:color="auto"/>
            </w:tcBorders>
            <w:shd w:val="clear" w:color="auto" w:fill="F2F2F2" w:themeFill="background1" w:themeFillShade="F2"/>
            <w:noWrap/>
            <w:vAlign w:val="center"/>
            <w:hideMark/>
          </w:tcPr>
          <w:p w14:paraId="4BC886BA" w14:textId="77777777" w:rsidR="009E3340" w:rsidRPr="0084474A" w:rsidRDefault="009E3340" w:rsidP="003B19C1">
            <w:pPr>
              <w:jc w:val="cente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1</w:t>
            </w:r>
          </w:p>
        </w:tc>
        <w:tc>
          <w:tcPr>
            <w:tcW w:w="1240" w:type="dxa"/>
            <w:vMerge/>
            <w:tcBorders>
              <w:top w:val="nil"/>
              <w:left w:val="nil"/>
              <w:bottom w:val="single" w:sz="4" w:space="0" w:color="000000"/>
              <w:right w:val="nil"/>
            </w:tcBorders>
            <w:vAlign w:val="center"/>
            <w:hideMark/>
          </w:tcPr>
          <w:p w14:paraId="66E57C2A" w14:textId="77777777" w:rsidR="009E3340" w:rsidRPr="0084474A" w:rsidRDefault="009E3340" w:rsidP="003B19C1">
            <w:pPr>
              <w:rPr>
                <w:rFonts w:asciiTheme="minorHAnsi" w:eastAsia="Times New Roman" w:hAnsiTheme="minorHAnsi" w:cstheme="minorHAnsi"/>
                <w:b/>
                <w:bCs/>
                <w:color w:val="000000"/>
                <w:lang w:eastAsia="de-CH"/>
              </w:rPr>
            </w:pPr>
          </w:p>
        </w:tc>
      </w:tr>
      <w:tr w:rsidR="00134C35" w:rsidRPr="0084474A" w14:paraId="47993D69" w14:textId="77777777" w:rsidTr="00881900">
        <w:trPr>
          <w:trHeight w:val="300"/>
        </w:trPr>
        <w:tc>
          <w:tcPr>
            <w:tcW w:w="709" w:type="dxa"/>
            <w:tcBorders>
              <w:top w:val="nil"/>
              <w:left w:val="nil"/>
              <w:bottom w:val="nil"/>
              <w:right w:val="nil"/>
            </w:tcBorders>
            <w:shd w:val="clear" w:color="auto" w:fill="A98899" w:themeFill="accent6"/>
            <w:noWrap/>
            <w:vAlign w:val="bottom"/>
            <w:hideMark/>
          </w:tcPr>
          <w:p w14:paraId="03D2D708" w14:textId="77777777" w:rsidR="00134C35" w:rsidRPr="0084474A" w:rsidRDefault="00134C35" w:rsidP="003B19C1">
            <w:pPr>
              <w:jc w:val="center"/>
              <w:rPr>
                <w:rFonts w:asciiTheme="minorHAnsi" w:eastAsia="Times New Roman" w:hAnsiTheme="minorHAnsi" w:cstheme="minorHAnsi"/>
                <w:color w:val="000000"/>
                <w:lang w:eastAsia="de-CH"/>
              </w:rPr>
            </w:pPr>
          </w:p>
        </w:tc>
        <w:tc>
          <w:tcPr>
            <w:tcW w:w="851" w:type="dxa"/>
            <w:tcBorders>
              <w:top w:val="nil"/>
              <w:left w:val="nil"/>
              <w:bottom w:val="single" w:sz="8" w:space="0" w:color="auto"/>
              <w:right w:val="single" w:sz="4" w:space="0" w:color="auto"/>
            </w:tcBorders>
            <w:shd w:val="clear" w:color="auto" w:fill="auto"/>
            <w:noWrap/>
            <w:vAlign w:val="bottom"/>
            <w:hideMark/>
          </w:tcPr>
          <w:p w14:paraId="4A9010D1" w14:textId="77777777" w:rsidR="00134C35" w:rsidRPr="0084474A" w:rsidRDefault="00134C35" w:rsidP="003B19C1">
            <w:pP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Total</w:t>
            </w:r>
          </w:p>
        </w:tc>
        <w:tc>
          <w:tcPr>
            <w:tcW w:w="2835" w:type="dxa"/>
            <w:tcBorders>
              <w:top w:val="nil"/>
              <w:left w:val="nil"/>
              <w:bottom w:val="single" w:sz="8" w:space="0" w:color="auto"/>
              <w:right w:val="nil"/>
            </w:tcBorders>
            <w:shd w:val="clear" w:color="auto" w:fill="auto"/>
            <w:noWrap/>
            <w:vAlign w:val="bottom"/>
            <w:hideMark/>
          </w:tcPr>
          <w:p w14:paraId="13E203A3" w14:textId="77777777" w:rsidR="00134C35" w:rsidRPr="0084474A" w:rsidRDefault="00134C35" w:rsidP="003B19C1">
            <w:pPr>
              <w:rPr>
                <w:rFonts w:asciiTheme="minorHAnsi" w:eastAsia="Times New Roman" w:hAnsiTheme="minorHAnsi" w:cstheme="minorHAnsi"/>
                <w:color w:val="000000"/>
                <w:lang w:eastAsia="de-CH"/>
              </w:rPr>
            </w:pPr>
            <w:r w:rsidRPr="0084474A">
              <w:rPr>
                <w:rFonts w:asciiTheme="minorHAnsi" w:eastAsia="Times New Roman" w:hAnsiTheme="minorHAnsi" w:cstheme="minorHAnsi"/>
                <w:color w:val="000000"/>
                <w:lang w:eastAsia="de-CH"/>
              </w:rPr>
              <w:t> </w:t>
            </w:r>
          </w:p>
        </w:tc>
        <w:tc>
          <w:tcPr>
            <w:tcW w:w="580" w:type="dxa"/>
            <w:tcBorders>
              <w:top w:val="nil"/>
              <w:left w:val="nil"/>
              <w:bottom w:val="single" w:sz="8" w:space="0" w:color="auto"/>
              <w:right w:val="single" w:sz="4" w:space="0" w:color="auto"/>
            </w:tcBorders>
            <w:shd w:val="clear" w:color="auto" w:fill="auto"/>
            <w:noWrap/>
            <w:vAlign w:val="bottom"/>
            <w:hideMark/>
          </w:tcPr>
          <w:p w14:paraId="60B2324B"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12</w:t>
            </w:r>
          </w:p>
        </w:tc>
        <w:tc>
          <w:tcPr>
            <w:tcW w:w="3956" w:type="dxa"/>
            <w:tcBorders>
              <w:top w:val="nil"/>
              <w:left w:val="single" w:sz="4" w:space="0" w:color="auto"/>
              <w:bottom w:val="single" w:sz="8" w:space="0" w:color="auto"/>
              <w:right w:val="nil"/>
            </w:tcBorders>
            <w:shd w:val="clear" w:color="auto" w:fill="auto"/>
            <w:noWrap/>
            <w:vAlign w:val="bottom"/>
            <w:hideMark/>
          </w:tcPr>
          <w:p w14:paraId="2F405C49"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 </w:t>
            </w:r>
          </w:p>
        </w:tc>
        <w:tc>
          <w:tcPr>
            <w:tcW w:w="700" w:type="dxa"/>
            <w:tcBorders>
              <w:top w:val="nil"/>
              <w:left w:val="nil"/>
              <w:bottom w:val="single" w:sz="8" w:space="0" w:color="auto"/>
              <w:right w:val="single" w:sz="4" w:space="0" w:color="auto"/>
            </w:tcBorders>
            <w:shd w:val="clear" w:color="auto" w:fill="auto"/>
            <w:noWrap/>
            <w:vAlign w:val="bottom"/>
            <w:hideMark/>
          </w:tcPr>
          <w:p w14:paraId="53212BB8"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69</w:t>
            </w:r>
          </w:p>
        </w:tc>
        <w:tc>
          <w:tcPr>
            <w:tcW w:w="3410" w:type="dxa"/>
            <w:tcBorders>
              <w:top w:val="nil"/>
              <w:left w:val="single" w:sz="4" w:space="0" w:color="auto"/>
              <w:bottom w:val="single" w:sz="8" w:space="0" w:color="auto"/>
              <w:right w:val="nil"/>
            </w:tcBorders>
            <w:shd w:val="clear" w:color="auto" w:fill="auto"/>
            <w:noWrap/>
            <w:vAlign w:val="bottom"/>
            <w:hideMark/>
          </w:tcPr>
          <w:p w14:paraId="3A970B75"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 </w:t>
            </w:r>
          </w:p>
        </w:tc>
        <w:tc>
          <w:tcPr>
            <w:tcW w:w="700" w:type="dxa"/>
            <w:tcBorders>
              <w:top w:val="nil"/>
              <w:left w:val="nil"/>
              <w:bottom w:val="single" w:sz="8" w:space="0" w:color="auto"/>
              <w:right w:val="single" w:sz="4" w:space="0" w:color="auto"/>
            </w:tcBorders>
            <w:shd w:val="clear" w:color="auto" w:fill="auto"/>
            <w:noWrap/>
            <w:vAlign w:val="bottom"/>
            <w:hideMark/>
          </w:tcPr>
          <w:p w14:paraId="4F9F6AA2" w14:textId="77777777" w:rsidR="00134C35" w:rsidRPr="0084474A" w:rsidRDefault="00134C35" w:rsidP="003B19C1">
            <w:pPr>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94</w:t>
            </w:r>
          </w:p>
        </w:tc>
        <w:tc>
          <w:tcPr>
            <w:tcW w:w="1240" w:type="dxa"/>
            <w:tcBorders>
              <w:top w:val="nil"/>
              <w:left w:val="nil"/>
              <w:bottom w:val="single" w:sz="8" w:space="0" w:color="auto"/>
              <w:right w:val="nil"/>
            </w:tcBorders>
            <w:shd w:val="clear" w:color="auto" w:fill="auto"/>
            <w:noWrap/>
            <w:vAlign w:val="bottom"/>
            <w:hideMark/>
          </w:tcPr>
          <w:p w14:paraId="31CAAE9B" w14:textId="77777777" w:rsidR="00134C35" w:rsidRPr="0084474A" w:rsidRDefault="00134C35" w:rsidP="003B19C1">
            <w:pPr>
              <w:keepNext/>
              <w:jc w:val="center"/>
              <w:rPr>
                <w:rFonts w:asciiTheme="minorHAnsi" w:eastAsia="Times New Roman" w:hAnsiTheme="minorHAnsi" w:cstheme="minorHAnsi"/>
                <w:b/>
                <w:bCs/>
                <w:color w:val="000000"/>
                <w:lang w:eastAsia="de-CH"/>
              </w:rPr>
            </w:pPr>
            <w:r w:rsidRPr="0084474A">
              <w:rPr>
                <w:rFonts w:asciiTheme="minorHAnsi" w:eastAsia="Times New Roman" w:hAnsiTheme="minorHAnsi" w:cstheme="minorHAnsi"/>
                <w:b/>
                <w:bCs/>
                <w:color w:val="000000"/>
                <w:lang w:eastAsia="de-CH"/>
              </w:rPr>
              <w:t>175</w:t>
            </w:r>
          </w:p>
        </w:tc>
      </w:tr>
    </w:tbl>
    <w:p w14:paraId="5CD5BB76" w14:textId="77777777" w:rsidR="00134C35" w:rsidRDefault="00134C35" w:rsidP="00134C35">
      <w:pPr>
        <w:pStyle w:val="StandardWeb"/>
        <w:spacing w:line="360" w:lineRule="auto"/>
        <w:jc w:val="both"/>
        <w:rPr>
          <w:rFonts w:asciiTheme="minorHAnsi" w:hAnsiTheme="minorHAnsi" w:cstheme="minorHAnsi"/>
        </w:rPr>
        <w:sectPr w:rsidR="00134C35" w:rsidSect="009907FC">
          <w:pgSz w:w="16838" w:h="11906" w:orient="landscape"/>
          <w:pgMar w:top="1417" w:right="1417" w:bottom="1417" w:left="1134" w:header="708" w:footer="708" w:gutter="0"/>
          <w:cols w:space="708"/>
          <w:docGrid w:linePitch="360"/>
        </w:sectPr>
      </w:pPr>
    </w:p>
    <w:p w14:paraId="0E85814D" w14:textId="77777777" w:rsidR="00134C35" w:rsidRPr="00360863" w:rsidRDefault="00134C35" w:rsidP="002911DF">
      <w:pPr>
        <w:pStyle w:val="Textkrper"/>
        <w:ind w:firstLine="0"/>
      </w:pPr>
      <w:r w:rsidRPr="00360863">
        <w:lastRenderedPageBreak/>
        <w:t xml:space="preserve">Die Anpassungen auf der Ebene </w:t>
      </w:r>
      <w:r>
        <w:t>der Klientel</w:t>
      </w:r>
      <w:r w:rsidRPr="00360863">
        <w:t xml:space="preserve"> sind überschaubar in ihrer Vielfalt und Anzahl. Am </w:t>
      </w:r>
      <w:r>
        <w:t>häufigs</w:t>
      </w:r>
      <w:r w:rsidRPr="00360863">
        <w:t xml:space="preserve">ten wurden Umplatzierungen in andere Wohngruppen </w:t>
      </w:r>
      <w:r>
        <w:t xml:space="preserve">oder Ateliers </w:t>
      </w:r>
      <w:r w:rsidRPr="00360863">
        <w:t xml:space="preserve">innerhalb derselben Institution </w:t>
      </w:r>
      <w:r>
        <w:t>gen</w:t>
      </w:r>
      <w:r w:rsidRPr="00360863">
        <w:t>an</w:t>
      </w:r>
      <w:r>
        <w:t>n</w:t>
      </w:r>
      <w:r w:rsidRPr="00360863">
        <w:t>t. Obwohl mit erhöhtem Aufwand verbunden, scheint diese Anpassung häufiger</w:t>
      </w:r>
      <w:r>
        <w:t xml:space="preserve"> zu sein</w:t>
      </w:r>
      <w:r w:rsidRPr="00360863">
        <w:t xml:space="preserve"> als Anpassungen mit kleinerem Aufwand wie beispielsweise ein </w:t>
      </w:r>
      <w:r>
        <w:t>verändertes</w:t>
      </w:r>
      <w:r w:rsidRPr="00360863">
        <w:t xml:space="preserve"> Therapieangebot</w:t>
      </w:r>
      <w:r>
        <w:t>.</w:t>
      </w:r>
    </w:p>
    <w:p w14:paraId="32BE1BE0" w14:textId="64D68F3A" w:rsidR="00134C35" w:rsidRPr="00360863" w:rsidRDefault="00134C35" w:rsidP="000375AD">
      <w:pPr>
        <w:pStyle w:val="Textkrper"/>
      </w:pPr>
      <w:r w:rsidRPr="00360863">
        <w:t>Auf der Ebene de</w:t>
      </w:r>
      <w:r>
        <w:t>r Fachpersonen</w:t>
      </w:r>
      <w:r w:rsidRPr="00360863">
        <w:t xml:space="preserve"> </w:t>
      </w:r>
      <w:r>
        <w:t>wurden</w:t>
      </w:r>
      <w:r w:rsidRPr="00360863">
        <w:t xml:space="preserve"> vergleichsweise </w:t>
      </w:r>
      <w:r>
        <w:t xml:space="preserve">mehr </w:t>
      </w:r>
      <w:r w:rsidRPr="00360863">
        <w:t>Anpassung</w:t>
      </w:r>
      <w:r>
        <w:t>en genannt</w:t>
      </w:r>
      <w:r w:rsidRPr="00360863">
        <w:t xml:space="preserve">. Auch hier ist die Mehrheit der </w:t>
      </w:r>
      <w:r>
        <w:t>erwähnten</w:t>
      </w:r>
      <w:r w:rsidRPr="00360863">
        <w:t xml:space="preserve"> Anpassungen mit einem erhöhten finanziellen sowie zeitlichen Aufwand verbunden. Besonders oft wurden verschiedene Weiterbildungen der Mitarbeitenden</w:t>
      </w:r>
      <w:r>
        <w:t xml:space="preserve"> genannt</w:t>
      </w:r>
      <w:r w:rsidRPr="00360863">
        <w:t xml:space="preserve">. </w:t>
      </w:r>
      <w:r>
        <w:t>Etwa zur Hälfte</w:t>
      </w:r>
      <w:r w:rsidRPr="00360863">
        <w:t xml:space="preserve"> wurden </w:t>
      </w:r>
      <w:r>
        <w:t xml:space="preserve">spezifische </w:t>
      </w:r>
      <w:r w:rsidRPr="00360863">
        <w:t xml:space="preserve">Weiterbildungen </w:t>
      </w:r>
      <w:r>
        <w:t>zu herausfordernden Verhaltensweisen</w:t>
      </w:r>
      <w:r w:rsidRPr="00360863">
        <w:t xml:space="preserve"> beschrieben, in </w:t>
      </w:r>
      <w:r>
        <w:t xml:space="preserve">den </w:t>
      </w:r>
      <w:r w:rsidRPr="00360863">
        <w:t>anderen Fällen fielen die Antworten allgemeiner aus. Ebenfalls häufig genannt wurden Anpassungen im Bere</w:t>
      </w:r>
      <w:r>
        <w:t>ich der personellen Ressourcen. V</w:t>
      </w:r>
      <w:r w:rsidRPr="00360863">
        <w:t>orwiegend waren</w:t>
      </w:r>
      <w:r>
        <w:t xml:space="preserve"> dies der Einsatz von vermehrter 1:1-Begleitung oder eine </w:t>
      </w:r>
      <w:r w:rsidRPr="00360863">
        <w:t xml:space="preserve">allgemeine Intensivierung </w:t>
      </w:r>
      <w:r>
        <w:t>der</w:t>
      </w:r>
      <w:r w:rsidRPr="00360863">
        <w:t xml:space="preserve"> Begleitung </w:t>
      </w:r>
      <w:r>
        <w:t>sowie</w:t>
      </w:r>
      <w:r w:rsidRPr="00360863">
        <w:t xml:space="preserve"> eine Veränderung in der </w:t>
      </w:r>
      <w:r>
        <w:t>Teamzusammenstellung</w:t>
      </w:r>
      <w:r w:rsidRPr="00360863">
        <w:t>. Im Bereich der personellen Anpassungen, welche mit mittlerem finanzielle</w:t>
      </w:r>
      <w:r>
        <w:t>m</w:t>
      </w:r>
      <w:r w:rsidRPr="00360863">
        <w:t xml:space="preserve"> und zeitlichem Aufwand verbunden sind, wurde die Unterstützung durch </w:t>
      </w:r>
      <w:proofErr w:type="spellStart"/>
      <w:r w:rsidRPr="00360863">
        <w:t>Expert</w:t>
      </w:r>
      <w:r>
        <w:t>:inn</w:t>
      </w:r>
      <w:r w:rsidRPr="00360863">
        <w:t>en</w:t>
      </w:r>
      <w:proofErr w:type="spellEnd"/>
      <w:r w:rsidRPr="00360863">
        <w:t xml:space="preserve"> genannt. Diese Kategorie beinhaltet sowohl Coachings, Fallbesprechungen,</w:t>
      </w:r>
      <w:r>
        <w:t xml:space="preserve"> Fachberatungen,</w:t>
      </w:r>
      <w:r w:rsidRPr="00360863">
        <w:t xml:space="preserve"> Supervisionen als auch die (engere) Zusammenarbeit mit </w:t>
      </w:r>
      <w:proofErr w:type="spellStart"/>
      <w:r w:rsidRPr="00360863">
        <w:t>Psycholog</w:t>
      </w:r>
      <w:r>
        <w:t>:inn</w:t>
      </w:r>
      <w:r w:rsidRPr="00360863">
        <w:t>en</w:t>
      </w:r>
      <w:proofErr w:type="spellEnd"/>
      <w:r w:rsidRPr="00360863">
        <w:t xml:space="preserve">, </w:t>
      </w:r>
      <w:proofErr w:type="spellStart"/>
      <w:r w:rsidRPr="00360863">
        <w:t>Psychiater</w:t>
      </w:r>
      <w:r>
        <w:t>:inne</w:t>
      </w:r>
      <w:r w:rsidRPr="00360863">
        <w:t>n</w:t>
      </w:r>
      <w:proofErr w:type="spellEnd"/>
      <w:r w:rsidRPr="00360863">
        <w:t xml:space="preserve"> und externen Fachstellen. Einige Institutionen gaben zudem an, die Arbeitszeiten ihrer Mitarbeitenden infolge </w:t>
      </w:r>
      <w:r>
        <w:t>der herausfordernden Verhaltensweisen</w:t>
      </w:r>
      <w:r w:rsidRPr="00360863">
        <w:t xml:space="preserve"> angepasst zu haben. Diese Angaben </w:t>
      </w:r>
      <w:r>
        <w:t>waren unspezifisch</w:t>
      </w:r>
      <w:r w:rsidRPr="00360863">
        <w:t xml:space="preserve"> bis auf eine, welche eine Verkürzung der </w:t>
      </w:r>
      <w:r>
        <w:t>A</w:t>
      </w:r>
      <w:r w:rsidRPr="00360863">
        <w:t xml:space="preserve">rbeitszeiten </w:t>
      </w:r>
      <w:r>
        <w:t>beschrieb</w:t>
      </w:r>
      <w:r w:rsidRPr="00360863">
        <w:t xml:space="preserve">. Anpassungen, </w:t>
      </w:r>
      <w:r>
        <w:t>di</w:t>
      </w:r>
      <w:r w:rsidRPr="00360863">
        <w:t>e wenig Aufwand benötig</w:t>
      </w:r>
      <w:r>
        <w:t>t</w:t>
      </w:r>
      <w:r w:rsidRPr="00360863">
        <w:t xml:space="preserve">en, wurden bloss vereinzelt genannt. </w:t>
      </w:r>
      <w:r>
        <w:t>Dies</w:t>
      </w:r>
      <w:r w:rsidR="003C7917">
        <w:t>e</w:t>
      </w:r>
      <w:r>
        <w:t xml:space="preserve"> waren</w:t>
      </w:r>
      <w:r w:rsidRPr="00360863">
        <w:t xml:space="preserve"> die Sensibilisierung de</w:t>
      </w:r>
      <w:r>
        <w:t>r Fachpersonen</w:t>
      </w:r>
      <w:r w:rsidRPr="00360863">
        <w:t>, Anpassungen im Verhalten der Mitarbeitenden sowie die Anschaffung von Schutzkleidung wie Schutzbrillen oder reissfeste</w:t>
      </w:r>
      <w:r>
        <w:t>r</w:t>
      </w:r>
      <w:r w:rsidRPr="00360863">
        <w:t xml:space="preserve"> Kleidung.</w:t>
      </w:r>
    </w:p>
    <w:p w14:paraId="42401CFE" w14:textId="6B12758F" w:rsidR="00134C35" w:rsidRDefault="00127264" w:rsidP="00127264">
      <w:pPr>
        <w:pStyle w:val="Textkrper"/>
      </w:pPr>
      <w:r w:rsidRPr="000375AD">
        <w:rPr>
          <w:noProof/>
          <w:lang w:val="de-DE" w:eastAsia="de-DE"/>
        </w:rPr>
        <mc:AlternateContent>
          <mc:Choice Requires="wps">
            <w:drawing>
              <wp:anchor distT="45720" distB="45720" distL="46990" distR="46990" simplePos="0" relativeHeight="251658241" behindDoc="0" locked="0" layoutInCell="1" allowOverlap="0" wp14:anchorId="5E919CC5" wp14:editId="22B00D3B">
                <wp:simplePos x="0" y="0"/>
                <wp:positionH relativeFrom="page">
                  <wp:posOffset>0</wp:posOffset>
                </wp:positionH>
                <wp:positionV relativeFrom="paragraph">
                  <wp:posOffset>2549525</wp:posOffset>
                </wp:positionV>
                <wp:extent cx="5175250" cy="510540"/>
                <wp:effectExtent l="0" t="0" r="0" b="3810"/>
                <wp:wrapTopAndBottom/>
                <wp:docPr id="1500394803" name="Zone de texte 1500394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0ACFC202" w14:textId="3E01F9C4" w:rsidR="000375AD" w:rsidRPr="00DD046D" w:rsidRDefault="00C95C74" w:rsidP="000375AD">
                            <w:pPr>
                              <w:pStyle w:val="Hervorhebung1"/>
                            </w:pPr>
                            <w:r w:rsidRPr="00C95C74">
                              <w:t xml:space="preserve">Die meisten Anpassungen wurden auf der strukturellen Ebene der </w:t>
                            </w:r>
                            <w:r w:rsidRPr="00C95C74">
                              <w:rPr>
                                <w:noProof/>
                              </w:rPr>
                              <w:t>Institutionen</w:t>
                            </w:r>
                            <w:r w:rsidRPr="00C95C74">
                              <w:t xml:space="preserve"> vorgenommen</w:t>
                            </w:r>
                            <w:r w:rsidR="00AA2139">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19CC5" id="Zone de texte 1500394803" o:spid="_x0000_s1027" type="#_x0000_t202" alt="&quot;&quot;" style="position:absolute;left:0;text-align:left;margin-left:0;margin-top:200.75pt;width:407.5pt;height:40.2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" o:allowoverlap="f" filled="f" stroked="f">
                <v:textbox inset="29mm,,2.5mm">
                  <w:txbxContent>
                    <w:p w14:paraId="0ACFC202" w14:textId="3E01F9C4" w:rsidR="000375AD" w:rsidRPr="00DD046D" w:rsidRDefault="00C95C74" w:rsidP="000375AD">
                      <w:pPr>
                        <w:pStyle w:val="Hervorhebung1"/>
                      </w:pPr>
                      <w:r w:rsidRPr="00C95C74">
                        <w:t xml:space="preserve">Die meisten Anpassungen wurden auf der strukturellen Ebene der </w:t>
                      </w:r>
                      <w:r w:rsidRPr="00C95C74">
                        <w:rPr>
                          <w:noProof/>
                        </w:rPr>
                        <w:t>Institutionen</w:t>
                      </w:r>
                      <w:r w:rsidRPr="00C95C74">
                        <w:t xml:space="preserve"> vorgenommen</w:t>
                      </w:r>
                      <w:r w:rsidR="00AA2139">
                        <w:t>.</w:t>
                      </w:r>
                    </w:p>
                  </w:txbxContent>
                </v:textbox>
                <w10:wrap type="topAndBottom" anchorx="page"/>
              </v:shape>
            </w:pict>
          </mc:Fallback>
        </mc:AlternateContent>
      </w:r>
      <w:r w:rsidR="00134C35" w:rsidRPr="00360863">
        <w:t>Wie</w:t>
      </w:r>
      <w:r w:rsidR="00134C35">
        <w:t xml:space="preserve"> weiter</w:t>
      </w:r>
      <w:r w:rsidR="00134C35" w:rsidRPr="00360863">
        <w:t xml:space="preserve"> in </w:t>
      </w:r>
      <w:r w:rsidR="00C95C74">
        <w:t>Tabelle</w:t>
      </w:r>
      <w:r w:rsidR="00134C35">
        <w:t xml:space="preserve"> 1</w:t>
      </w:r>
      <w:r w:rsidR="00134C35" w:rsidRPr="00360863">
        <w:t xml:space="preserve"> ersichtlich</w:t>
      </w:r>
      <w:r w:rsidR="00134C35">
        <w:t xml:space="preserve"> wird</w:t>
      </w:r>
      <w:r w:rsidR="00134C35" w:rsidRPr="00360863">
        <w:t xml:space="preserve">, </w:t>
      </w:r>
      <w:r w:rsidR="00134C35">
        <w:t xml:space="preserve">wurden </w:t>
      </w:r>
      <w:r w:rsidR="00134C35" w:rsidRPr="00360863">
        <w:t>die meisten Anpassungen auf der strukturellen Ebene der Institutionen</w:t>
      </w:r>
      <w:r w:rsidR="00134C35">
        <w:t xml:space="preserve"> vorgenommen</w:t>
      </w:r>
      <w:r w:rsidR="00134C35" w:rsidRPr="00360863">
        <w:t xml:space="preserve">. Die über alle Kategorien meistgenannte Anpassungsform </w:t>
      </w:r>
      <w:r w:rsidR="00134C35">
        <w:t>war</w:t>
      </w:r>
      <w:r w:rsidR="00134C35" w:rsidRPr="00360863">
        <w:t xml:space="preserve"> die Erarbeitung von Konzepten zu</w:t>
      </w:r>
      <w:r w:rsidR="00134C35">
        <w:t>r Prävention von herausfordernden Verhaltensweisen</w:t>
      </w:r>
      <w:r w:rsidR="00134C35" w:rsidRPr="00360863">
        <w:t xml:space="preserve"> </w:t>
      </w:r>
      <w:r w:rsidR="00134C35">
        <w:t>oder zu</w:t>
      </w:r>
      <w:r w:rsidR="00134C35" w:rsidRPr="00360863">
        <w:t xml:space="preserve">m Umgang </w:t>
      </w:r>
      <w:r w:rsidR="00134C35">
        <w:t>da</w:t>
      </w:r>
      <w:r w:rsidR="00134C35" w:rsidRPr="00360863">
        <w:t xml:space="preserve">mit </w:t>
      </w:r>
      <w:r w:rsidR="00134C35">
        <w:t>während</w:t>
      </w:r>
      <w:r w:rsidR="00134C35" w:rsidRPr="00360863">
        <w:t xml:space="preserve"> </w:t>
      </w:r>
      <w:r w:rsidR="00134C35">
        <w:t>Eskalationssituationen</w:t>
      </w:r>
      <w:r w:rsidR="00134C35" w:rsidRPr="00360863">
        <w:t>. Weiter wurden häufig bauliche Massnahmen genannt, beispielsweise die räumliche Trennung von Tagesstätte und Wohnbereich oder die E</w:t>
      </w:r>
      <w:r w:rsidR="00134C35">
        <w:t>inr</w:t>
      </w:r>
      <w:r w:rsidR="00134C35" w:rsidRPr="00360863">
        <w:t>ichtung eines ab</w:t>
      </w:r>
      <w:r w:rsidR="00134C35">
        <w:t>schliessbaren</w:t>
      </w:r>
      <w:r w:rsidR="00134C35" w:rsidRPr="00360863">
        <w:t xml:space="preserve"> Bereiches. Einige </w:t>
      </w:r>
      <w:r w:rsidR="00134C35">
        <w:t>Antworten</w:t>
      </w:r>
      <w:r w:rsidR="00134C35" w:rsidRPr="00360863">
        <w:t xml:space="preserve"> beschrieben die Veränderung des Angebotes, wie </w:t>
      </w:r>
      <w:r w:rsidR="00134C35">
        <w:t>die Schaffung von zusätzlichen Wohnp</w:t>
      </w:r>
      <w:r w:rsidR="00134C35" w:rsidRPr="00360863">
        <w:t xml:space="preserve">lätzen oder die Gründung einer </w:t>
      </w:r>
      <w:r w:rsidR="00134C35">
        <w:t>intensiv betreuten W</w:t>
      </w:r>
      <w:r w:rsidR="00134C35" w:rsidRPr="00360863">
        <w:t xml:space="preserve">ohngruppe. Zwei Institutionen </w:t>
      </w:r>
      <w:r w:rsidR="00134C35">
        <w:t>gaben</w:t>
      </w:r>
      <w:r w:rsidR="00134C35" w:rsidRPr="00360863">
        <w:t xml:space="preserve"> die Einrichtung einer Meldestelle für (Gewalt</w:t>
      </w:r>
      <w:r w:rsidR="00134C35">
        <w:t>-</w:t>
      </w:r>
      <w:r w:rsidR="00134C35" w:rsidRPr="00360863">
        <w:t xml:space="preserve">)Vorfälle </w:t>
      </w:r>
      <w:r w:rsidR="00134C35">
        <w:t>an</w:t>
      </w:r>
      <w:r w:rsidR="00134C35" w:rsidRPr="00360863">
        <w:t xml:space="preserve">. Mit </w:t>
      </w:r>
      <w:r w:rsidR="00134C35">
        <w:t xml:space="preserve">geschätzt </w:t>
      </w:r>
      <w:r w:rsidR="00134C35" w:rsidRPr="00360863">
        <w:t xml:space="preserve">weniger zeitlichem </w:t>
      </w:r>
      <w:r w:rsidR="00134C35">
        <w:t>und</w:t>
      </w:r>
      <w:r w:rsidR="00134C35" w:rsidRPr="00360863">
        <w:t xml:space="preserve"> finanziellem Aufwand verbunden waren Veränderungen in </w:t>
      </w:r>
      <w:r w:rsidR="00134C35">
        <w:t>den</w:t>
      </w:r>
      <w:r w:rsidR="00134C35" w:rsidRPr="00360863">
        <w:t xml:space="preserve"> Tagesstrukturen. Hier blieben alle Nennung</w:t>
      </w:r>
      <w:r w:rsidR="00134C35">
        <w:t>en</w:t>
      </w:r>
      <w:r w:rsidR="00134C35" w:rsidRPr="00360863">
        <w:t xml:space="preserve"> allgemein </w:t>
      </w:r>
      <w:r w:rsidR="00134C35">
        <w:t>und lauteten «Veränderung» beziehungsweise «</w:t>
      </w:r>
      <w:r w:rsidR="00134C35" w:rsidRPr="00360863">
        <w:t xml:space="preserve">Anpassung der Tagesstruktur». Technische Anpassungen wie die Installation einer Alarmanlage, Klingelmatten oder Kameras wurden von neun </w:t>
      </w:r>
      <w:r w:rsidR="00134C35">
        <w:t xml:space="preserve">der 172 </w:t>
      </w:r>
      <w:r w:rsidR="00134C35" w:rsidRPr="00360863">
        <w:t>Institution</w:t>
      </w:r>
      <w:r w:rsidR="00134C35">
        <w:t>sleitungen</w:t>
      </w:r>
      <w:r w:rsidR="00134C35" w:rsidRPr="00360863">
        <w:t xml:space="preserve"> </w:t>
      </w:r>
      <w:r w:rsidR="00134C35">
        <w:t>genannt</w:t>
      </w:r>
      <w:r w:rsidR="00134C35" w:rsidRPr="00360863">
        <w:t>. Anpassungen mit wenig Aufwand im strukturellen Bereich waren die Anpassung von Schliessmechanismen und die Fixierung von Möbeln.</w:t>
      </w:r>
    </w:p>
    <w:p w14:paraId="30A51417" w14:textId="77777777" w:rsidR="00134C35" w:rsidRPr="00EA3C50" w:rsidRDefault="00134C35" w:rsidP="000375AD">
      <w:pPr>
        <w:pStyle w:val="berschrift1"/>
      </w:pPr>
      <w:r w:rsidRPr="00EA3C50">
        <w:t>Anpassungen für eine bedürfnisorientierte Begleitung</w:t>
      </w:r>
    </w:p>
    <w:p w14:paraId="48008BB3" w14:textId="55050100" w:rsidR="00134C35" w:rsidRDefault="00134C35" w:rsidP="00AA2139">
      <w:pPr>
        <w:pStyle w:val="Textkrper"/>
        <w:ind w:firstLine="0"/>
      </w:pPr>
      <w:r>
        <w:t>Die Anpassungen waren im Einzelfall beziehungsweise für die jeweilige Institution</w:t>
      </w:r>
      <w:r w:rsidRPr="00916D34">
        <w:t xml:space="preserve"> </w:t>
      </w:r>
      <w:r>
        <w:t xml:space="preserve">sinnvoll. Pauschalisierende Anpassungen, die auf sämtliche Klientel mit herausfordernden Verhaltensweisen übertragen werden können, sind daher nicht möglich. 46 Institutionsleitungen gaben an, keine Veränderungen aufgrund von herausfordernden Verhaltensweisen getätigt zu haben. Es bleibt offen, ob diese Institutionen keine Anpassungen für einen adäquaten Umgang mit </w:t>
      </w:r>
      <w:r w:rsidRPr="006E2BBE">
        <w:t xml:space="preserve">herausfordernden Verhaltensweisen </w:t>
      </w:r>
      <w:r>
        <w:t xml:space="preserve">benötigten, weil sie bereits dementsprechend ausgestattet waren oder ob Anpassungen zwar erwünscht wären, aber nicht möglich waren. Fest steht, dass in nur zwölf der 172 Institutionen keine </w:t>
      </w:r>
      <w:proofErr w:type="spellStart"/>
      <w:r>
        <w:t>Bewohner:innen</w:t>
      </w:r>
      <w:proofErr w:type="spellEnd"/>
      <w:r>
        <w:t xml:space="preserve"> </w:t>
      </w:r>
      <w:bookmarkStart w:id="3" w:name="_Hlk148946827"/>
      <w:r>
        <w:t xml:space="preserve">mit </w:t>
      </w:r>
      <w:r w:rsidRPr="006E2BBE">
        <w:t>herausfordernde</w:t>
      </w:r>
      <w:r>
        <w:t>n</w:t>
      </w:r>
      <w:r w:rsidRPr="006E2BBE">
        <w:t xml:space="preserve"> Verhaltensweisen</w:t>
      </w:r>
      <w:r>
        <w:t xml:space="preserve"> </w:t>
      </w:r>
      <w:bookmarkEnd w:id="3"/>
      <w:r>
        <w:t>leben. Nur eine dieser zwölf hat gleichzeitig keine Anpassungen aufgrund von herausfordernden Verhaltensweisen vorgenommen. Elf</w:t>
      </w:r>
      <w:r w:rsidRPr="00256010">
        <w:t xml:space="preserve"> Institutionen</w:t>
      </w:r>
      <w:r>
        <w:t xml:space="preserve"> haben</w:t>
      </w:r>
      <w:r w:rsidRPr="00256010">
        <w:t xml:space="preserve"> Anpassungen vorgenommen</w:t>
      </w:r>
      <w:r>
        <w:t>,</w:t>
      </w:r>
      <w:r w:rsidRPr="00256010">
        <w:t xml:space="preserve"> ohne dass sie aktuell explizit Klientel mit herausfordernden Verhaltensweisen ha</w:t>
      </w:r>
      <w:r>
        <w:t xml:space="preserve">ben. Mögliche Interpretationen </w:t>
      </w:r>
      <w:r>
        <w:lastRenderedPageBreak/>
        <w:t>dafür sind</w:t>
      </w:r>
      <w:r w:rsidRPr="00256010">
        <w:t xml:space="preserve">, dass </w:t>
      </w:r>
      <w:r>
        <w:t>diese</w:t>
      </w:r>
      <w:r w:rsidRPr="00256010">
        <w:t xml:space="preserve"> aufgrund früherer Erfahrungen mit </w:t>
      </w:r>
      <w:r>
        <w:t>Personen</w:t>
      </w:r>
      <w:r w:rsidRPr="00256010">
        <w:t>, die aktuell nicht mehr bei ihnen leb</w:t>
      </w:r>
      <w:r>
        <w:t>en</w:t>
      </w:r>
      <w:r w:rsidRPr="00256010">
        <w:t xml:space="preserve"> oder keine herausfordernden Verhaltensweisen mehr zeig</w:t>
      </w:r>
      <w:r>
        <w:t>en</w:t>
      </w:r>
      <w:r w:rsidRPr="00256010">
        <w:t xml:space="preserve">, Anpassungen vorgenommen haben oder </w:t>
      </w:r>
      <w:r>
        <w:t xml:space="preserve">dass </w:t>
      </w:r>
      <w:r w:rsidRPr="00256010">
        <w:t xml:space="preserve">Anpassungen </w:t>
      </w:r>
      <w:r w:rsidRPr="00B75DE8">
        <w:t>präventiv implementiert wurden.</w:t>
      </w:r>
    </w:p>
    <w:p w14:paraId="57FC2798" w14:textId="02031ED7" w:rsidR="00134C35" w:rsidRDefault="00134C35" w:rsidP="000375AD">
      <w:pPr>
        <w:pStyle w:val="Textkrper"/>
      </w:pPr>
      <w:r>
        <w:t>Die genannten Anpassungen sind also vielfältig und beziehen sich sowohl auf die Klientel und die Fachpersonen als auch auf die strukturellen Bedingungen der Institution. Die meisten Anpassungen betrafen den strukturellen Bereich</w:t>
      </w:r>
      <w:r w:rsidR="00C06CA1">
        <w:t>;</w:t>
      </w:r>
      <w:r>
        <w:t xml:space="preserve"> am häufigsten </w:t>
      </w:r>
      <w:r w:rsidR="00C06CA1">
        <w:t xml:space="preserve">genannt </w:t>
      </w:r>
      <w:r>
        <w:t xml:space="preserve">wurde die Erstellung oder Anpassung von Konzepten im Umgang mit herausfordernden Verhaltensweisen. Die vergleichsweise wenigen Nennungen auf der Ebene der Klientel können mit der Distanz der Leitungspersonen dazu erklärt werden: Institutionsleitungen verantworten organisatorisch die Ebene der Fachpersonen und die strukturelle Ebene. Sie sind aufgrund ihrer Funktion meist nur indirekt mit der Ebene der Klientel befasst, was zu weniger Nennungen auf dieser Ebene führen kann. </w:t>
      </w:r>
    </w:p>
    <w:p w14:paraId="7F87DCB0" w14:textId="615815BA" w:rsidR="00134C35" w:rsidRDefault="00AA2139" w:rsidP="000375AD">
      <w:pPr>
        <w:pStyle w:val="Textkrper"/>
      </w:pPr>
      <w:r w:rsidRPr="00AA2139">
        <w:rPr>
          <w:noProof/>
          <w:lang w:val="de-DE" w:eastAsia="de-DE"/>
        </w:rPr>
        <mc:AlternateContent>
          <mc:Choice Requires="wps">
            <w:drawing>
              <wp:anchor distT="45720" distB="45720" distL="46990" distR="46990" simplePos="0" relativeHeight="251658242" behindDoc="0" locked="0" layoutInCell="1" allowOverlap="0" wp14:anchorId="0B46740A" wp14:editId="414776D7">
                <wp:simplePos x="0" y="0"/>
                <wp:positionH relativeFrom="page">
                  <wp:align>left</wp:align>
                </wp:positionH>
                <wp:positionV relativeFrom="paragraph">
                  <wp:posOffset>2350525</wp:posOffset>
                </wp:positionV>
                <wp:extent cx="5175250" cy="510540"/>
                <wp:effectExtent l="0" t="0" r="0" b="3810"/>
                <wp:wrapTopAndBottom/>
                <wp:docPr id="1608827988" name="Zone de texte 1608827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68BE4995" w14:textId="31C384EE" w:rsidR="00AA2139" w:rsidRPr="00DD046D" w:rsidRDefault="00AA2139" w:rsidP="00AA2139">
                            <w:pPr>
                              <w:pStyle w:val="Hervorhebung1"/>
                            </w:pPr>
                            <w:r w:rsidRPr="00AA2139">
                              <w:t xml:space="preserve">Ein professioneller Umgang mit herausfordernden Verhaltensweisen </w:t>
                            </w:r>
                            <w:r w:rsidRPr="00AA2139">
                              <w:rPr>
                                <w:noProof/>
                              </w:rPr>
                              <w:t>erfordert</w:t>
                            </w:r>
                            <w:r w:rsidRPr="00AA2139">
                              <w:t xml:space="preserve"> übergreifende und allgemeine konzeptionelle Überlegungen.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740A" id="Zone de texte 1608827988" o:spid="_x0000_s1028" type="#_x0000_t202" alt="&quot;&quot;" style="position:absolute;left:0;text-align:left;margin-left:0;margin-top:185.1pt;width:407.5pt;height:40.2pt;z-index:251658242;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" o:allowoverlap="f" filled="f" stroked="f">
                <v:textbox inset="29mm,,2.5mm">
                  <w:txbxContent>
                    <w:p w14:paraId="68BE4995" w14:textId="31C384EE" w:rsidR="00AA2139" w:rsidRPr="00DD046D" w:rsidRDefault="00AA2139" w:rsidP="00AA2139">
                      <w:pPr>
                        <w:pStyle w:val="Hervorhebung1"/>
                      </w:pPr>
                      <w:r w:rsidRPr="00AA2139">
                        <w:t xml:space="preserve">Ein professioneller Umgang mit herausfordernden Verhaltensweisen </w:t>
                      </w:r>
                      <w:r w:rsidRPr="00AA2139">
                        <w:rPr>
                          <w:noProof/>
                        </w:rPr>
                        <w:t>erfordert</w:t>
                      </w:r>
                      <w:r w:rsidRPr="00AA2139">
                        <w:t xml:space="preserve"> übergreifende und allgemeine konzeptionelle Überlegungen.</w:t>
                      </w:r>
                    </w:p>
                  </w:txbxContent>
                </v:textbox>
                <w10:wrap type="topAndBottom" anchorx="page"/>
              </v:shape>
            </w:pict>
          </mc:Fallback>
        </mc:AlternateContent>
      </w:r>
      <w:r w:rsidR="00134C35">
        <w:t xml:space="preserve">Auffallend ist zudem die höhere Anzahl der genannten Anpassungen mit dem geschätzten steigenden zeitlichen und finanziellen Aufwand. Diese kann dadurch erklärt werden, dass Veränderungen, die mehr Ressourcen benötigen, womöglich stärker in Erinnerung bleiben als einfache, mit wenig Ressourcenaufwand verbundene Anpassungen. Als erfreulich zu werten sind insbesondere die zahlreichen Weiterbildungsmöglichkeiten für </w:t>
      </w:r>
      <w:proofErr w:type="spellStart"/>
      <w:r w:rsidR="00134C35">
        <w:t>Mitarbeiter:innen</w:t>
      </w:r>
      <w:proofErr w:type="spellEnd"/>
      <w:r w:rsidR="00134C35">
        <w:t xml:space="preserve">, die Anpassungen der personellen Ressourcen, die Unterstützung durch interne und/oder externe </w:t>
      </w:r>
      <w:proofErr w:type="spellStart"/>
      <w:r w:rsidR="00134C35">
        <w:t>Expert:innen</w:t>
      </w:r>
      <w:proofErr w:type="spellEnd"/>
      <w:r w:rsidR="00134C35">
        <w:t xml:space="preserve"> sowie die Erarbeitung und Umsetzung spezifischer Konzepte. Dies verweist auf eine vorhandene Sensibilisierung der Institutionsleitungen für entsprechende Weiterbildungen und dem damit verbundenen Zuwachs an Kompetenzen für die professionelle Begleitung von Menschen, die </w:t>
      </w:r>
      <w:r w:rsidR="00134C35" w:rsidRPr="00B646B0">
        <w:t xml:space="preserve">herausfordernde Verhaltensweisen </w:t>
      </w:r>
      <w:r w:rsidR="00134C35">
        <w:t>zeigen. Auch Anpassungen im Bereich personeller Ressourcen wie verbesserte Betreuungsschlüssel oder die Anstellung von entsprechend geschulten Fachpersonen sind ein Mehrwert in der Begleitung der beschriebenen Klientel. Solche Massnahmen gehen zudem mit einer Reduktion des Belastungserlebens von Mitarbeitenden einher (Habermann-</w:t>
      </w:r>
      <w:proofErr w:type="spellStart"/>
      <w:r w:rsidR="00134C35">
        <w:t>Horstmeier</w:t>
      </w:r>
      <w:proofErr w:type="spellEnd"/>
      <w:r w:rsidR="00134C35">
        <w:t xml:space="preserve"> &amp; </w:t>
      </w:r>
      <w:proofErr w:type="spellStart"/>
      <w:r w:rsidR="00134C35">
        <w:t>Limbeck</w:t>
      </w:r>
      <w:proofErr w:type="spellEnd"/>
      <w:r w:rsidR="00134C35">
        <w:t xml:space="preserve">, 2016). </w:t>
      </w:r>
    </w:p>
    <w:p w14:paraId="1A2A506A" w14:textId="77777777" w:rsidR="00134C35" w:rsidRPr="00F7590A" w:rsidRDefault="00134C35" w:rsidP="000375AD">
      <w:pPr>
        <w:pStyle w:val="berschrift1"/>
      </w:pPr>
      <w:r>
        <w:t>Ausblick</w:t>
      </w:r>
    </w:p>
    <w:p w14:paraId="2924DCB7" w14:textId="2C3E00C7" w:rsidR="00BE1687" w:rsidRPr="001B61BF" w:rsidRDefault="00134C35" w:rsidP="00BE1687">
      <w:pPr>
        <w:pStyle w:val="Textkrper"/>
        <w:ind w:firstLine="0"/>
      </w:pPr>
      <w:r>
        <w:t xml:space="preserve">Ein professioneller Umgang mit herausfordernden Verhaltensweisen erfordert übergreifende und allgemeine konzeptionelle Überlegungen. Diese können beispielsweise in Form von Konzepten zum Umgang mit Grenzverletzungen institutionell verankert sein und massgeblich zur Gewaltprävention beitragen </w:t>
      </w:r>
      <w:r w:rsidRPr="00F1436E">
        <w:t>(Verbandsübergreifende Arbeitsgruppe Prävention, 2016).</w:t>
      </w:r>
      <w:r>
        <w:t xml:space="preserve"> Die konzeptionelle Arbeit manifestiert sich aber auch in einem </w:t>
      </w:r>
      <w:r w:rsidR="005C35DA">
        <w:t xml:space="preserve">spezifischen </w:t>
      </w:r>
      <w:r>
        <w:t xml:space="preserve">Umgang </w:t>
      </w:r>
      <w:r w:rsidR="005C35DA">
        <w:t xml:space="preserve">mit </w:t>
      </w:r>
      <w:proofErr w:type="spellStart"/>
      <w:r w:rsidR="005C35DA">
        <w:t>Klient:innen</w:t>
      </w:r>
      <w:proofErr w:type="spellEnd"/>
      <w:r w:rsidR="005C35DA">
        <w:t xml:space="preserve"> </w:t>
      </w:r>
      <w:r>
        <w:t>mit herausfordernden Verhaltensweisen. Denn die komplexen Entstehungs- und Aufrechterhaltungsbedingungen von herausfordernden Verhaltensweisen müssen stets individuell eruiert werden (</w:t>
      </w:r>
      <w:r w:rsidRPr="00F1436E">
        <w:t xml:space="preserve">Theunissen, 2021; </w:t>
      </w:r>
      <w:r>
        <w:t xml:space="preserve">Leitlinien HEVE, 2023). Um individuelle Umgangsweisen mit herausfordernden Verhaltensweisen zu entwickeln, braucht es ein hypothesengeleitetes Begleitkonzept, </w:t>
      </w:r>
      <w:r w:rsidRPr="005542FD">
        <w:t>wie dies in der Praxis an mancher Stelle bereits umgesetzt wird.</w:t>
      </w:r>
      <w:r>
        <w:t xml:space="preserve"> Dieses regelt die spezifische Präventionsarbeit und stellt das Vorgehen in Eskalationssituationen mitsamt der Nachsorge sicher (Leitlinien HEVE, 2023). Diese individuellen Begleitkonzepte sichern im Team einen abgestimmten und verbindlichen Umgang mit </w:t>
      </w:r>
      <w:proofErr w:type="spellStart"/>
      <w:r>
        <w:t>Klient:innen</w:t>
      </w:r>
      <w:proofErr w:type="spellEnd"/>
      <w:r>
        <w:t xml:space="preserve"> mit herausforderndem Verhalten (Glomb, 2019). Für die Erarbeitung solch individueller Konzepte, aber auch auf einer allgemeineren Ebene können die ebenfalls auf den Resultaten der zugrunde</w:t>
      </w:r>
      <w:r w:rsidR="00217AAE">
        <w:t xml:space="preserve"> </w:t>
      </w:r>
      <w:r>
        <w:t>liegenden SNF-Studie basierenden Leitlinien</w:t>
      </w:r>
      <w:r w:rsidRPr="00F37CFD">
        <w:t xml:space="preserve"> «Agogischer Umgang mit herausfordernden Verhaltensweisen»</w:t>
      </w:r>
      <w:r>
        <w:rPr>
          <w:rStyle w:val="Funotenzeichen"/>
          <w:rFonts w:asciiTheme="minorHAnsi" w:hAnsiTheme="minorHAnsi" w:cstheme="minorHAnsi"/>
        </w:rPr>
        <w:footnoteReference w:id="4"/>
      </w:r>
      <w:r>
        <w:t xml:space="preserve"> Orientierung bieten. Sie richten sich an Leitungspersonen und Mitarbeitende in institutionellen Kontexten des Behindertenbereichs, die Erwachsene mit kognitiven Beeinträchtigungen und herausfordernden Verhaltensweisen begleiten.</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118"/>
        <w:gridCol w:w="2975"/>
      </w:tblGrid>
      <w:tr w:rsidR="00BE1687" w:rsidRPr="00153133" w14:paraId="58DE44B6" w14:textId="77777777" w:rsidTr="00F229C0">
        <w:tc>
          <w:tcPr>
            <w:tcW w:w="1641" w:type="pct"/>
            <w:vAlign w:val="center"/>
          </w:tcPr>
          <w:p w14:paraId="06341FAB" w14:textId="14C5AE83" w:rsidR="00BE1687" w:rsidRPr="00153133" w:rsidRDefault="00B55086" w:rsidP="003B19C1">
            <w:pPr>
              <w:pStyle w:val="Textkrper"/>
              <w:ind w:firstLine="0"/>
              <w:rPr>
                <w:lang w:val="fr-CH"/>
              </w:rPr>
            </w:pPr>
            <w:r w:rsidRPr="00153133">
              <w:rPr>
                <w:noProof/>
                <w:lang w:val="fr-CH"/>
              </w:rPr>
              <w:lastRenderedPageBreak/>
              <w:drawing>
                <wp:inline distT="0" distB="0" distL="0" distR="0" wp14:anchorId="7EC483F2" wp14:editId="798F0AB1">
                  <wp:extent cx="1036320" cy="1036320"/>
                  <wp:effectExtent l="0" t="0" r="0" b="0"/>
                  <wp:docPr id="1703422766" name="Image 170342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422766" name="Grafik 170342276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718" w:type="pct"/>
            <w:vAlign w:val="center"/>
          </w:tcPr>
          <w:p w14:paraId="18AF85AA" w14:textId="77777777" w:rsidR="00BE1687" w:rsidRPr="00153133" w:rsidRDefault="00BE1687" w:rsidP="003B19C1">
            <w:pPr>
              <w:pStyle w:val="Textkrper"/>
              <w:ind w:firstLine="0"/>
              <w:rPr>
                <w:noProof/>
                <w:lang w:val="fr-CH"/>
              </w:rPr>
            </w:pPr>
            <w:r w:rsidRPr="00153133">
              <w:rPr>
                <w:noProof/>
                <w:lang w:val="fr-CH"/>
              </w:rPr>
              <w:drawing>
                <wp:inline distT="0" distB="0" distL="0" distR="0" wp14:anchorId="49AB9A4F" wp14:editId="7A3D97DB">
                  <wp:extent cx="1036320" cy="103632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c>
          <w:tcPr>
            <w:tcW w:w="1640" w:type="pct"/>
            <w:vAlign w:val="center"/>
          </w:tcPr>
          <w:p w14:paraId="20A79A7C" w14:textId="77777777" w:rsidR="00BE1687" w:rsidRPr="00153133" w:rsidRDefault="00BE1687" w:rsidP="003B19C1">
            <w:pPr>
              <w:pStyle w:val="Textkrper"/>
              <w:ind w:firstLine="0"/>
              <w:rPr>
                <w:noProof/>
                <w:lang w:val="fr-CH"/>
              </w:rPr>
            </w:pPr>
            <w:r w:rsidRPr="00153133">
              <w:rPr>
                <w:noProof/>
                <w:lang w:val="fr-CH"/>
              </w:rPr>
              <w:drawing>
                <wp:inline distT="0" distB="0" distL="0" distR="0" wp14:anchorId="0C6AD104" wp14:editId="2186D64D">
                  <wp:extent cx="1036320" cy="10363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tc>
      </w:tr>
      <w:tr w:rsidR="00BE1687" w:rsidRPr="00E90296" w14:paraId="5B8B1E39" w14:textId="77777777" w:rsidTr="00F229C0">
        <w:trPr>
          <w:trHeight w:val="960"/>
        </w:trPr>
        <w:tc>
          <w:tcPr>
            <w:tcW w:w="1641" w:type="pct"/>
          </w:tcPr>
          <w:p w14:paraId="421C80C8" w14:textId="77777777" w:rsidR="00BE1687" w:rsidRDefault="00BE1687" w:rsidP="00BE1687">
            <w:pPr>
              <w:pStyle w:val="Textkrper3"/>
            </w:pPr>
            <w:r>
              <w:t>Dr. Natalie Zambrino</w:t>
            </w:r>
          </w:p>
          <w:p w14:paraId="5A8560E1" w14:textId="77777777" w:rsidR="00BE1687" w:rsidRDefault="00BE1687" w:rsidP="00BE1687">
            <w:pPr>
              <w:pStyle w:val="Textkrper3"/>
            </w:pPr>
            <w:r>
              <w:t>Senior wissenschaftliche Mitarbeiterin</w:t>
            </w:r>
          </w:p>
          <w:p w14:paraId="49E28AFA" w14:textId="77777777" w:rsidR="00BE1687" w:rsidRDefault="00BE1687" w:rsidP="00BE1687">
            <w:pPr>
              <w:pStyle w:val="Textkrper3"/>
            </w:pPr>
            <w:r>
              <w:t>Hochschule Luzern – Soziale Arbeit</w:t>
            </w:r>
          </w:p>
          <w:p w14:paraId="12FA8099" w14:textId="77777777" w:rsidR="00BE1687" w:rsidRDefault="00BE1687" w:rsidP="00BE1687">
            <w:pPr>
              <w:pStyle w:val="Textkrper3"/>
            </w:pPr>
            <w:r>
              <w:t>Institut für Sozialpädagogik und Bildung</w:t>
            </w:r>
          </w:p>
          <w:p w14:paraId="7539ABCA" w14:textId="0EF14D8E" w:rsidR="00BE1687" w:rsidRPr="00153133" w:rsidRDefault="00000000" w:rsidP="00BE1687">
            <w:pPr>
              <w:pStyle w:val="Textkrper3"/>
            </w:pPr>
            <w:hyperlink r:id="rId19" w:history="1">
              <w:r w:rsidR="00BE1687" w:rsidRPr="0048545B">
                <w:rPr>
                  <w:rStyle w:val="Hyperlink"/>
                </w:rPr>
                <w:t>natalie.zambrino@hslu.ch</w:t>
              </w:r>
            </w:hyperlink>
          </w:p>
        </w:tc>
        <w:tc>
          <w:tcPr>
            <w:tcW w:w="1718" w:type="pct"/>
          </w:tcPr>
          <w:p w14:paraId="4F9884BF" w14:textId="77777777" w:rsidR="00BE1687" w:rsidRDefault="00BE1687" w:rsidP="00BE1687">
            <w:pPr>
              <w:pStyle w:val="Textkrper3"/>
            </w:pPr>
            <w:r>
              <w:t xml:space="preserve">Prof. Dr. Eva </w:t>
            </w:r>
            <w:proofErr w:type="spellStart"/>
            <w:r>
              <w:t>Büschi</w:t>
            </w:r>
            <w:proofErr w:type="spellEnd"/>
          </w:p>
          <w:p w14:paraId="292965A9" w14:textId="77777777" w:rsidR="00BE1687" w:rsidRDefault="00BE1687" w:rsidP="00BE1687">
            <w:pPr>
              <w:pStyle w:val="Textkrper3"/>
            </w:pPr>
            <w:r>
              <w:t>Dozentin</w:t>
            </w:r>
          </w:p>
          <w:p w14:paraId="342DC8CE" w14:textId="77777777" w:rsidR="00BE1687" w:rsidRDefault="00BE1687" w:rsidP="00BE1687">
            <w:pPr>
              <w:pStyle w:val="Textkrper3"/>
            </w:pPr>
            <w:r>
              <w:t>Hochschule für Soziale Arbeit der Fachhochschule Nordwestschweiz FHNW</w:t>
            </w:r>
          </w:p>
          <w:p w14:paraId="5B7D5A74" w14:textId="77777777" w:rsidR="00BE1687" w:rsidRDefault="00BE1687" w:rsidP="00BE1687">
            <w:pPr>
              <w:pStyle w:val="Textkrper3"/>
            </w:pPr>
            <w:r>
              <w:t>Institut Integration und Partizipation</w:t>
            </w:r>
          </w:p>
          <w:p w14:paraId="7BBA9434" w14:textId="122D748B" w:rsidR="00BF25EB" w:rsidRPr="00BF25EB" w:rsidRDefault="00000000" w:rsidP="003B19C1">
            <w:pPr>
              <w:pStyle w:val="Textkrper3"/>
              <w:rPr>
                <w:bCs/>
                <w:iCs/>
                <w:color w:val="D31932" w:themeColor="accent1"/>
              </w:rPr>
            </w:pPr>
            <w:hyperlink r:id="rId20" w:history="1">
              <w:r w:rsidR="00BE1687" w:rsidRPr="0048545B">
                <w:rPr>
                  <w:rStyle w:val="Hyperlink"/>
                </w:rPr>
                <w:t>eva.bueschi@fhnw.ch</w:t>
              </w:r>
            </w:hyperlink>
          </w:p>
        </w:tc>
        <w:tc>
          <w:tcPr>
            <w:tcW w:w="1640" w:type="pct"/>
          </w:tcPr>
          <w:p w14:paraId="700E64B6" w14:textId="77777777" w:rsidR="00BE1687" w:rsidRDefault="00BE1687" w:rsidP="00BE1687">
            <w:pPr>
              <w:pStyle w:val="Textkrper3"/>
            </w:pPr>
            <w:r>
              <w:t>Prof. Dr. Stefania Calabrese</w:t>
            </w:r>
          </w:p>
          <w:p w14:paraId="733A955F" w14:textId="77777777" w:rsidR="00BE1687" w:rsidRDefault="00BE1687" w:rsidP="00BE1687">
            <w:pPr>
              <w:pStyle w:val="Textkrper3"/>
            </w:pPr>
            <w:r>
              <w:t>Dozentin</w:t>
            </w:r>
          </w:p>
          <w:p w14:paraId="29815613" w14:textId="77777777" w:rsidR="00BE1687" w:rsidRDefault="00BE1687" w:rsidP="00BE1687">
            <w:pPr>
              <w:pStyle w:val="Textkrper3"/>
            </w:pPr>
            <w:r>
              <w:t>Hochschule Luzern – Soziale Arbeit</w:t>
            </w:r>
          </w:p>
          <w:p w14:paraId="61CFD46B" w14:textId="77777777" w:rsidR="00BE1687" w:rsidRDefault="00BE1687" w:rsidP="00BE1687">
            <w:pPr>
              <w:pStyle w:val="Textkrper3"/>
            </w:pPr>
            <w:r>
              <w:t>Institut für Sozialpädagogik und Bildung</w:t>
            </w:r>
          </w:p>
          <w:p w14:paraId="54DA736E" w14:textId="07B154EE" w:rsidR="00BE1687" w:rsidRPr="00153133" w:rsidRDefault="00000000" w:rsidP="003B19C1">
            <w:pPr>
              <w:pStyle w:val="Textkrper3"/>
            </w:pPr>
            <w:hyperlink r:id="rId21" w:history="1">
              <w:r w:rsidR="00BE1687" w:rsidRPr="0048545B">
                <w:rPr>
                  <w:rStyle w:val="Hyperlink"/>
                </w:rPr>
                <w:t>stefania.calabrese@hslu.ch</w:t>
              </w:r>
            </w:hyperlink>
          </w:p>
        </w:tc>
      </w:tr>
    </w:tbl>
    <w:p w14:paraId="2BCA7CE9" w14:textId="77777777" w:rsidR="00134C35" w:rsidRPr="005E643E" w:rsidRDefault="00134C35" w:rsidP="000375AD">
      <w:pPr>
        <w:pStyle w:val="berschrift1"/>
        <w:rPr>
          <w:rStyle w:val="normaltextrun1"/>
          <w:rFonts w:asciiTheme="minorHAnsi" w:hAnsiTheme="minorHAnsi" w:cstheme="minorHAnsi"/>
          <w:lang w:val="it-IT"/>
        </w:rPr>
      </w:pPr>
      <w:r w:rsidRPr="00474112">
        <w:rPr>
          <w:rStyle w:val="normaltextrun1"/>
          <w:rFonts w:asciiTheme="minorHAnsi" w:hAnsiTheme="minorHAnsi" w:cstheme="minorHAnsi"/>
          <w:lang w:val="it-IT"/>
        </w:rPr>
        <w:t>Literatur</w:t>
      </w:r>
    </w:p>
    <w:p w14:paraId="1226B3DD" w14:textId="0538C5D6" w:rsidR="00134C35" w:rsidRPr="00B06279" w:rsidRDefault="00134C35" w:rsidP="000375AD">
      <w:pPr>
        <w:pStyle w:val="Literaturverzeichnis"/>
      </w:pPr>
      <w:r w:rsidRPr="00B06279">
        <w:rPr>
          <w:lang w:val="it-IT"/>
        </w:rPr>
        <w:t xml:space="preserve">Büschi, E. &amp; Calabrese, S. (2021). </w:t>
      </w:r>
      <w:r w:rsidRPr="00B06279">
        <w:rPr>
          <w:i/>
          <w:iCs/>
        </w:rPr>
        <w:t>Herausforderndes Verhalten</w:t>
      </w:r>
      <w:r w:rsidRPr="00B06279">
        <w:t xml:space="preserve">. </w:t>
      </w:r>
      <w:hyperlink r:id="rId22" w:history="1">
        <w:r w:rsidRPr="00B06279">
          <w:rPr>
            <w:rStyle w:val="Hyperlink"/>
            <w:rFonts w:asciiTheme="minorHAnsi" w:hAnsiTheme="minorHAnsi" w:cstheme="minorHAnsi"/>
          </w:rPr>
          <w:t>www.socialnet.de/lexikon/Herausforderndes-Verhalten</w:t>
        </w:r>
      </w:hyperlink>
      <w:r w:rsidRPr="00B06279">
        <w:t xml:space="preserve"> </w:t>
      </w:r>
    </w:p>
    <w:p w14:paraId="71CEE81E" w14:textId="77777777" w:rsidR="00134C35" w:rsidRPr="00B06279" w:rsidRDefault="00134C35" w:rsidP="000375AD">
      <w:pPr>
        <w:pStyle w:val="Literaturverzeichnis"/>
      </w:pPr>
      <w:r w:rsidRPr="00B06279">
        <w:t xml:space="preserve">Calabrese, S. (2017). </w:t>
      </w:r>
      <w:r w:rsidRPr="00B06279">
        <w:rPr>
          <w:i/>
          <w:iCs/>
        </w:rPr>
        <w:t>Herausfordernde Verhaltensweisen – herausfordernde Situationen: Ein Perspektivenwechsel. Eine qualitativ-videoanalytische Studie über die Gestaltung von Arbeitssituationen von Menschen mit schweren Beeinträchtigungen und herausfordernden Verhaltensweisen.</w:t>
      </w:r>
      <w:r w:rsidRPr="00B06279">
        <w:t xml:space="preserve"> Klinkhardt.</w:t>
      </w:r>
    </w:p>
    <w:p w14:paraId="29ABC800" w14:textId="77777777" w:rsidR="00134C35" w:rsidRPr="00B06279" w:rsidRDefault="00134C35" w:rsidP="000375AD">
      <w:pPr>
        <w:pStyle w:val="Literaturverzeichnis"/>
      </w:pPr>
      <w:proofErr w:type="spellStart"/>
      <w:r w:rsidRPr="00B06279">
        <w:t>Došen</w:t>
      </w:r>
      <w:proofErr w:type="spellEnd"/>
      <w:r w:rsidRPr="00B06279">
        <w:t xml:space="preserve">, A. (1997). </w:t>
      </w:r>
      <w:r w:rsidRPr="00B06279">
        <w:rPr>
          <w:i/>
          <w:iCs/>
        </w:rPr>
        <w:t>Psychische Störungen bei geistig behinderten Menschen</w:t>
      </w:r>
      <w:r w:rsidRPr="00B06279">
        <w:t>. Fischer.</w:t>
      </w:r>
    </w:p>
    <w:p w14:paraId="3E2480A4" w14:textId="77777777" w:rsidR="00134C35" w:rsidRPr="00B06279" w:rsidRDefault="00134C35" w:rsidP="000375AD">
      <w:pPr>
        <w:pStyle w:val="Literaturverzeichnis"/>
      </w:pPr>
      <w:r w:rsidRPr="00B06279">
        <w:t xml:space="preserve">Elbing, U. (2003). </w:t>
      </w:r>
      <w:r w:rsidRPr="00B06279">
        <w:rPr>
          <w:i/>
          <w:iCs/>
        </w:rPr>
        <w:t xml:space="preserve">Nichts passiert aus heiterem Himmel – es sei denn, man kennt das Wetter nicht: Transaktionsanalyse, geistige Behinderung und sogenannte Verhaltensstörungen. </w:t>
      </w:r>
      <w:r w:rsidRPr="00B06279">
        <w:t>modernes lernen.</w:t>
      </w:r>
    </w:p>
    <w:p w14:paraId="1967E8D9" w14:textId="77777777" w:rsidR="00134C35" w:rsidRPr="00822346" w:rsidRDefault="00134C35" w:rsidP="000375AD">
      <w:pPr>
        <w:pStyle w:val="Literaturverzeichnis"/>
      </w:pPr>
      <w:r w:rsidRPr="0071638A">
        <w:rPr>
          <w:lang w:val="en-GB"/>
        </w:rPr>
        <w:t xml:space="preserve">Emerson, E. &amp; Hatton, C. (2014). </w:t>
      </w:r>
      <w:r w:rsidRPr="0071638A">
        <w:rPr>
          <w:i/>
          <w:iCs/>
          <w:lang w:val="en-GB"/>
        </w:rPr>
        <w:t>Health Inequalities and People with Intellectual Disabilities.</w:t>
      </w:r>
      <w:r w:rsidRPr="0071638A">
        <w:rPr>
          <w:lang w:val="en-GB"/>
        </w:rPr>
        <w:t xml:space="preserve"> </w:t>
      </w:r>
      <w:r w:rsidRPr="00822346">
        <w:t>Cambridge University Press.</w:t>
      </w:r>
    </w:p>
    <w:p w14:paraId="425C9B6F" w14:textId="77777777" w:rsidR="00134C35" w:rsidRPr="00B06279" w:rsidRDefault="00134C35" w:rsidP="000375AD">
      <w:pPr>
        <w:pStyle w:val="Literaturverzeichnis"/>
        <w:rPr>
          <w:noProof/>
        </w:rPr>
      </w:pPr>
      <w:r w:rsidRPr="00B06279">
        <w:rPr>
          <w:noProof/>
        </w:rPr>
        <w:t xml:space="preserve">Fritschi, T., von Bergen, M., Müller, F., Bucher, N., Ostrowski, G., Kraus, S. &amp; Luchsinger, L. (2019). </w:t>
      </w:r>
      <w:r w:rsidRPr="00B06279">
        <w:rPr>
          <w:i/>
          <w:iCs/>
          <w:noProof/>
        </w:rPr>
        <w:t>Bestandesaufnahme des Wohnangebots für Menschen mit Behinderungen.</w:t>
      </w:r>
      <w:r w:rsidRPr="00B06279">
        <w:rPr>
          <w:noProof/>
        </w:rPr>
        <w:t xml:space="preserve"> </w:t>
      </w:r>
      <w:hyperlink r:id="rId23" w:history="1">
        <w:r w:rsidRPr="00B06279">
          <w:rPr>
            <w:rStyle w:val="Hyperlink"/>
            <w:rFonts w:asciiTheme="minorHAnsi" w:hAnsiTheme="minorHAnsi" w:cstheme="minorHAnsi"/>
            <w:noProof/>
          </w:rPr>
          <w:t>www.bsv.admin.ch/bsv/de/home/publikationen-und-service/forschung/forschungspublikationen.exturl.html?lang=de&amp;lnr=07/19</w:t>
        </w:r>
      </w:hyperlink>
    </w:p>
    <w:p w14:paraId="75C3B98D" w14:textId="502621D9" w:rsidR="00134C35" w:rsidRPr="00B06279" w:rsidRDefault="00134C35" w:rsidP="000375AD">
      <w:pPr>
        <w:pStyle w:val="Literaturverzeichnis"/>
      </w:pPr>
      <w:r w:rsidRPr="00B06279">
        <w:t xml:space="preserve">Glomb, A. (2019). Aggression in heilpädagogischen Einrichtungen der Behindertenhilfe. In J. Nau, W. Gernot &amp; N. Oud (Hrsg.), </w:t>
      </w:r>
      <w:r w:rsidRPr="00B06279">
        <w:rPr>
          <w:i/>
          <w:iCs/>
        </w:rPr>
        <w:t xml:space="preserve">Aggression, Gewalt und Aggressionsmanagement. Lehr- und Praxisbuch zur Gewaltprävention für Pflege-, Gesundheits- und Sozialberufe </w:t>
      </w:r>
      <w:r w:rsidRPr="00B06279">
        <w:t>(S. 328</w:t>
      </w:r>
      <w:r w:rsidR="00C30711">
        <w:t>–</w:t>
      </w:r>
      <w:r w:rsidRPr="00B06279">
        <w:t>334)</w:t>
      </w:r>
      <w:r w:rsidRPr="00B06279">
        <w:rPr>
          <w:i/>
          <w:iCs/>
        </w:rPr>
        <w:t>.</w:t>
      </w:r>
      <w:r w:rsidRPr="00B06279">
        <w:t xml:space="preserve"> Hogrefe.</w:t>
      </w:r>
    </w:p>
    <w:p w14:paraId="70B25A52" w14:textId="77777777" w:rsidR="00134C35" w:rsidRPr="0071638A" w:rsidRDefault="00134C35" w:rsidP="000375AD">
      <w:pPr>
        <w:pStyle w:val="Literaturverzeichnis"/>
        <w:rPr>
          <w:lang w:val="en-GB"/>
        </w:rPr>
      </w:pPr>
      <w:r w:rsidRPr="00B06279">
        <w:t>Habermann-</w:t>
      </w:r>
      <w:proofErr w:type="spellStart"/>
      <w:r w:rsidRPr="00B06279">
        <w:t>Horstmeier</w:t>
      </w:r>
      <w:proofErr w:type="spellEnd"/>
      <w:r w:rsidRPr="00B06279">
        <w:t xml:space="preserve">, L. &amp; </w:t>
      </w:r>
      <w:proofErr w:type="spellStart"/>
      <w:r w:rsidRPr="00B06279">
        <w:t>Limbeck</w:t>
      </w:r>
      <w:proofErr w:type="spellEnd"/>
      <w:r w:rsidRPr="00B06279">
        <w:t xml:space="preserve">, K. (2016). Arbeitsbelastung: Welchen Belastungen sind die Beschäftigten in der Behindertenbetreuung ausgesetzt? </w:t>
      </w:r>
      <w:r w:rsidRPr="0071638A">
        <w:rPr>
          <w:i/>
          <w:iCs/>
          <w:lang w:val="en-GB"/>
        </w:rPr>
        <w:t xml:space="preserve">ASU – </w:t>
      </w:r>
      <w:proofErr w:type="spellStart"/>
      <w:r w:rsidRPr="0071638A">
        <w:rPr>
          <w:i/>
          <w:iCs/>
          <w:lang w:val="en-GB"/>
        </w:rPr>
        <w:t>Arbeitsmedizin</w:t>
      </w:r>
      <w:proofErr w:type="spellEnd"/>
      <w:r w:rsidRPr="0071638A">
        <w:rPr>
          <w:i/>
          <w:iCs/>
          <w:lang w:val="en-GB"/>
        </w:rPr>
        <w:t xml:space="preserve">, </w:t>
      </w:r>
      <w:proofErr w:type="spellStart"/>
      <w:r w:rsidRPr="0071638A">
        <w:rPr>
          <w:i/>
          <w:iCs/>
          <w:lang w:val="en-GB"/>
        </w:rPr>
        <w:t>Sozialmedizin</w:t>
      </w:r>
      <w:proofErr w:type="spellEnd"/>
      <w:r w:rsidRPr="0071638A">
        <w:rPr>
          <w:i/>
          <w:iCs/>
          <w:lang w:val="en-GB"/>
        </w:rPr>
        <w:t xml:space="preserve">, </w:t>
      </w:r>
      <w:proofErr w:type="spellStart"/>
      <w:r w:rsidRPr="0071638A">
        <w:rPr>
          <w:i/>
          <w:iCs/>
          <w:lang w:val="en-GB"/>
        </w:rPr>
        <w:t>Umweltmedizin</w:t>
      </w:r>
      <w:proofErr w:type="spellEnd"/>
      <w:r w:rsidRPr="0071638A">
        <w:rPr>
          <w:i/>
          <w:iCs/>
          <w:lang w:val="en-GB"/>
        </w:rPr>
        <w:t>, 51</w:t>
      </w:r>
      <w:r w:rsidRPr="0071638A">
        <w:rPr>
          <w:lang w:val="en-GB"/>
        </w:rPr>
        <w:t> (7), 517–525.</w:t>
      </w:r>
    </w:p>
    <w:p w14:paraId="053FDEA0" w14:textId="77777777" w:rsidR="00134C35" w:rsidRPr="00B06279" w:rsidRDefault="00134C35" w:rsidP="000375AD">
      <w:pPr>
        <w:pStyle w:val="Literaturverzeichnis"/>
      </w:pPr>
      <w:proofErr w:type="spellStart"/>
      <w:r w:rsidRPr="0071638A">
        <w:rPr>
          <w:lang w:val="en-GB"/>
        </w:rPr>
        <w:t>Koritsas</w:t>
      </w:r>
      <w:proofErr w:type="spellEnd"/>
      <w:r w:rsidRPr="0071638A">
        <w:rPr>
          <w:lang w:val="en-GB"/>
        </w:rPr>
        <w:t xml:space="preserve">, S. &amp; Iacono, T. (2012). Challenging behaviour and associated risk factors, an overview. </w:t>
      </w:r>
      <w:proofErr w:type="spellStart"/>
      <w:r w:rsidRPr="00B06279">
        <w:rPr>
          <w:i/>
          <w:iCs/>
        </w:rPr>
        <w:t>Advances</w:t>
      </w:r>
      <w:proofErr w:type="spellEnd"/>
      <w:r w:rsidRPr="00B06279">
        <w:rPr>
          <w:i/>
          <w:iCs/>
        </w:rPr>
        <w:t xml:space="preserve"> in Mental Health and </w:t>
      </w:r>
      <w:proofErr w:type="spellStart"/>
      <w:r w:rsidRPr="00B06279">
        <w:rPr>
          <w:i/>
          <w:iCs/>
        </w:rPr>
        <w:t>Intellectual</w:t>
      </w:r>
      <w:proofErr w:type="spellEnd"/>
      <w:r w:rsidRPr="00B06279">
        <w:rPr>
          <w:i/>
          <w:iCs/>
        </w:rPr>
        <w:t xml:space="preserve"> </w:t>
      </w:r>
      <w:proofErr w:type="spellStart"/>
      <w:r w:rsidRPr="00B06279">
        <w:rPr>
          <w:i/>
          <w:iCs/>
        </w:rPr>
        <w:t>Disabilities</w:t>
      </w:r>
      <w:proofErr w:type="spellEnd"/>
      <w:r w:rsidRPr="00B06279">
        <w:rPr>
          <w:i/>
          <w:iCs/>
        </w:rPr>
        <w:t>, 6</w:t>
      </w:r>
      <w:r w:rsidRPr="00B06279">
        <w:t> (4), 199–214.</w:t>
      </w:r>
    </w:p>
    <w:p w14:paraId="4ECEA809" w14:textId="7CFF00B4" w:rsidR="00134C35" w:rsidRPr="001E2C34" w:rsidRDefault="00134C35" w:rsidP="000375AD">
      <w:pPr>
        <w:pStyle w:val="Literaturverzeichnis"/>
        <w:rPr>
          <w:lang w:val="en-US"/>
        </w:rPr>
      </w:pPr>
      <w:r w:rsidRPr="00B06279">
        <w:t>Leitlinien HEVE (2023). Agogischer Umgang mit herausfordernden Verhaltensweisen.</w:t>
      </w:r>
      <w:r w:rsidR="00C30711">
        <w:t xml:space="preserve"> </w:t>
      </w:r>
      <w:hyperlink r:id="rId24" w:history="1">
        <w:r w:rsidRPr="001E2C34">
          <w:rPr>
            <w:rStyle w:val="Hyperlink"/>
            <w:rFonts w:asciiTheme="minorHAnsi" w:hAnsiTheme="minorHAnsi" w:cstheme="minorHAnsi"/>
            <w:lang w:val="en-US"/>
          </w:rPr>
          <w:t>www.fhnw.ch/plattformen/heve/leitlinien/</w:t>
        </w:r>
      </w:hyperlink>
      <w:r w:rsidRPr="001E2C34">
        <w:rPr>
          <w:lang w:val="en-US"/>
        </w:rPr>
        <w:t xml:space="preserve"> </w:t>
      </w:r>
    </w:p>
    <w:p w14:paraId="6911321D" w14:textId="4699F44B" w:rsidR="00134C35" w:rsidRPr="00B06279" w:rsidRDefault="00134C35" w:rsidP="000375AD">
      <w:pPr>
        <w:pStyle w:val="Literaturverzeichnis"/>
      </w:pPr>
      <w:proofErr w:type="spellStart"/>
      <w:r w:rsidRPr="0071638A">
        <w:rPr>
          <w:lang w:val="en-GB"/>
        </w:rPr>
        <w:t>Luiselli</w:t>
      </w:r>
      <w:proofErr w:type="spellEnd"/>
      <w:r w:rsidRPr="0071638A">
        <w:rPr>
          <w:lang w:val="en-GB"/>
        </w:rPr>
        <w:t xml:space="preserve">, J. K. (2012). </w:t>
      </w:r>
      <w:r w:rsidRPr="0071638A">
        <w:rPr>
          <w:i/>
          <w:iCs/>
          <w:lang w:val="en-GB"/>
        </w:rPr>
        <w:t xml:space="preserve">High-Risk Challenging </w:t>
      </w:r>
      <w:proofErr w:type="spellStart"/>
      <w:r w:rsidRPr="0071638A">
        <w:rPr>
          <w:i/>
          <w:iCs/>
          <w:lang w:val="en-GB"/>
        </w:rPr>
        <w:t>Behaviors</w:t>
      </w:r>
      <w:proofErr w:type="spellEnd"/>
      <w:r w:rsidRPr="0071638A">
        <w:rPr>
          <w:i/>
          <w:iCs/>
          <w:lang w:val="en-GB"/>
        </w:rPr>
        <w:t xml:space="preserve"> in People with Intellectual and Developmental Disabilities</w:t>
      </w:r>
      <w:r w:rsidRPr="0071638A">
        <w:rPr>
          <w:lang w:val="en-GB"/>
        </w:rPr>
        <w:t xml:space="preserve">. </w:t>
      </w:r>
      <w:r w:rsidRPr="00B06279">
        <w:t>B</w:t>
      </w:r>
      <w:r w:rsidR="00334A1F">
        <w:t>r</w:t>
      </w:r>
      <w:r w:rsidRPr="00B06279">
        <w:t>ook</w:t>
      </w:r>
      <w:r w:rsidR="00334A1F">
        <w:t>e</w:t>
      </w:r>
      <w:r w:rsidRPr="00B06279">
        <w:t>s.</w:t>
      </w:r>
    </w:p>
    <w:p w14:paraId="53BC825D" w14:textId="77777777" w:rsidR="00134C35" w:rsidRPr="00B06279" w:rsidRDefault="00134C35" w:rsidP="000375AD">
      <w:pPr>
        <w:pStyle w:val="Literaturverzeichnis"/>
      </w:pPr>
      <w:r w:rsidRPr="00B06279">
        <w:t xml:space="preserve">Lustenberger, N., </w:t>
      </w:r>
      <w:proofErr w:type="spellStart"/>
      <w:r w:rsidRPr="00B06279">
        <w:t>Büschi</w:t>
      </w:r>
      <w:proofErr w:type="spellEnd"/>
      <w:r w:rsidRPr="00B06279">
        <w:t xml:space="preserve">, E., Calabrese, S., Hassler, B. &amp; </w:t>
      </w:r>
      <w:proofErr w:type="spellStart"/>
      <w:r w:rsidRPr="00B06279">
        <w:t>Schicka</w:t>
      </w:r>
      <w:proofErr w:type="spellEnd"/>
      <w:r w:rsidRPr="00B06279">
        <w:t xml:space="preserve">, M. (2019). Aktuelle Forschungsprojekte: HEVE-Herausfordernde Verhaltensweisen von Erwachsenen mit kognitiven Beeinträchtigungen in Schweizer Institutionen des Behindertenbereichs. </w:t>
      </w:r>
      <w:r w:rsidRPr="00B06279">
        <w:rPr>
          <w:i/>
          <w:iCs/>
        </w:rPr>
        <w:t>Vierteljahresschrift für Heilpädagogik und ihre Nachbargebiete, 88</w:t>
      </w:r>
      <w:r w:rsidRPr="00B06279">
        <w:t xml:space="preserve"> (1), 79–81. </w:t>
      </w:r>
    </w:p>
    <w:p w14:paraId="01E1FEFC" w14:textId="37D0585F" w:rsidR="00134C35" w:rsidRPr="00B06279" w:rsidRDefault="00134C35" w:rsidP="000375AD">
      <w:pPr>
        <w:pStyle w:val="Literaturverzeichnis"/>
      </w:pPr>
      <w:proofErr w:type="spellStart"/>
      <w:r w:rsidRPr="00B06279">
        <w:t>Matson</w:t>
      </w:r>
      <w:proofErr w:type="spellEnd"/>
      <w:r w:rsidRPr="00B06279">
        <w:t xml:space="preserve">, J. L. &amp; Kozlowski, A. M. (2012). </w:t>
      </w:r>
      <w:r w:rsidRPr="00B06279">
        <w:rPr>
          <w:lang w:val="en-US"/>
        </w:rPr>
        <w:t xml:space="preserve">Environmental Determinants of Aggressive Behavior. In J. K. </w:t>
      </w:r>
      <w:proofErr w:type="spellStart"/>
      <w:r w:rsidRPr="00B06279">
        <w:rPr>
          <w:lang w:val="en-US"/>
        </w:rPr>
        <w:t>Luiselli</w:t>
      </w:r>
      <w:proofErr w:type="spellEnd"/>
      <w:r w:rsidRPr="00B06279">
        <w:rPr>
          <w:lang w:val="en-US"/>
        </w:rPr>
        <w:t xml:space="preserve"> (Ed.), </w:t>
      </w:r>
      <w:r w:rsidRPr="00B06279">
        <w:rPr>
          <w:i/>
          <w:iCs/>
          <w:lang w:val="en-US"/>
        </w:rPr>
        <w:t>The Handbook of High-Risk Challenging Behaviors in People with Intellectual and Developmental Disabilities</w:t>
      </w:r>
      <w:r w:rsidRPr="00B06279">
        <w:rPr>
          <w:lang w:val="en-US"/>
        </w:rPr>
        <w:t xml:space="preserve"> (pp. </w:t>
      </w:r>
      <w:r w:rsidRPr="00B06279">
        <w:rPr>
          <w:lang w:val="en-GB"/>
        </w:rPr>
        <w:t xml:space="preserve">63–82). </w:t>
      </w:r>
      <w:r w:rsidRPr="00B06279">
        <w:t>Brookes.</w:t>
      </w:r>
    </w:p>
    <w:p w14:paraId="55FFAAD0" w14:textId="77777777" w:rsidR="00134C35" w:rsidRPr="00B06279" w:rsidRDefault="00134C35" w:rsidP="000375AD">
      <w:pPr>
        <w:pStyle w:val="Literaturverzeichnis"/>
      </w:pPr>
      <w:r w:rsidRPr="00B06279">
        <w:t xml:space="preserve">Schanze, C., </w:t>
      </w:r>
      <w:proofErr w:type="spellStart"/>
      <w:r w:rsidRPr="00B06279">
        <w:t>Sappok</w:t>
      </w:r>
      <w:proofErr w:type="spellEnd"/>
      <w:r w:rsidRPr="00B06279">
        <w:t xml:space="preserve">, T. &amp; </w:t>
      </w:r>
      <w:proofErr w:type="spellStart"/>
      <w:r w:rsidRPr="00B06279">
        <w:t>Kehrle</w:t>
      </w:r>
      <w:proofErr w:type="spellEnd"/>
      <w:r w:rsidRPr="00B06279">
        <w:t xml:space="preserve">, M. (2014). Verhaltensauffälligkeiten. In C. Schanze (Hrsg.), </w:t>
      </w:r>
      <w:r w:rsidRPr="00B06279">
        <w:rPr>
          <w:i/>
          <w:iCs/>
        </w:rPr>
        <w:t xml:space="preserve">Psychiatrische Diagnostik und Therapie bei Menschen mit Intelligenzminderung. Ein Arbeits- und Praxisbuch für Ärzte, Psychologen, Heilerziehungspfleger und -pädagogen </w:t>
      </w:r>
      <w:r w:rsidRPr="00B06279">
        <w:t>(S. 233–256).</w:t>
      </w:r>
      <w:r w:rsidRPr="00B06279">
        <w:rPr>
          <w:i/>
          <w:iCs/>
        </w:rPr>
        <w:t xml:space="preserve"> </w:t>
      </w:r>
      <w:r w:rsidRPr="00B06279">
        <w:t>Schattauer.</w:t>
      </w:r>
    </w:p>
    <w:p w14:paraId="4C48E048" w14:textId="77777777" w:rsidR="00134C35" w:rsidRPr="00B06279" w:rsidRDefault="00134C35" w:rsidP="000375AD">
      <w:pPr>
        <w:pStyle w:val="Literaturverzeichnis"/>
      </w:pPr>
      <w:r w:rsidRPr="00B06279">
        <w:lastRenderedPageBreak/>
        <w:t xml:space="preserve">Theunissen, G. (2021). </w:t>
      </w:r>
      <w:r w:rsidRPr="00B06279">
        <w:rPr>
          <w:i/>
          <w:iCs/>
        </w:rPr>
        <w:t>Geistige Behinderung und Verhaltensauffälligkeiten</w:t>
      </w:r>
      <w:r w:rsidRPr="00B06279">
        <w:t>. Klinkhardt.</w:t>
      </w:r>
    </w:p>
    <w:p w14:paraId="22D0F829" w14:textId="77777777" w:rsidR="00134C35" w:rsidRPr="00B06279" w:rsidRDefault="00134C35" w:rsidP="000375AD">
      <w:pPr>
        <w:pStyle w:val="Literaturverzeichnis"/>
        <w:rPr>
          <w:lang w:val="en-GB"/>
        </w:rPr>
      </w:pPr>
      <w:r w:rsidRPr="00B06279">
        <w:t xml:space="preserve">Verbandsübergreifende Arbeitsgruppe Prävention (2016). </w:t>
      </w:r>
      <w:r w:rsidRPr="00B06279">
        <w:rPr>
          <w:i/>
          <w:iCs/>
        </w:rPr>
        <w:t xml:space="preserve">Charta zur Prävention von sexueller Ausbeutung, Missbrauch und anderen Grenzverletzungen. </w:t>
      </w:r>
      <w:hyperlink r:id="rId25" w:history="1">
        <w:r w:rsidRPr="00B06279">
          <w:rPr>
            <w:rStyle w:val="Hyperlink"/>
            <w:rFonts w:asciiTheme="minorHAnsi" w:hAnsiTheme="minorHAnsi" w:cstheme="minorHAnsi"/>
            <w:lang w:val="en-GB"/>
          </w:rPr>
          <w:t>www.charta-praevention.ch</w:t>
        </w:r>
      </w:hyperlink>
      <w:r w:rsidRPr="00B06279">
        <w:rPr>
          <w:lang w:val="en-GB"/>
        </w:rPr>
        <w:t xml:space="preserve"> </w:t>
      </w:r>
    </w:p>
    <w:p w14:paraId="357AE3D3" w14:textId="3E79705C" w:rsidR="00134C35" w:rsidRPr="0071638A" w:rsidRDefault="00134C35" w:rsidP="00BE1687">
      <w:pPr>
        <w:pStyle w:val="Literaturverzeichnis"/>
        <w:rPr>
          <w:lang w:val="en-GB"/>
        </w:rPr>
      </w:pPr>
      <w:r w:rsidRPr="00B06279">
        <w:rPr>
          <w:lang w:val="en-GB"/>
        </w:rPr>
        <w:t xml:space="preserve">Weber Long, S. (2014). </w:t>
      </w:r>
      <w:r w:rsidRPr="0071638A">
        <w:rPr>
          <w:i/>
          <w:iCs/>
          <w:lang w:val="en-GB"/>
        </w:rPr>
        <w:t xml:space="preserve">Caring for People with Challenging </w:t>
      </w:r>
      <w:r w:rsidR="007D4DC2" w:rsidRPr="0071638A">
        <w:rPr>
          <w:i/>
          <w:iCs/>
          <w:lang w:val="en-GB"/>
        </w:rPr>
        <w:t>Behaviours</w:t>
      </w:r>
      <w:r w:rsidRPr="0071638A">
        <w:rPr>
          <w:i/>
          <w:iCs/>
          <w:lang w:val="en-GB"/>
        </w:rPr>
        <w:t>. Essential Skills and Successful Strategies in Long-Term Care</w:t>
      </w:r>
      <w:r w:rsidRPr="0071638A">
        <w:rPr>
          <w:lang w:val="en-GB"/>
        </w:rPr>
        <w:t>. Health Profession Press.</w:t>
      </w:r>
      <w:bookmarkEnd w:id="1"/>
    </w:p>
    <w:sectPr w:rsidR="00134C35" w:rsidRPr="0071638A" w:rsidSect="0030447C">
      <w:headerReference w:type="default" r:id="rId26"/>
      <w:footerReference w:type="default" r:id="rId27"/>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AA07D" w14:textId="77777777" w:rsidR="004B7EC5" w:rsidRDefault="004B7EC5">
      <w:pPr>
        <w:spacing w:line="240" w:lineRule="auto"/>
      </w:pPr>
      <w:r>
        <w:separator/>
      </w:r>
    </w:p>
  </w:endnote>
  <w:endnote w:type="continuationSeparator" w:id="0">
    <w:p w14:paraId="1209FFB6" w14:textId="77777777" w:rsidR="004B7EC5" w:rsidRDefault="004B7EC5">
      <w:pPr>
        <w:spacing w:line="240" w:lineRule="auto"/>
      </w:pPr>
      <w:r>
        <w:continuationSeparator/>
      </w:r>
    </w:p>
  </w:endnote>
  <w:endnote w:type="continuationNotice" w:id="1">
    <w:p w14:paraId="3716BE39" w14:textId="77777777" w:rsidR="004B7EC5" w:rsidRDefault="004B7E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C2034632-8492-40E7-B77B-FB757552434E}"/>
    <w:embedBold r:id="rId2" w:fontKey="{3A009CD8-C7F2-4593-BAAC-9FEC1605C1CD}"/>
    <w:embedItalic r:id="rId3" w:fontKey="{CEED4AF4-54AB-4F4A-81BE-B5CAAB96DA06}"/>
    <w:embedBoldItalic r:id="rId4" w:fontKey="{AAC49E23-835E-4A04-9D8E-B3DE4963A0F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546636"/>
      <w:docPartObj>
        <w:docPartGallery w:val="Page Numbers (Bottom of Page)"/>
        <w:docPartUnique/>
      </w:docPartObj>
    </w:sdtPr>
    <w:sdtEndPr>
      <w:rPr>
        <w:rFonts w:asciiTheme="minorHAnsi" w:hAnsiTheme="minorHAnsi" w:cstheme="minorHAnsi"/>
      </w:rPr>
    </w:sdtEndPr>
    <w:sdtContent>
      <w:p w14:paraId="320171F5" w14:textId="4A07F418" w:rsidR="00134C35" w:rsidRPr="00822346" w:rsidRDefault="00134C35" w:rsidP="00822346">
        <w:pPr>
          <w:pStyle w:val="Fuzeile"/>
          <w:jc w:val="right"/>
          <w:rPr>
            <w:rFonts w:asciiTheme="minorHAnsi" w:hAnsiTheme="minorHAnsi" w:cstheme="minorHAnsi"/>
          </w:rPr>
        </w:pPr>
        <w:r w:rsidRPr="00B8272C">
          <w:rPr>
            <w:rFonts w:asciiTheme="minorHAnsi" w:hAnsiTheme="minorHAnsi" w:cstheme="minorHAnsi"/>
          </w:rPr>
          <w:fldChar w:fldCharType="begin"/>
        </w:r>
        <w:r w:rsidRPr="00B8272C">
          <w:rPr>
            <w:rFonts w:asciiTheme="minorHAnsi" w:hAnsiTheme="minorHAnsi" w:cstheme="minorHAnsi"/>
          </w:rPr>
          <w:instrText>PAGE   \* MERGEFORMAT</w:instrText>
        </w:r>
        <w:r w:rsidRPr="00B8272C">
          <w:rPr>
            <w:rFonts w:asciiTheme="minorHAnsi" w:hAnsiTheme="minorHAnsi" w:cstheme="minorHAnsi"/>
          </w:rPr>
          <w:fldChar w:fldCharType="separate"/>
        </w:r>
        <w:r w:rsidRPr="00E91BE3">
          <w:rPr>
            <w:rFonts w:asciiTheme="minorHAnsi" w:hAnsiTheme="minorHAnsi" w:cstheme="minorHAnsi"/>
            <w:noProof/>
            <w:lang w:val="de-DE"/>
          </w:rPr>
          <w:t>6</w:t>
        </w:r>
        <w:r w:rsidRPr="00B8272C">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65B"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0CFDCFDE" wp14:editId="001C34DE">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05E4" w14:textId="77777777" w:rsidR="004B7EC5" w:rsidRPr="00777A2F" w:rsidRDefault="004B7EC5"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7A6B8D3F" w14:textId="77777777" w:rsidR="004B7EC5" w:rsidRDefault="004B7EC5">
      <w:r>
        <w:continuationSeparator/>
      </w:r>
    </w:p>
  </w:footnote>
  <w:footnote w:type="continuationNotice" w:id="1">
    <w:p w14:paraId="7CE7645C" w14:textId="77777777" w:rsidR="004B7EC5" w:rsidRDefault="004B7EC5">
      <w:pPr>
        <w:spacing w:line="240" w:lineRule="auto"/>
      </w:pPr>
    </w:p>
  </w:footnote>
  <w:footnote w:id="2">
    <w:p w14:paraId="1707A415" w14:textId="77777777" w:rsidR="00134C35" w:rsidRPr="00064718" w:rsidRDefault="00134C35" w:rsidP="00134C35">
      <w:pPr>
        <w:pStyle w:val="Funotentext"/>
        <w:rPr>
          <w:szCs w:val="18"/>
        </w:rPr>
      </w:pPr>
      <w:r w:rsidRPr="00064718">
        <w:rPr>
          <w:rStyle w:val="Funotenzeichen"/>
          <w:sz w:val="18"/>
          <w:szCs w:val="18"/>
        </w:rPr>
        <w:footnoteRef/>
      </w:r>
      <w:r w:rsidRPr="00064718">
        <w:rPr>
          <w:szCs w:val="18"/>
        </w:rPr>
        <w:t xml:space="preserve"> </w:t>
      </w:r>
      <w:hyperlink r:id="rId1" w:history="1">
        <w:r w:rsidRPr="00064718">
          <w:rPr>
            <w:rStyle w:val="Hyperlink"/>
            <w:sz w:val="18"/>
            <w:szCs w:val="18"/>
          </w:rPr>
          <w:t>www.heve.ch</w:t>
        </w:r>
      </w:hyperlink>
    </w:p>
  </w:footnote>
  <w:footnote w:id="3">
    <w:p w14:paraId="1B2E8396" w14:textId="77777777" w:rsidR="00134C35" w:rsidRPr="00064718" w:rsidRDefault="00134C35" w:rsidP="00134C35">
      <w:pPr>
        <w:pStyle w:val="Funotentext"/>
        <w:rPr>
          <w:szCs w:val="18"/>
        </w:rPr>
      </w:pPr>
      <w:r w:rsidRPr="00064718">
        <w:rPr>
          <w:rStyle w:val="Funotenzeichen"/>
          <w:sz w:val="18"/>
          <w:szCs w:val="18"/>
        </w:rPr>
        <w:footnoteRef/>
      </w:r>
      <w:r w:rsidRPr="00064718">
        <w:rPr>
          <w:szCs w:val="18"/>
        </w:rPr>
        <w:t xml:space="preserve"> zur Erhebung der Prävalenz: </w:t>
      </w:r>
      <w:hyperlink r:id="rId2" w:history="1">
        <w:r w:rsidRPr="00064718">
          <w:rPr>
            <w:rStyle w:val="Hyperlink"/>
            <w:sz w:val="18"/>
            <w:szCs w:val="18"/>
          </w:rPr>
          <w:t>www.fhnw.ch/plattformen/heve/ergebnisse</w:t>
        </w:r>
      </w:hyperlink>
      <w:r w:rsidRPr="00064718">
        <w:rPr>
          <w:szCs w:val="18"/>
        </w:rPr>
        <w:t xml:space="preserve"> (Ergebnisse Phase 1)</w:t>
      </w:r>
    </w:p>
  </w:footnote>
  <w:footnote w:id="4">
    <w:p w14:paraId="627ACFAE" w14:textId="04CE18B1" w:rsidR="00134C35" w:rsidRPr="00BA4779" w:rsidRDefault="00134C35" w:rsidP="00134C35">
      <w:pPr>
        <w:pStyle w:val="Funotentext"/>
        <w:rPr>
          <w:szCs w:val="18"/>
        </w:rPr>
      </w:pPr>
      <w:r w:rsidRPr="00BA4779">
        <w:rPr>
          <w:rStyle w:val="Funotenzeichen"/>
          <w:sz w:val="18"/>
          <w:szCs w:val="18"/>
        </w:rPr>
        <w:footnoteRef/>
      </w:r>
      <w:r w:rsidRPr="00BA4779">
        <w:rPr>
          <w:szCs w:val="18"/>
        </w:rPr>
        <w:t xml:space="preserve"> </w:t>
      </w:r>
      <w:hyperlink r:id="rId3" w:history="1">
        <w:r w:rsidRPr="00BA4779">
          <w:rPr>
            <w:rStyle w:val="Hyperlink"/>
            <w:sz w:val="18"/>
            <w:szCs w:val="18"/>
          </w:rPr>
          <w:t>www.fhnw.ch/plattformen/heve/wp-content/uploads/sites/164/2023/02/Leitlinien_HEVE_FHNW_HSLU_2023_02_20.pdf</w:t>
        </w:r>
      </w:hyperlink>
      <w:r w:rsidRPr="00BA4779">
        <w:rPr>
          <w:szCs w:val="18"/>
        </w:rPr>
        <w:t xml:space="preserve"> [Zugriff</w:t>
      </w:r>
      <w:r w:rsidR="00576115" w:rsidRPr="00BA4779">
        <w:rPr>
          <w:szCs w:val="18"/>
        </w:rPr>
        <w:t>:</w:t>
      </w:r>
      <w:r w:rsidRPr="00BA4779">
        <w:rPr>
          <w:szCs w:val="18"/>
        </w:rPr>
        <w:t xml:space="preserve"> 23.10.2023]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B0D7" w14:textId="77777777" w:rsidR="004A560F" w:rsidRPr="004A560F" w:rsidRDefault="004A560F" w:rsidP="004A560F">
    <w:pPr>
      <w:tabs>
        <w:tab w:val="center" w:pos="4536"/>
        <w:tab w:val="right" w:pos="9072"/>
      </w:tabs>
      <w:spacing w:line="240" w:lineRule="auto"/>
      <w:jc w:val="both"/>
      <w:rPr>
        <w:b/>
        <w:noProof/>
        <w:spacing w:val="0"/>
        <w:sz w:val="14"/>
        <w:szCs w:val="22"/>
      </w:rPr>
    </w:pPr>
    <w:r w:rsidRPr="004A560F">
      <w:rPr>
        <w:b/>
        <w:noProof/>
        <w:spacing w:val="0"/>
        <w:sz w:val="14"/>
        <w:szCs w:val="22"/>
        <w:lang w:val="de-DE"/>
      </w:rPr>
      <mc:AlternateContent>
        <mc:Choice Requires="wps">
          <w:drawing>
            <wp:anchor distT="0" distB="0" distL="114299" distR="114299" simplePos="0" relativeHeight="251658242" behindDoc="0" locked="0" layoutInCell="1" allowOverlap="1" wp14:anchorId="6940A65F" wp14:editId="703B749C">
              <wp:simplePos x="0" y="0"/>
              <wp:positionH relativeFrom="column">
                <wp:posOffset>-371476</wp:posOffset>
              </wp:positionH>
              <wp:positionV relativeFrom="paragraph">
                <wp:posOffset>-448310</wp:posOffset>
              </wp:positionV>
              <wp:extent cx="0" cy="12460605"/>
              <wp:effectExtent l="0" t="0" r="38100" b="36195"/>
              <wp:wrapNone/>
              <wp:docPr id="494941199" name="Connecteur droit 494941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noFill/>
                      <a:ln w="9525" cap="flat" cmpd="sng" algn="ctr">
                        <a:solidFill>
                          <a:srgbClr val="D31932"/>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FF3316" id="Connecteur droit 3" o:spid="_x0000_s1026" alt="&quot;&quot;" style="position:absolute;flip:x;z-index:2516602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" strokecolor="#d31932">
              <o:lock v:ext="edit" shapetype="f"/>
            </v:line>
          </w:pict>
        </mc:Fallback>
      </mc:AlternateContent>
    </w:r>
    <w:r w:rsidRPr="004A560F">
      <w:rPr>
        <w:b/>
        <w:noProof/>
        <w:spacing w:val="0"/>
        <w:sz w:val="14"/>
        <w:szCs w:val="22"/>
      </w:rPr>
      <w:t>EMOTIONEN UND EMOTIONSREGULATION</w:t>
    </w:r>
    <w:r w:rsidRPr="004A560F">
      <w:rPr>
        <w:b/>
        <w:noProof/>
        <w:spacing w:val="0"/>
        <w:sz w:val="14"/>
        <w:szCs w:val="22"/>
      </w:rPr>
      <w:tab/>
    </w:r>
    <w:r w:rsidRPr="004A560F">
      <w:rPr>
        <w:b/>
        <w:noProof/>
        <w:spacing w:val="0"/>
        <w:sz w:val="14"/>
        <w:szCs w:val="22"/>
      </w:rPr>
      <w:tab/>
    </w:r>
    <w:r w:rsidRPr="004A560F">
      <w:rPr>
        <w:bCs/>
        <w:noProof/>
        <w:spacing w:val="0"/>
        <w:sz w:val="14"/>
        <w:szCs w:val="22"/>
      </w:rPr>
      <w:t>Schweizerische Zeitschrift für Heilpädagogik, Jg. 29, 09/2023</w:t>
    </w:r>
  </w:p>
  <w:p w14:paraId="3214F67B" w14:textId="77777777" w:rsidR="004A560F" w:rsidRPr="004A560F" w:rsidRDefault="004A560F" w:rsidP="004A560F">
    <w:pPr>
      <w:tabs>
        <w:tab w:val="center" w:pos="4536"/>
        <w:tab w:val="right" w:pos="9072"/>
      </w:tabs>
      <w:spacing w:line="240" w:lineRule="auto"/>
      <w:jc w:val="both"/>
      <w:rPr>
        <w:bCs/>
        <w:noProof/>
        <w:spacing w:val="0"/>
        <w:sz w:val="14"/>
        <w:szCs w:val="22"/>
      </w:rPr>
    </w:pPr>
    <w:r w:rsidRPr="004A560F">
      <w:rPr>
        <w:bCs/>
        <w:noProof/>
        <w:spacing w:val="0"/>
        <w:sz w:val="14"/>
        <w:szCs w:val="22"/>
      </w:rPr>
      <w:t>| ARTIKEL</w:t>
    </w:r>
    <w:r w:rsidRPr="004A560F">
      <w:rPr>
        <w:bCs/>
        <w:noProof/>
        <w:spacing w:val="0"/>
        <w:sz w:val="14"/>
        <w:szCs w:val="22"/>
      </w:rPr>
      <w:tab/>
    </w:r>
    <w:r w:rsidRPr="004A560F">
      <w:rPr>
        <w:bCs/>
        <w:noProof/>
        <w:spacing w:val="0"/>
        <w:sz w:val="14"/>
        <w:szCs w:val="22"/>
      </w:rPr>
      <w:tab/>
    </w:r>
  </w:p>
  <w:p w14:paraId="0424AC73" w14:textId="77777777" w:rsidR="004A560F" w:rsidRPr="004A560F" w:rsidRDefault="004A560F" w:rsidP="004A56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8D4" w14:textId="5B8A00E3" w:rsidR="007B448B" w:rsidRPr="0089274E"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2364D4C0" wp14:editId="6E429FEA">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4F69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89274E">
      <w:rPr>
        <w:lang w:val="de-CH"/>
      </w:rPr>
      <w:t>EMOTIONEN UND EMOTIONSREGULATION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Jg. </w:t>
    </w:r>
    <w:r w:rsidR="0089274E">
      <w:rPr>
        <w:b w:val="0"/>
        <w:bCs/>
        <w:lang w:val="de-CH"/>
      </w:rPr>
      <w:t>29</w:t>
    </w:r>
    <w:r w:rsidR="00237079" w:rsidRPr="00237079">
      <w:rPr>
        <w:b w:val="0"/>
        <w:bCs/>
        <w:lang w:val="de-CH"/>
      </w:rPr>
      <w:t xml:space="preserve">, </w:t>
    </w:r>
    <w:r w:rsidR="0089274E">
      <w:rPr>
        <w:b w:val="0"/>
        <w:bCs/>
        <w:lang w:val="de-CH"/>
      </w:rPr>
      <w:t>09</w:t>
    </w:r>
    <w:r w:rsidR="00237079" w:rsidRPr="00237079">
      <w:rPr>
        <w:b w:val="0"/>
        <w:bCs/>
        <w:lang w:val="de-CH"/>
      </w:rPr>
      <w:t>/</w:t>
    </w:r>
    <w:r w:rsidR="0089274E">
      <w:rPr>
        <w:b w:val="0"/>
        <w:bCs/>
        <w:lang w:val="de-CH"/>
      </w:rPr>
      <w:t>2023</w:t>
    </w:r>
  </w:p>
  <w:p w14:paraId="2E2D9EAF" w14:textId="6DA30ABB"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272D681B"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8C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208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6AD0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F0AD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4A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3250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7466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2E001FB4"/>
    <w:lvl w:ilvl="0">
      <w:start w:val="1"/>
      <w:numFmt w:val="decimal"/>
      <w:pStyle w:val="Listennummer"/>
      <w:lvlText w:val="%1."/>
      <w:lvlJc w:val="left"/>
      <w:pPr>
        <w:ind w:left="360" w:hanging="360"/>
      </w:pPr>
      <w:rPr>
        <w:i w:val="0"/>
        <w:iCs w:val="0"/>
      </w:r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14023679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741316">
    <w:abstractNumId w:val="26"/>
  </w:num>
  <w:num w:numId="44" w16cid:durableId="1136434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5169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70931021">
    <w:abstractNumId w:val="1"/>
  </w:num>
  <w:num w:numId="47" w16cid:durableId="1153988589">
    <w:abstractNumId w:val="0"/>
  </w:num>
  <w:num w:numId="48" w16cid:durableId="1181818474">
    <w:abstractNumId w:val="1"/>
  </w:num>
  <w:num w:numId="49" w16cid:durableId="929121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38"/>
    <w:rsid w:val="00016BFF"/>
    <w:rsid w:val="00024143"/>
    <w:rsid w:val="000302CB"/>
    <w:rsid w:val="0003314D"/>
    <w:rsid w:val="000352CE"/>
    <w:rsid w:val="00036AFC"/>
    <w:rsid w:val="000375AD"/>
    <w:rsid w:val="0004237F"/>
    <w:rsid w:val="0004613C"/>
    <w:rsid w:val="00053353"/>
    <w:rsid w:val="00064718"/>
    <w:rsid w:val="000759D7"/>
    <w:rsid w:val="000878D8"/>
    <w:rsid w:val="000A2BC9"/>
    <w:rsid w:val="000B5BB8"/>
    <w:rsid w:val="000C696A"/>
    <w:rsid w:val="000D3765"/>
    <w:rsid w:val="000D3C1B"/>
    <w:rsid w:val="000E6A66"/>
    <w:rsid w:val="000E732C"/>
    <w:rsid w:val="000F0956"/>
    <w:rsid w:val="000F4B54"/>
    <w:rsid w:val="000F5288"/>
    <w:rsid w:val="0010334E"/>
    <w:rsid w:val="00107329"/>
    <w:rsid w:val="00110D28"/>
    <w:rsid w:val="001114E2"/>
    <w:rsid w:val="001150A5"/>
    <w:rsid w:val="00115EF5"/>
    <w:rsid w:val="001161D6"/>
    <w:rsid w:val="00117142"/>
    <w:rsid w:val="00120CBF"/>
    <w:rsid w:val="00127264"/>
    <w:rsid w:val="0012743D"/>
    <w:rsid w:val="00134C35"/>
    <w:rsid w:val="0013703F"/>
    <w:rsid w:val="00151BCA"/>
    <w:rsid w:val="00153133"/>
    <w:rsid w:val="00157D7E"/>
    <w:rsid w:val="0016735B"/>
    <w:rsid w:val="00167858"/>
    <w:rsid w:val="00177C4A"/>
    <w:rsid w:val="001A2EEC"/>
    <w:rsid w:val="001A38E6"/>
    <w:rsid w:val="001B05BD"/>
    <w:rsid w:val="001B16E8"/>
    <w:rsid w:val="001B25F3"/>
    <w:rsid w:val="001B7781"/>
    <w:rsid w:val="001C5069"/>
    <w:rsid w:val="001D3BFB"/>
    <w:rsid w:val="001D47E1"/>
    <w:rsid w:val="001E2C34"/>
    <w:rsid w:val="001E3BE9"/>
    <w:rsid w:val="001E6077"/>
    <w:rsid w:val="001F2A01"/>
    <w:rsid w:val="00200006"/>
    <w:rsid w:val="00202A19"/>
    <w:rsid w:val="0020358C"/>
    <w:rsid w:val="0020467E"/>
    <w:rsid w:val="00217AAE"/>
    <w:rsid w:val="002271DF"/>
    <w:rsid w:val="00235A6C"/>
    <w:rsid w:val="00237079"/>
    <w:rsid w:val="00241303"/>
    <w:rsid w:val="002443A6"/>
    <w:rsid w:val="00265BDC"/>
    <w:rsid w:val="00272BE0"/>
    <w:rsid w:val="00276B2C"/>
    <w:rsid w:val="002837C6"/>
    <w:rsid w:val="00284EA0"/>
    <w:rsid w:val="002862AA"/>
    <w:rsid w:val="002911DF"/>
    <w:rsid w:val="002B28D4"/>
    <w:rsid w:val="002C5235"/>
    <w:rsid w:val="002C6895"/>
    <w:rsid w:val="002D39A1"/>
    <w:rsid w:val="002E13B6"/>
    <w:rsid w:val="002E3785"/>
    <w:rsid w:val="002E5374"/>
    <w:rsid w:val="0030447C"/>
    <w:rsid w:val="00307EC7"/>
    <w:rsid w:val="00312432"/>
    <w:rsid w:val="00314ACC"/>
    <w:rsid w:val="00322024"/>
    <w:rsid w:val="003222A6"/>
    <w:rsid w:val="00334A1F"/>
    <w:rsid w:val="003442D7"/>
    <w:rsid w:val="00354FDD"/>
    <w:rsid w:val="00360D6A"/>
    <w:rsid w:val="0036569A"/>
    <w:rsid w:val="00365730"/>
    <w:rsid w:val="0037426B"/>
    <w:rsid w:val="003819B7"/>
    <w:rsid w:val="00382314"/>
    <w:rsid w:val="00383074"/>
    <w:rsid w:val="00384FCF"/>
    <w:rsid w:val="00386CFF"/>
    <w:rsid w:val="0039426A"/>
    <w:rsid w:val="003A0EA7"/>
    <w:rsid w:val="003A2717"/>
    <w:rsid w:val="003A39F6"/>
    <w:rsid w:val="003B4C81"/>
    <w:rsid w:val="003B5D0D"/>
    <w:rsid w:val="003C7917"/>
    <w:rsid w:val="003D221C"/>
    <w:rsid w:val="003D502F"/>
    <w:rsid w:val="003D7644"/>
    <w:rsid w:val="003E022D"/>
    <w:rsid w:val="003E0578"/>
    <w:rsid w:val="003E7459"/>
    <w:rsid w:val="003F377D"/>
    <w:rsid w:val="003F55DF"/>
    <w:rsid w:val="003F6A6B"/>
    <w:rsid w:val="003F78C2"/>
    <w:rsid w:val="0040230D"/>
    <w:rsid w:val="004027D5"/>
    <w:rsid w:val="00404F18"/>
    <w:rsid w:val="004108D3"/>
    <w:rsid w:val="00413702"/>
    <w:rsid w:val="00414332"/>
    <w:rsid w:val="00421D05"/>
    <w:rsid w:val="00426606"/>
    <w:rsid w:val="00432F97"/>
    <w:rsid w:val="00441F45"/>
    <w:rsid w:val="004421C7"/>
    <w:rsid w:val="0045144F"/>
    <w:rsid w:val="00454BCF"/>
    <w:rsid w:val="004609F9"/>
    <w:rsid w:val="00467E46"/>
    <w:rsid w:val="0047168D"/>
    <w:rsid w:val="004815EE"/>
    <w:rsid w:val="0048315C"/>
    <w:rsid w:val="00486270"/>
    <w:rsid w:val="004927CF"/>
    <w:rsid w:val="004A2854"/>
    <w:rsid w:val="004A560F"/>
    <w:rsid w:val="004B1834"/>
    <w:rsid w:val="004B29F8"/>
    <w:rsid w:val="004B3001"/>
    <w:rsid w:val="004B3A29"/>
    <w:rsid w:val="004B47AB"/>
    <w:rsid w:val="004B7EC5"/>
    <w:rsid w:val="004C13EB"/>
    <w:rsid w:val="004C2C04"/>
    <w:rsid w:val="004C4A76"/>
    <w:rsid w:val="004D542D"/>
    <w:rsid w:val="004D58AC"/>
    <w:rsid w:val="004E232F"/>
    <w:rsid w:val="004F5C23"/>
    <w:rsid w:val="00503D63"/>
    <w:rsid w:val="005055D5"/>
    <w:rsid w:val="00521559"/>
    <w:rsid w:val="00530E98"/>
    <w:rsid w:val="00531F94"/>
    <w:rsid w:val="00533DA1"/>
    <w:rsid w:val="0054090D"/>
    <w:rsid w:val="00546490"/>
    <w:rsid w:val="0055381B"/>
    <w:rsid w:val="00562898"/>
    <w:rsid w:val="0056578A"/>
    <w:rsid w:val="0056595B"/>
    <w:rsid w:val="00571774"/>
    <w:rsid w:val="00571C0D"/>
    <w:rsid w:val="00572C4C"/>
    <w:rsid w:val="0057605E"/>
    <w:rsid w:val="00576115"/>
    <w:rsid w:val="005763F3"/>
    <w:rsid w:val="00576E09"/>
    <w:rsid w:val="00577261"/>
    <w:rsid w:val="00581DB2"/>
    <w:rsid w:val="00583538"/>
    <w:rsid w:val="00585ED0"/>
    <w:rsid w:val="00587EF6"/>
    <w:rsid w:val="00592B57"/>
    <w:rsid w:val="00594747"/>
    <w:rsid w:val="00594844"/>
    <w:rsid w:val="005A12DC"/>
    <w:rsid w:val="005A1C89"/>
    <w:rsid w:val="005A646E"/>
    <w:rsid w:val="005A6F41"/>
    <w:rsid w:val="005A7AE7"/>
    <w:rsid w:val="005C35DA"/>
    <w:rsid w:val="005C6DD2"/>
    <w:rsid w:val="005D15B8"/>
    <w:rsid w:val="005D618E"/>
    <w:rsid w:val="005E150A"/>
    <w:rsid w:val="005E28CB"/>
    <w:rsid w:val="005E7DD5"/>
    <w:rsid w:val="006111D5"/>
    <w:rsid w:val="006111F5"/>
    <w:rsid w:val="006228F7"/>
    <w:rsid w:val="00623E11"/>
    <w:rsid w:val="00627491"/>
    <w:rsid w:val="00630CBB"/>
    <w:rsid w:val="006411DE"/>
    <w:rsid w:val="006448C5"/>
    <w:rsid w:val="006457B7"/>
    <w:rsid w:val="006555BD"/>
    <w:rsid w:val="006676E2"/>
    <w:rsid w:val="006720E3"/>
    <w:rsid w:val="00675AE1"/>
    <w:rsid w:val="00682B8C"/>
    <w:rsid w:val="00683ED1"/>
    <w:rsid w:val="00685EB4"/>
    <w:rsid w:val="00696681"/>
    <w:rsid w:val="006A4C05"/>
    <w:rsid w:val="006A7CE6"/>
    <w:rsid w:val="006B5540"/>
    <w:rsid w:val="006C2B84"/>
    <w:rsid w:val="006C3DFC"/>
    <w:rsid w:val="006D5D28"/>
    <w:rsid w:val="006E210A"/>
    <w:rsid w:val="006E260B"/>
    <w:rsid w:val="006E63CF"/>
    <w:rsid w:val="006F7EA9"/>
    <w:rsid w:val="00701AAA"/>
    <w:rsid w:val="00702BE5"/>
    <w:rsid w:val="00707890"/>
    <w:rsid w:val="00710490"/>
    <w:rsid w:val="007155B8"/>
    <w:rsid w:val="0071638A"/>
    <w:rsid w:val="007373E7"/>
    <w:rsid w:val="007424F5"/>
    <w:rsid w:val="0074442C"/>
    <w:rsid w:val="007545FE"/>
    <w:rsid w:val="00764FC4"/>
    <w:rsid w:val="00775449"/>
    <w:rsid w:val="00777A2F"/>
    <w:rsid w:val="00781DE1"/>
    <w:rsid w:val="00783350"/>
    <w:rsid w:val="00787B6E"/>
    <w:rsid w:val="00790847"/>
    <w:rsid w:val="007A3489"/>
    <w:rsid w:val="007A75E1"/>
    <w:rsid w:val="007B448B"/>
    <w:rsid w:val="007B4F54"/>
    <w:rsid w:val="007B5701"/>
    <w:rsid w:val="007B5D9A"/>
    <w:rsid w:val="007B62B5"/>
    <w:rsid w:val="007C5AB3"/>
    <w:rsid w:val="007D4DC2"/>
    <w:rsid w:val="007E0846"/>
    <w:rsid w:val="007E3CCB"/>
    <w:rsid w:val="007E78D0"/>
    <w:rsid w:val="007F2E7B"/>
    <w:rsid w:val="007F43B0"/>
    <w:rsid w:val="007F5E1D"/>
    <w:rsid w:val="0080610A"/>
    <w:rsid w:val="008152E5"/>
    <w:rsid w:val="00822346"/>
    <w:rsid w:val="00830A17"/>
    <w:rsid w:val="008351F7"/>
    <w:rsid w:val="0084474A"/>
    <w:rsid w:val="00853805"/>
    <w:rsid w:val="00855097"/>
    <w:rsid w:val="00856BD6"/>
    <w:rsid w:val="0086305F"/>
    <w:rsid w:val="00870508"/>
    <w:rsid w:val="00877A37"/>
    <w:rsid w:val="00881900"/>
    <w:rsid w:val="00882B9B"/>
    <w:rsid w:val="008854C8"/>
    <w:rsid w:val="00891E7D"/>
    <w:rsid w:val="008924D4"/>
    <w:rsid w:val="0089274E"/>
    <w:rsid w:val="008A2229"/>
    <w:rsid w:val="008C6EDB"/>
    <w:rsid w:val="008D07E2"/>
    <w:rsid w:val="008D1807"/>
    <w:rsid w:val="008F2E4E"/>
    <w:rsid w:val="00901EEC"/>
    <w:rsid w:val="00912E02"/>
    <w:rsid w:val="00920846"/>
    <w:rsid w:val="00920A21"/>
    <w:rsid w:val="00941E0E"/>
    <w:rsid w:val="00943B46"/>
    <w:rsid w:val="009469D9"/>
    <w:rsid w:val="009552F9"/>
    <w:rsid w:val="009660DC"/>
    <w:rsid w:val="00967D5F"/>
    <w:rsid w:val="00985126"/>
    <w:rsid w:val="009A2598"/>
    <w:rsid w:val="009A57A5"/>
    <w:rsid w:val="009A73FC"/>
    <w:rsid w:val="009A7FF6"/>
    <w:rsid w:val="009B5334"/>
    <w:rsid w:val="009C613E"/>
    <w:rsid w:val="009C6886"/>
    <w:rsid w:val="009D1A1B"/>
    <w:rsid w:val="009D4CCF"/>
    <w:rsid w:val="009D6A32"/>
    <w:rsid w:val="009E3340"/>
    <w:rsid w:val="009E5005"/>
    <w:rsid w:val="009F4CD6"/>
    <w:rsid w:val="009F6A07"/>
    <w:rsid w:val="00A10362"/>
    <w:rsid w:val="00A11404"/>
    <w:rsid w:val="00A30B3B"/>
    <w:rsid w:val="00A37E53"/>
    <w:rsid w:val="00A468B5"/>
    <w:rsid w:val="00A50A1E"/>
    <w:rsid w:val="00A543D6"/>
    <w:rsid w:val="00A55E72"/>
    <w:rsid w:val="00A61330"/>
    <w:rsid w:val="00A63188"/>
    <w:rsid w:val="00A6403B"/>
    <w:rsid w:val="00A738BD"/>
    <w:rsid w:val="00A75DC6"/>
    <w:rsid w:val="00A80F1C"/>
    <w:rsid w:val="00AA07E9"/>
    <w:rsid w:val="00AA2139"/>
    <w:rsid w:val="00AA2261"/>
    <w:rsid w:val="00AA2F41"/>
    <w:rsid w:val="00AA514A"/>
    <w:rsid w:val="00AA7D4C"/>
    <w:rsid w:val="00AB4BB5"/>
    <w:rsid w:val="00AB7501"/>
    <w:rsid w:val="00AC20F1"/>
    <w:rsid w:val="00AD7943"/>
    <w:rsid w:val="00AD7C7B"/>
    <w:rsid w:val="00AE583E"/>
    <w:rsid w:val="00AE5B14"/>
    <w:rsid w:val="00AE5D15"/>
    <w:rsid w:val="00AE631D"/>
    <w:rsid w:val="00AF16EB"/>
    <w:rsid w:val="00B0159B"/>
    <w:rsid w:val="00B06279"/>
    <w:rsid w:val="00B12976"/>
    <w:rsid w:val="00B23FEC"/>
    <w:rsid w:val="00B24C90"/>
    <w:rsid w:val="00B44D06"/>
    <w:rsid w:val="00B50E21"/>
    <w:rsid w:val="00B54E5C"/>
    <w:rsid w:val="00B55086"/>
    <w:rsid w:val="00B64EBE"/>
    <w:rsid w:val="00B71621"/>
    <w:rsid w:val="00B7489C"/>
    <w:rsid w:val="00B7596B"/>
    <w:rsid w:val="00BA4779"/>
    <w:rsid w:val="00BA50D5"/>
    <w:rsid w:val="00BA7834"/>
    <w:rsid w:val="00BB3270"/>
    <w:rsid w:val="00BB7EDB"/>
    <w:rsid w:val="00BC32F4"/>
    <w:rsid w:val="00BD4FAD"/>
    <w:rsid w:val="00BD51C2"/>
    <w:rsid w:val="00BD6273"/>
    <w:rsid w:val="00BD74F7"/>
    <w:rsid w:val="00BE1687"/>
    <w:rsid w:val="00BF25EB"/>
    <w:rsid w:val="00C06CA1"/>
    <w:rsid w:val="00C201F8"/>
    <w:rsid w:val="00C24833"/>
    <w:rsid w:val="00C30711"/>
    <w:rsid w:val="00C350DC"/>
    <w:rsid w:val="00C43705"/>
    <w:rsid w:val="00C50710"/>
    <w:rsid w:val="00C63ADB"/>
    <w:rsid w:val="00C678D9"/>
    <w:rsid w:val="00C7447F"/>
    <w:rsid w:val="00C7591D"/>
    <w:rsid w:val="00C76A86"/>
    <w:rsid w:val="00C77A77"/>
    <w:rsid w:val="00C85052"/>
    <w:rsid w:val="00C90953"/>
    <w:rsid w:val="00C95C74"/>
    <w:rsid w:val="00C965E6"/>
    <w:rsid w:val="00CC0788"/>
    <w:rsid w:val="00CC1689"/>
    <w:rsid w:val="00CC65BA"/>
    <w:rsid w:val="00CF4C21"/>
    <w:rsid w:val="00CF788D"/>
    <w:rsid w:val="00D02DE1"/>
    <w:rsid w:val="00D17F8E"/>
    <w:rsid w:val="00D232F1"/>
    <w:rsid w:val="00D30491"/>
    <w:rsid w:val="00D45554"/>
    <w:rsid w:val="00D46C56"/>
    <w:rsid w:val="00D55316"/>
    <w:rsid w:val="00D614DC"/>
    <w:rsid w:val="00D65100"/>
    <w:rsid w:val="00D75B90"/>
    <w:rsid w:val="00D9463F"/>
    <w:rsid w:val="00D969AF"/>
    <w:rsid w:val="00DA3CEB"/>
    <w:rsid w:val="00DB085C"/>
    <w:rsid w:val="00DB1F8B"/>
    <w:rsid w:val="00DB3099"/>
    <w:rsid w:val="00DB5151"/>
    <w:rsid w:val="00DB5625"/>
    <w:rsid w:val="00DC0AB5"/>
    <w:rsid w:val="00DC399A"/>
    <w:rsid w:val="00DD405C"/>
    <w:rsid w:val="00DE6B7F"/>
    <w:rsid w:val="00DF11B1"/>
    <w:rsid w:val="00DF5157"/>
    <w:rsid w:val="00E03695"/>
    <w:rsid w:val="00E17CD9"/>
    <w:rsid w:val="00E23124"/>
    <w:rsid w:val="00E26F3D"/>
    <w:rsid w:val="00E31225"/>
    <w:rsid w:val="00E42E44"/>
    <w:rsid w:val="00E46EDB"/>
    <w:rsid w:val="00E543F6"/>
    <w:rsid w:val="00E54DD0"/>
    <w:rsid w:val="00E57186"/>
    <w:rsid w:val="00E6236B"/>
    <w:rsid w:val="00E7780E"/>
    <w:rsid w:val="00E8625B"/>
    <w:rsid w:val="00E9142E"/>
    <w:rsid w:val="00E96E69"/>
    <w:rsid w:val="00EA4676"/>
    <w:rsid w:val="00EA484D"/>
    <w:rsid w:val="00EB3068"/>
    <w:rsid w:val="00EC0A4F"/>
    <w:rsid w:val="00EC61B0"/>
    <w:rsid w:val="00ED473A"/>
    <w:rsid w:val="00ED5226"/>
    <w:rsid w:val="00EF4C1D"/>
    <w:rsid w:val="00EF7CFB"/>
    <w:rsid w:val="00F04C5A"/>
    <w:rsid w:val="00F229C0"/>
    <w:rsid w:val="00F454AB"/>
    <w:rsid w:val="00F47AD4"/>
    <w:rsid w:val="00F508F0"/>
    <w:rsid w:val="00F63D23"/>
    <w:rsid w:val="00F70D71"/>
    <w:rsid w:val="00F74E4B"/>
    <w:rsid w:val="00F767F6"/>
    <w:rsid w:val="00F76CB2"/>
    <w:rsid w:val="00F83A13"/>
    <w:rsid w:val="00FA0D81"/>
    <w:rsid w:val="00FA164F"/>
    <w:rsid w:val="00FB2600"/>
    <w:rsid w:val="00FB2DAA"/>
    <w:rsid w:val="00FB48D2"/>
    <w:rsid w:val="00FB54BC"/>
    <w:rsid w:val="00FB7742"/>
    <w:rsid w:val="00FC6082"/>
    <w:rsid w:val="00FC7953"/>
    <w:rsid w:val="00FD5708"/>
    <w:rsid w:val="00FE57F9"/>
    <w:rsid w:val="00FE6FDA"/>
    <w:rsid w:val="00FF2E2B"/>
    <w:rsid w:val="071B7702"/>
    <w:rsid w:val="5344DE43"/>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A8F6"/>
  <w15:docId w15:val="{BD3C4293-956A-4F57-9ACD-E3ADAD8E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4A560F"/>
    <w:pPr>
      <w:spacing w:after="0" w:line="276" w:lineRule="auto"/>
    </w:pPr>
    <w:rPr>
      <w:lang w:val="de-CH"/>
    </w:rPr>
  </w:style>
  <w:style w:type="paragraph" w:styleId="berschrift1">
    <w:name w:val="heading 1"/>
    <w:basedOn w:val="Standard"/>
    <w:next w:val="Textkrper"/>
    <w:link w:val="berschrift1Zchn"/>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678D9"/>
    <w:pPr>
      <w:spacing w:before="0" w:after="0"/>
      <w:ind w:firstLine="0"/>
      <w:jc w:val="left"/>
    </w:pPr>
  </w:style>
  <w:style w:type="character" w:customStyle="1" w:styleId="Textkrper3Zchn">
    <w:name w:val="Textkörper 3 Zchn"/>
    <w:basedOn w:val="Absatz-Standardschriftart"/>
    <w:link w:val="Textkrper3"/>
    <w:rsid w:val="00C678D9"/>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nhideWhenUsed/>
    <w:rsid w:val="00D02DE1"/>
    <w:pPr>
      <w:spacing w:line="240" w:lineRule="auto"/>
    </w:pPr>
  </w:style>
  <w:style w:type="character" w:customStyle="1" w:styleId="KommentartextZchn">
    <w:name w:val="Kommentartext Zchn"/>
    <w:basedOn w:val="Absatz-Standardschriftart"/>
    <w:link w:val="Kommentartext"/>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uiPriority w:val="99"/>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413702"/>
    <w:pPr>
      <w:pBdr>
        <w:left w:val="single" w:sz="12" w:space="4" w:color="D31932" w:themeColor="accent1"/>
      </w:pBdr>
      <w:spacing w:before="120"/>
      <w:ind w:left="170" w:firstLine="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paragraph" w:customStyle="1" w:styleId="paragraph">
    <w:name w:val="paragraph"/>
    <w:basedOn w:val="Standard"/>
    <w:link w:val="paragraphZchn"/>
    <w:rsid w:val="0089274E"/>
    <w:pPr>
      <w:spacing w:before="100" w:beforeAutospacing="1" w:after="100" w:afterAutospacing="1" w:line="240" w:lineRule="auto"/>
    </w:pPr>
    <w:rPr>
      <w:rFonts w:ascii="Times New Roman" w:eastAsia="Times New Roman" w:hAnsi="Times New Roman" w:cs="Times New Roman"/>
      <w:spacing w:val="0"/>
      <w:sz w:val="24"/>
      <w:szCs w:val="24"/>
      <w:lang w:eastAsia="de-DE"/>
    </w:rPr>
  </w:style>
  <w:style w:type="character" w:customStyle="1" w:styleId="normaltextrun">
    <w:name w:val="normaltextrun"/>
    <w:basedOn w:val="Absatz-Standardschriftart"/>
    <w:rsid w:val="0089274E"/>
  </w:style>
  <w:style w:type="character" w:customStyle="1" w:styleId="paragraphZchn">
    <w:name w:val="paragraph Zchn"/>
    <w:basedOn w:val="Absatz-Standardschriftart"/>
    <w:link w:val="paragraph"/>
    <w:rsid w:val="0089274E"/>
    <w:rPr>
      <w:rFonts w:ascii="Times New Roman" w:eastAsia="Times New Roman" w:hAnsi="Times New Roman" w:cs="Times New Roman"/>
      <w:spacing w:val="0"/>
      <w:sz w:val="24"/>
      <w:szCs w:val="24"/>
      <w:lang w:val="de-CH" w:eastAsia="de-DE"/>
    </w:rPr>
  </w:style>
  <w:style w:type="character" w:customStyle="1" w:styleId="normaltextrun1">
    <w:name w:val="normaltextrun1"/>
    <w:basedOn w:val="Absatz-Standardschriftart"/>
    <w:rsid w:val="00134C35"/>
  </w:style>
  <w:style w:type="character" w:customStyle="1" w:styleId="EndNoteBibliographyZchn">
    <w:name w:val="EndNote Bibliography Zchn"/>
    <w:basedOn w:val="Absatz-Standardschriftart"/>
    <w:link w:val="EndNoteBibliography"/>
    <w:locked/>
    <w:rsid w:val="00134C35"/>
    <w:rPr>
      <w:rFonts w:cs="Times New Roman"/>
      <w:noProof/>
      <w:sz w:val="26"/>
    </w:rPr>
  </w:style>
  <w:style w:type="paragraph" w:customStyle="1" w:styleId="EndNoteBibliography">
    <w:name w:val="EndNote Bibliography"/>
    <w:basedOn w:val="Standard"/>
    <w:link w:val="EndNoteBibliographyZchn"/>
    <w:rsid w:val="00134C35"/>
    <w:pPr>
      <w:spacing w:line="240" w:lineRule="auto"/>
    </w:pPr>
    <w:rPr>
      <w:rFonts w:cs="Times New Roman"/>
      <w:noProof/>
      <w:sz w:val="26"/>
      <w:lang w:val="en-US"/>
    </w:rPr>
  </w:style>
  <w:style w:type="character" w:customStyle="1" w:styleId="berschrift1Zchn">
    <w:name w:val="Überschrift 1 Zchn"/>
    <w:basedOn w:val="Absatz-Standardschriftart"/>
    <w:link w:val="berschrift1"/>
    <w:uiPriority w:val="1"/>
    <w:rsid w:val="00BE1687"/>
    <w:rPr>
      <w:rFonts w:eastAsiaTheme="majorEastAsia" w:cs="Open Sans SemiCondensed"/>
      <w:b/>
      <w:bCs/>
      <w:color w:val="000000" w:themeColor="text1"/>
      <w:sz w:val="24"/>
      <w:szCs w:val="3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tefania.calabrese@hslu.ch"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www.charta-praevention.ch"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eva.bueschi@fhnw.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9-06" TargetMode="External"/><Relationship Id="rId24" Type="http://schemas.openxmlformats.org/officeDocument/2006/relationships/hyperlink" Target="http://www.fhnw.ch/plattformen/heve/leitlini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bsv.admin.ch/bsv/de/home/publikationen-und-service/forschung/forschungspublikationen.exturl.html?lang=de&amp;lnr=07/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natalie.zambrino@hslu.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ocialnet.de/lexikon/Herausforderndes-Verhalten" TargetMode="External"/><Relationship Id="rId27"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fhnw.ch/plattformen/heve/wp-content/uploads/sites/164/2023/02/Leitlinien_HEVE_FHNW_HSLU_2023_02_20.pdf" TargetMode="External"/><Relationship Id="rId2" Type="http://schemas.openxmlformats.org/officeDocument/2006/relationships/hyperlink" Target="http://www.fhnw.ch/plattformen/heve/ergebnisse" TargetMode="External"/><Relationship Id="rId1" Type="http://schemas.openxmlformats.org/officeDocument/2006/relationships/hyperlink" Target="http://www.hev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SZH%20CSPS\Daten_Allgemein%20-%20General\2_Produkte\50_Open_Access\Layout\Layoutvorlage_DE.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02E8B29F-5E86-47C2-B8BC-3A8689055D39}"/>
</file>

<file path=docProps/app.xml><?xml version="1.0" encoding="utf-8"?>
<Properties xmlns="http://schemas.openxmlformats.org/officeDocument/2006/extended-properties" xmlns:vt="http://schemas.openxmlformats.org/officeDocument/2006/docPropsVTypes">
  <Template>Layoutvorlage_DE</Template>
  <TotalTime>0</TotalTime>
  <Pages>7</Pages>
  <Words>2816</Words>
  <Characters>17742</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Herausfordernde Verhaltensweisen von Erwachsenen mit kognitiven Beeinträchtigungen erfordern Anpassungen_x000d_</vt:lpstr>
    </vt:vector>
  </TitlesOfParts>
  <Company/>
  <LinksUpToDate>false</LinksUpToDate>
  <CharactersWithSpaces>20517</CharactersWithSpaces>
  <SharedDoc>false</SharedDoc>
  <HLinks>
    <vt:vector size="6" baseType="variant">
      <vt:variant>
        <vt:i4>7209066</vt:i4>
      </vt:variant>
      <vt:variant>
        <vt:i4>0</vt:i4>
      </vt:variant>
      <vt:variant>
        <vt:i4>0</vt:i4>
      </vt:variant>
      <vt:variant>
        <vt:i4>5</vt:i4>
      </vt:variant>
      <vt:variant>
        <vt:lpwstr>https://doi.org/10.57161/z20xx-yy-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Herausfordernde Verhaltensweisen von Erwachsenen mit kognitiven Beeinträchtigungen erfordern Anpassungen</dc:title>
  <dc:subject/>
  <dc:creator>Natalie Zambrino;Eva Büschi;Stefania Calabrese</dc:creator>
  <cp:keywords>Verhaltensauffälligkeit, kognitive Beeinträchtigung, Gewalt, Prävention, Erwachsene, Institution/troubles du comportement, déficience intellectuelle, violence, prévention, adulte, institution</cp:keywords>
  <cp:lastModifiedBy>Noëlle Fetzer</cp:lastModifiedBy>
  <cp:revision>60</cp:revision>
  <cp:lastPrinted>2023-12-05T10:48:00Z</cp:lastPrinted>
  <dcterms:created xsi:type="dcterms:W3CDTF">2023-11-08T12:53:00Z</dcterms:created>
  <dcterms:modified xsi:type="dcterms:W3CDTF">2023-12-05T10:48:00Z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