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B2530" w14:textId="59319208" w:rsidR="000F0036" w:rsidRDefault="000F0036" w:rsidP="000F0036">
      <w:pPr>
        <w:pStyle w:val="Titre"/>
        <w:jc w:val="both"/>
      </w:pPr>
      <w:r w:rsidRPr="00B5264B">
        <w:t>Directive de la Commission suisse de maturité sur les mesures de compensation des désavantages au gymnase</w:t>
      </w:r>
    </w:p>
    <w:p w14:paraId="33DF8B82" w14:textId="5BF9E132" w:rsidR="001114E2" w:rsidRPr="00153133" w:rsidRDefault="000F0036" w:rsidP="002E5374">
      <w:pPr>
        <w:pStyle w:val="Sous-titre"/>
        <w:rPr>
          <w:rFonts w:cs="Open Sans SemiCondensed"/>
        </w:rPr>
      </w:pPr>
      <w:r>
        <w:rPr>
          <w:rFonts w:cs="Open Sans SemiCondensed"/>
        </w:rPr>
        <w:t>U</w:t>
      </w:r>
      <w:r w:rsidRPr="000F0036">
        <w:rPr>
          <w:rFonts w:cs="Open Sans SemiCondensed"/>
        </w:rPr>
        <w:t>ne harmonisation par le bas</w:t>
      </w:r>
      <w:r w:rsidR="004C1661">
        <w:rPr>
          <w:rFonts w:cs="Open Sans SemiCondensed"/>
        </w:rPr>
        <w:t> </w:t>
      </w:r>
      <w:r w:rsidRPr="000F0036">
        <w:rPr>
          <w:rFonts w:cs="Open Sans SemiCondensed"/>
        </w:rPr>
        <w:t>?</w:t>
      </w:r>
    </w:p>
    <w:p w14:paraId="2403213E" w14:textId="7A3C1D69" w:rsidR="000F0036" w:rsidRDefault="000F0036" w:rsidP="000F0036">
      <w:pPr>
        <w:pStyle w:val="Author"/>
        <w:rPr>
          <w:rStyle w:val="lev"/>
          <w:rFonts w:cs="Open Sans SemiCondensed"/>
          <w:b w:val="0"/>
          <w:bCs w:val="0"/>
          <w:lang w:val="de-CH"/>
        </w:rPr>
      </w:pPr>
      <w:r w:rsidRPr="000F0036">
        <w:rPr>
          <w:lang w:val="de-CH"/>
        </w:rPr>
        <w:t>Arun Bolkensteyn</w:t>
      </w:r>
      <w:r w:rsidRPr="000F0036">
        <w:rPr>
          <w:rStyle w:val="lev"/>
          <w:rFonts w:cs="Open Sans SemiCondensed"/>
          <w:b w:val="0"/>
          <w:bCs w:val="0"/>
          <w:lang w:val="de-CH"/>
        </w:rPr>
        <w:t xml:space="preserve"> </w:t>
      </w:r>
    </w:p>
    <w:p w14:paraId="4FA9EA8A" w14:textId="03DF165B" w:rsidR="00480CFD" w:rsidRPr="00D05EC5" w:rsidRDefault="00EA4676" w:rsidP="00C24833">
      <w:pPr>
        <w:pStyle w:val="Corpsdetexte3"/>
        <w:rPr>
          <w:rFonts w:cs="Open Sans SemiCondensed"/>
          <w:bCs/>
          <w:iCs/>
        </w:rPr>
      </w:pPr>
      <w:r w:rsidRPr="00D05EC5">
        <w:rPr>
          <w:rStyle w:val="lev"/>
          <w:rFonts w:cs="Open Sans SemiCondensed"/>
        </w:rPr>
        <w:t>DOI</w:t>
      </w:r>
      <w:r w:rsidRPr="00D05EC5">
        <w:rPr>
          <w:rFonts w:cs="Open Sans SemiCondensed"/>
        </w:rPr>
        <w:t xml:space="preserve">: </w:t>
      </w:r>
      <w:hyperlink r:id="rId11" w:history="1">
        <w:r w:rsidR="00480CFD" w:rsidRPr="00D05EC5">
          <w:rPr>
            <w:rStyle w:val="Lienhypertexte"/>
            <w:rFonts w:cs="Open Sans SemiCondensed"/>
          </w:rPr>
          <w:t>https://doi.org/10.57161/r2025-03-07</w:t>
        </w:r>
      </w:hyperlink>
    </w:p>
    <w:p w14:paraId="444222AF" w14:textId="77777777" w:rsidR="00EA4676" w:rsidRPr="00153133" w:rsidRDefault="00EA4676" w:rsidP="00C24833">
      <w:pPr>
        <w:pStyle w:val="Corpsdetexte3"/>
      </w:pPr>
      <w:r w:rsidRPr="00153133">
        <w:t xml:space="preserve">Revue Suisse de Pédagogie Spécialisée, Vol. </w:t>
      </w:r>
      <w:r w:rsidR="00037AE3">
        <w:t>1</w:t>
      </w:r>
      <w:r w:rsidR="0022028B">
        <w:t>5</w:t>
      </w:r>
      <w:r w:rsidRPr="00153133">
        <w:t xml:space="preserve">, </w:t>
      </w:r>
      <w:r w:rsidR="00037AE3">
        <w:t>0</w:t>
      </w:r>
      <w:r w:rsidR="00D95641">
        <w:t>3</w:t>
      </w:r>
      <w:r w:rsidRPr="00153133">
        <w:t>/</w:t>
      </w:r>
      <w:r w:rsidR="00037AE3">
        <w:t>202</w:t>
      </w:r>
      <w:r w:rsidR="0022028B">
        <w:t>5</w:t>
      </w:r>
    </w:p>
    <w:p w14:paraId="484D80AD" w14:textId="0C37281D" w:rsidR="00CD58B6" w:rsidRDefault="000E6A66" w:rsidP="00CD58B6">
      <w:pPr>
        <w:pStyle w:val="Corpsdetexte3"/>
      </w:pPr>
      <w:r w:rsidRPr="00153133">
        <w:rPr>
          <w:noProof/>
        </w:rPr>
        <w:drawing>
          <wp:inline distT="0" distB="0" distL="0" distR="0" wp14:anchorId="7292C317" wp14:editId="03534DFC">
            <wp:extent cx="1143000" cy="400050"/>
            <wp:effectExtent l="0" t="0" r="0" b="0"/>
            <wp:docPr id="4" name="Graphique 4" descr="Creative Common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que 4" descr="Creative Common BY"/>
                    <pic:cNvPicPr/>
                  </pic:nvPicPr>
                  <pic:blipFill>
                    <a:blip r:embed="rId12">
                      <a:extLst>
                        <a:ext uri="{96DAC541-7B7A-43D3-8B79-37D633B846F1}">
                          <asvg:svgBlip xmlns:asvg="http://schemas.microsoft.com/office/drawing/2016/SVG/main" r:embed="rId13"/>
                        </a:ext>
                      </a:extLst>
                    </a:blip>
                    <a:stretch>
                      <a:fillRect/>
                    </a:stretch>
                  </pic:blipFill>
                  <pic:spPr>
                    <a:xfrm>
                      <a:off x="0" y="0"/>
                      <a:ext cx="1143000" cy="400050"/>
                    </a:xfrm>
                    <a:prstGeom prst="rect">
                      <a:avLst/>
                    </a:prstGeom>
                  </pic:spPr>
                </pic:pic>
              </a:graphicData>
            </a:graphic>
          </wp:inline>
        </w:drawing>
      </w:r>
      <w:bookmarkStart w:id="0" w:name="heading-1"/>
    </w:p>
    <w:bookmarkEnd w:id="0"/>
    <w:p w14:paraId="0925BDF6" w14:textId="4888E199" w:rsidR="00CD58B6" w:rsidRPr="00DB17F7" w:rsidRDefault="00CD58B6" w:rsidP="00480CFD">
      <w:pPr>
        <w:pStyle w:val="Corpsdetexte"/>
        <w:spacing w:before="240"/>
      </w:pPr>
      <w:r w:rsidRPr="00DB17F7">
        <w:t xml:space="preserve">Le 28 juin 2023, le Conseil fédéral a adopté une nouvelle </w:t>
      </w:r>
      <w:r w:rsidR="008B0755">
        <w:t>O</w:t>
      </w:r>
      <w:r w:rsidRPr="00DB17F7">
        <w:t xml:space="preserve">rdonnance sur la </w:t>
      </w:r>
      <w:r w:rsidR="00845B00">
        <w:t>R</w:t>
      </w:r>
      <w:r w:rsidRPr="00DB17F7">
        <w:t xml:space="preserve">econnaissance des certificats de </w:t>
      </w:r>
      <w:r w:rsidR="00845B00">
        <w:t>M</w:t>
      </w:r>
      <w:r w:rsidRPr="00DB17F7">
        <w:t>aturité gymnasiale (</w:t>
      </w:r>
      <w:hyperlink r:id="rId14" w:history="1">
        <w:r w:rsidRPr="00A65094">
          <w:rPr>
            <w:rStyle w:val="Lienhypertexte"/>
          </w:rPr>
          <w:t>ORM</w:t>
        </w:r>
        <w:r w:rsidR="00D50D1E">
          <w:rPr>
            <w:rStyle w:val="Lienhypertexte"/>
          </w:rPr>
          <w:t> ;</w:t>
        </w:r>
        <w:r w:rsidR="001A0E58">
          <w:rPr>
            <w:rStyle w:val="Lienhypertexte"/>
          </w:rPr>
          <w:t> </w:t>
        </w:r>
        <w:r w:rsidRPr="00A65094">
          <w:rPr>
            <w:rStyle w:val="Lienhypertexte"/>
          </w:rPr>
          <w:t>RS 413.11</w:t>
        </w:r>
      </w:hyperlink>
      <w:r w:rsidRPr="00DB17F7">
        <w:t xml:space="preserve">). Le même jour, il a conclu une </w:t>
      </w:r>
      <w:r w:rsidR="008B0755">
        <w:t>C</w:t>
      </w:r>
      <w:r w:rsidRPr="00DB17F7">
        <w:t>onvention administrative avec la Conférence des directrices et directeurs cantonaux de l’instruction publique (CDIP) sur la coopération dans le domaine de la maturité gymnasiale (</w:t>
      </w:r>
      <w:hyperlink r:id="rId15" w:history="1">
        <w:r w:rsidR="005155F5" w:rsidRPr="006E6F96">
          <w:rPr>
            <w:rStyle w:val="Lienhypertexte"/>
          </w:rPr>
          <w:t xml:space="preserve">Convention administrative ; </w:t>
        </w:r>
        <w:hyperlink r:id="rId16" w:history="1">
          <w:r w:rsidR="00740D90" w:rsidRPr="006E6F96">
            <w:rPr>
              <w:rStyle w:val="Lienhypertexte"/>
            </w:rPr>
            <w:t>RS</w:t>
          </w:r>
          <w:r w:rsidRPr="006E6F96">
            <w:rPr>
              <w:rStyle w:val="Lienhypertexte"/>
            </w:rPr>
            <w:t xml:space="preserve"> 413.18</w:t>
          </w:r>
        </w:hyperlink>
      </w:hyperlink>
      <w:r w:rsidR="00612609">
        <w:t> </w:t>
      </w:r>
      <w:r w:rsidRPr="00DB17F7">
        <w:t xml:space="preserve">). Abrogeant des textes de 1995, </w:t>
      </w:r>
      <w:r w:rsidR="00D27E23">
        <w:t>l’O</w:t>
      </w:r>
      <w:r w:rsidRPr="00DB17F7">
        <w:t xml:space="preserve">rdonnance et la </w:t>
      </w:r>
      <w:r w:rsidR="00D27E23">
        <w:t>C</w:t>
      </w:r>
      <w:r w:rsidRPr="00DB17F7">
        <w:t>onvention sont entrées en vigueur le 1</w:t>
      </w:r>
      <w:r w:rsidR="00D27E23" w:rsidRPr="00326A6C">
        <w:rPr>
          <w:vertAlign w:val="superscript"/>
        </w:rPr>
        <w:t>er</w:t>
      </w:r>
      <w:r w:rsidRPr="00DB17F7">
        <w:t xml:space="preserve"> ao</w:t>
      </w:r>
      <w:r w:rsidR="00D27E23">
        <w:t>u</w:t>
      </w:r>
      <w:r w:rsidRPr="00DB17F7">
        <w:t xml:space="preserve">t 2024. La Convention administrative instaure une </w:t>
      </w:r>
      <w:r w:rsidRPr="006D6139">
        <w:rPr>
          <w:i/>
          <w:iCs/>
        </w:rPr>
        <w:t>Commission suisse de maturité</w:t>
      </w:r>
      <w:r w:rsidRPr="00DB17F7">
        <w:t xml:space="preserve"> (CSM), qui est l’instance de reconnaissance commune de la Confédération et des cantons. Si cette instance existait déjà, ses compétences ont été élargies. </w:t>
      </w:r>
      <w:r w:rsidR="00E8432C">
        <w:t>La</w:t>
      </w:r>
      <w:r w:rsidRPr="00DB17F7">
        <w:t xml:space="preserve"> CSM peut désormais « émettre des directives et des recommandations visant à améliorer l’équité, notamment en matière de compensation des désavantages » (</w:t>
      </w:r>
      <w:r w:rsidR="00DC5390" w:rsidRPr="00DB17F7">
        <w:t>Convention administrative</w:t>
      </w:r>
      <w:r w:rsidR="00DC5390">
        <w:t xml:space="preserve">, </w:t>
      </w:r>
      <w:r w:rsidRPr="00DB17F7">
        <w:t>art. 4</w:t>
      </w:r>
      <w:r w:rsidR="00845B00">
        <w:t xml:space="preserve">, </w:t>
      </w:r>
      <w:r w:rsidRPr="00DB17F7">
        <w:t>al. 3</w:t>
      </w:r>
      <w:r w:rsidR="00845B00">
        <w:t xml:space="preserve">, </w:t>
      </w:r>
      <w:r w:rsidRPr="00DB17F7">
        <w:t xml:space="preserve">let. f).   </w:t>
      </w:r>
    </w:p>
    <w:p w14:paraId="35C00941" w14:textId="1497DF7C" w:rsidR="00F85C6D" w:rsidRDefault="00A828E1" w:rsidP="00DB17F7">
      <w:pPr>
        <w:pStyle w:val="Corpsdetexte"/>
      </w:pPr>
      <w:r w:rsidRPr="00037AE3">
        <w:rPr>
          <w:noProof/>
        </w:rPr>
        <mc:AlternateContent>
          <mc:Choice Requires="wps">
            <w:drawing>
              <wp:anchor distT="45720" distB="45720" distL="46990" distR="46990" simplePos="0" relativeHeight="251659264" behindDoc="0" locked="0" layoutInCell="1" allowOverlap="0" wp14:anchorId="2494CEAD" wp14:editId="11E2664D">
                <wp:simplePos x="0" y="0"/>
                <wp:positionH relativeFrom="column">
                  <wp:posOffset>-900430</wp:posOffset>
                </wp:positionH>
                <wp:positionV relativeFrom="paragraph">
                  <wp:posOffset>3432909</wp:posOffset>
                </wp:positionV>
                <wp:extent cx="5772150" cy="720725"/>
                <wp:effectExtent l="0" t="0" r="0" b="3175"/>
                <wp:wrapTopAndBottom/>
                <wp:docPr id="217"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720725"/>
                        </a:xfrm>
                        <a:prstGeom prst="rect">
                          <a:avLst/>
                        </a:prstGeom>
                        <a:noFill/>
                        <a:ln w="9525">
                          <a:noFill/>
                          <a:miter lim="800000"/>
                          <a:headEnd/>
                          <a:tailEnd/>
                        </a:ln>
                      </wps:spPr>
                      <wps:txbx>
                        <w:txbxContent>
                          <w:p w14:paraId="06928D7B" w14:textId="56EA3168" w:rsidR="00AB6A6F" w:rsidRPr="0047168D" w:rsidRDefault="00AE4962" w:rsidP="00F5302E">
                            <w:pPr>
                              <w:pStyle w:val="Hervorhebung1"/>
                              <w:suppressAutoHyphens/>
                              <w:jc w:val="both"/>
                            </w:pPr>
                            <w:r>
                              <w:t>La</w:t>
                            </w:r>
                            <w:r w:rsidRPr="00DB17F7">
                              <w:t xml:space="preserve"> </w:t>
                            </w:r>
                            <w:r w:rsidR="00267741" w:rsidRPr="00B5264B">
                              <w:t>Commission suisse de maturité</w:t>
                            </w:r>
                            <w:r w:rsidRPr="00DB17F7">
                              <w:t xml:space="preserve"> peut désormais « émettre des directives et des recommandations visant à améliorer l’équité, notamment en matière de compensation des désavantages </w:t>
                            </w:r>
                            <w:r w:rsidR="00EA30F9" w:rsidRPr="00DB17F7">
                              <w:t>» (Convention administrative</w:t>
                            </w:r>
                            <w:r w:rsidR="00EA30F9">
                              <w:t xml:space="preserve">, </w:t>
                            </w:r>
                            <w:r w:rsidR="00EA30F9" w:rsidRPr="00DB17F7">
                              <w:t>art. 4</w:t>
                            </w:r>
                            <w:r w:rsidR="00EA30F9">
                              <w:t xml:space="preserve">, </w:t>
                            </w:r>
                            <w:r w:rsidR="00EA30F9" w:rsidRPr="00DB17F7">
                              <w:t>al. 3</w:t>
                            </w:r>
                            <w:r w:rsidR="00EA30F9">
                              <w:t xml:space="preserve">, </w:t>
                            </w:r>
                            <w:r w:rsidR="00EA30F9" w:rsidRPr="00DB17F7">
                              <w:t xml:space="preserve">let. f) </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94CEAD" id="_x0000_t202" coordsize="21600,21600" o:spt="202" path="m,l,21600r21600,l21600,xe">
                <v:stroke joinstyle="miter"/>
                <v:path gradientshapeok="t" o:connecttype="rect"/>
              </v:shapetype>
              <v:shape id="Zone de texte 2" o:spid="_x0000_s1026" type="#_x0000_t202" alt="&quot;&quot;" style="position:absolute;left:0;text-align:left;margin-left:-70.9pt;margin-top:270.3pt;width:454.5pt;height:56.75pt;z-index:251659264;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" o:allowoverlap="f" filled="f" stroked="f">
                <v:textbox inset="29mm,,2.5mm">
                  <w:txbxContent>
                    <w:p w14:paraId="06928D7B" w14:textId="56EA3168" w:rsidR="00AB6A6F" w:rsidRPr="0047168D" w:rsidRDefault="00AE4962" w:rsidP="00F5302E">
                      <w:pPr>
                        <w:pStyle w:val="Hervorhebung1"/>
                        <w:suppressAutoHyphens/>
                        <w:jc w:val="both"/>
                      </w:pPr>
                      <w:r>
                        <w:t>La</w:t>
                      </w:r>
                      <w:r w:rsidRPr="00DB17F7">
                        <w:t xml:space="preserve"> </w:t>
                      </w:r>
                      <w:r w:rsidR="00267741" w:rsidRPr="00B5264B">
                        <w:t>Commission suisse de maturité</w:t>
                      </w:r>
                      <w:r w:rsidRPr="00DB17F7">
                        <w:t xml:space="preserve"> peut désormais « émettre des directives et des recommandations visant à améliorer l’équité, notamment en matière de compensation des désavantages </w:t>
                      </w:r>
                      <w:r w:rsidR="00EA30F9" w:rsidRPr="00DB17F7">
                        <w:t>» (Convention administrative</w:t>
                      </w:r>
                      <w:r w:rsidR="00EA30F9">
                        <w:t xml:space="preserve">, </w:t>
                      </w:r>
                      <w:r w:rsidR="00EA30F9" w:rsidRPr="00DB17F7">
                        <w:t>art. 4</w:t>
                      </w:r>
                      <w:r w:rsidR="00EA30F9">
                        <w:t xml:space="preserve">, </w:t>
                      </w:r>
                      <w:r w:rsidR="00EA30F9" w:rsidRPr="00DB17F7">
                        <w:t>al. 3</w:t>
                      </w:r>
                      <w:r w:rsidR="00EA30F9">
                        <w:t xml:space="preserve">, </w:t>
                      </w:r>
                      <w:r w:rsidR="00EA30F9" w:rsidRPr="00DB17F7">
                        <w:t xml:space="preserve">let. f) </w:t>
                      </w:r>
                    </w:p>
                  </w:txbxContent>
                </v:textbox>
                <w10:wrap type="topAndBottom"/>
              </v:shape>
            </w:pict>
          </mc:Fallback>
        </mc:AlternateContent>
      </w:r>
      <w:r w:rsidR="00CD58B6" w:rsidRPr="00DB17F7">
        <w:t xml:space="preserve">Faisant usage de cette nouvelle prérogative, la CSM a adopté le 20 septembre 2024, à l’unanimité, une </w:t>
      </w:r>
      <w:hyperlink r:id="rId17" w:history="1">
        <w:r w:rsidR="00AF2057">
          <w:rPr>
            <w:rStyle w:val="Lienhypertexte"/>
          </w:rPr>
          <w:t>D</w:t>
        </w:r>
        <w:r w:rsidR="00AF2057" w:rsidRPr="00AF2057">
          <w:rPr>
            <w:rStyle w:val="Lienhypertexte"/>
          </w:rPr>
          <w:t>irective concernant l’harmonisation des mesures de compensation des désavantages dans le domaine de la maturité gymnasiale</w:t>
        </w:r>
      </w:hyperlink>
      <w:r w:rsidR="00CD58B6" w:rsidRPr="00DB17F7">
        <w:t xml:space="preserve">, qui a été communiquée aux offices cantonaux de l’enseignement secondaire II le </w:t>
      </w:r>
      <w:hyperlink r:id="rId18" w:history="1">
        <w:r w:rsidR="00CD58B6" w:rsidRPr="009F7190">
          <w:rPr>
            <w:rStyle w:val="Lienhypertexte"/>
          </w:rPr>
          <w:t>6 novembre 2024</w:t>
        </w:r>
      </w:hyperlink>
      <w:r w:rsidR="00CD58B6" w:rsidRPr="00DB17F7">
        <w:t xml:space="preserve">. Cette </w:t>
      </w:r>
      <w:r w:rsidR="00FA37D1">
        <w:t>d</w:t>
      </w:r>
      <w:r w:rsidR="00CD58B6" w:rsidRPr="00DB17F7">
        <w:t xml:space="preserve">irective remplace une </w:t>
      </w:r>
      <w:hyperlink r:id="rId19" w:history="1">
        <w:r w:rsidR="00CD58B6" w:rsidRPr="009F7190">
          <w:rPr>
            <w:rStyle w:val="Lienhypertexte"/>
          </w:rPr>
          <w:t>recommandation informelle</w:t>
        </w:r>
      </w:hyperlink>
      <w:r w:rsidR="00CD58B6" w:rsidRPr="00DB17F7">
        <w:t>, adoptée en septembre 2022 par la CSM (avant qu’elle n</w:t>
      </w:r>
      <w:r w:rsidR="00D2413C">
        <w:t>e soit</w:t>
      </w:r>
      <w:r w:rsidR="00CD58B6" w:rsidRPr="00DB17F7">
        <w:t xml:space="preserve"> compétente pour émettre des directives </w:t>
      </w:r>
      <w:r w:rsidR="00C37320">
        <w:t>ou</w:t>
      </w:r>
      <w:r w:rsidR="00CD58B6" w:rsidRPr="00DB17F7">
        <w:t xml:space="preserve"> des recommandations</w:t>
      </w:r>
      <w:r w:rsidR="00BB1818">
        <w:t xml:space="preserve"> officielles</w:t>
      </w:r>
      <w:r w:rsidR="00CD58B6" w:rsidRPr="00DB17F7">
        <w:t>). Elle définit la compensation des désavantages comme une « différence de traitement autorisée afin d’éviter une inégalité à l’encontre des personnes en formation qui vivent avec un handicap dûment attesté » (ch. 3.2)</w:t>
      </w:r>
      <w:r w:rsidR="003044F9">
        <w:t xml:space="preserve"> et </w:t>
      </w:r>
      <w:r w:rsidR="00CD58B6" w:rsidRPr="00DB17F7">
        <w:t>fixe les principes relatifs aux mesures de compensation des désavantages (ci-après MCD) et la procédure applicable (ch. 3.3 et 4). En annexe, elle contient entre autres une recommandation relative aux MCD lors des examens finaux (annexe, let. e). L’une des mesures envisageables est l’octroi de temps supplémentaire, tant à l’écrit qu’à l’oral, suivant le diagnostic retenu. En cas d’examen écrit, la directive prévoit « généralement 10</w:t>
      </w:r>
      <w:r w:rsidR="003044F9">
        <w:t> </w:t>
      </w:r>
      <w:r w:rsidR="00CD58B6" w:rsidRPr="00DB17F7">
        <w:t>% à 15</w:t>
      </w:r>
      <w:r w:rsidR="003044F9">
        <w:t> </w:t>
      </w:r>
      <w:r w:rsidR="00CD58B6" w:rsidRPr="00DB17F7">
        <w:t>% de temps supplémentaire », aussi bien en cas de troubles anxieux qu’en cas de dyslexie-dysorthographie.</w:t>
      </w:r>
      <w:r w:rsidR="00472639">
        <w:t xml:space="preserve"> </w:t>
      </w:r>
      <w:r w:rsidR="00F1240C">
        <w:t>Une</w:t>
      </w:r>
      <w:r w:rsidR="00F1240C" w:rsidRPr="00DB17F7">
        <w:t xml:space="preserve"> </w:t>
      </w:r>
      <w:r w:rsidR="00CD58B6" w:rsidRPr="00DB17F7">
        <w:t xml:space="preserve">fourchette </w:t>
      </w:r>
      <w:r w:rsidR="00F1240C">
        <w:t xml:space="preserve">aussi </w:t>
      </w:r>
      <w:r w:rsidR="00CD58B6" w:rsidRPr="00DB17F7">
        <w:t>étroite ne laisse que peu de place à un examen individuel, pourtant exigé par la C</w:t>
      </w:r>
      <w:r w:rsidR="009E1C93">
        <w:t>onvention de l’ONU relative aux droit</w:t>
      </w:r>
      <w:r w:rsidR="00332C27">
        <w:t>s</w:t>
      </w:r>
      <w:r w:rsidR="009E1C93">
        <w:t xml:space="preserve"> des personnes handicapées (</w:t>
      </w:r>
      <w:hyperlink r:id="rId20" w:history="1">
        <w:r w:rsidR="009E1C93" w:rsidRPr="006E6F96">
          <w:rPr>
            <w:rStyle w:val="Lienhypertexte"/>
          </w:rPr>
          <w:t>C</w:t>
        </w:r>
        <w:r w:rsidR="00CD58B6" w:rsidRPr="006E6F96">
          <w:rPr>
            <w:rStyle w:val="Lienhypertexte"/>
          </w:rPr>
          <w:t>DPH</w:t>
        </w:r>
        <w:r w:rsidR="0062052B" w:rsidRPr="006E6F96">
          <w:rPr>
            <w:rStyle w:val="Lienhypertexte"/>
          </w:rPr>
          <w:t xml:space="preserve"> ; </w:t>
        </w:r>
        <w:hyperlink r:id="rId21" w:history="1">
          <w:r w:rsidR="0062052B" w:rsidRPr="006E6F96">
            <w:rPr>
              <w:rStyle w:val="Lienhypertexte"/>
            </w:rPr>
            <w:t>RS 0.109</w:t>
          </w:r>
        </w:hyperlink>
      </w:hyperlink>
      <w:r w:rsidR="00D90D8B">
        <w:t>)</w:t>
      </w:r>
      <w:r w:rsidR="00CD58B6" w:rsidRPr="00DB17F7">
        <w:t>. Par ailleurs, la directive contraste avec la pratique de certains cantons, romands en particulier, d’accorder jusqu’à un tiers de temps supplémentaire. En effet, les subtilités de la langue française la rendent</w:t>
      </w:r>
      <w:r w:rsidR="0082318F">
        <w:t xml:space="preserve"> spécialement</w:t>
      </w:r>
      <w:r w:rsidR="00CD58B6" w:rsidRPr="00DB17F7">
        <w:t xml:space="preserve"> difficile à appréhender</w:t>
      </w:r>
      <w:r w:rsidR="00D20A56">
        <w:t xml:space="preserve"> </w:t>
      </w:r>
      <w:r w:rsidR="0082318F">
        <w:t>surtout</w:t>
      </w:r>
      <w:r w:rsidR="00CD58B6" w:rsidRPr="00DB17F7">
        <w:t xml:space="preserve"> pour les personnes dys</w:t>
      </w:r>
      <w:r w:rsidR="002A4E4F">
        <w:t>lexiques-dysorthographiques</w:t>
      </w:r>
      <w:r w:rsidR="00CD58B6" w:rsidRPr="00DB17F7">
        <w:t xml:space="preserve">, davantage que l’allemand ou l’italien. Cela dit, formellement, la liste annexée à la directive « a valeur de recommandation », qui plus est uniquement pour les examens finaux. </w:t>
      </w:r>
    </w:p>
    <w:p w14:paraId="2423F19A" w14:textId="2EE537F0" w:rsidR="008D167F" w:rsidRDefault="00CD58B6" w:rsidP="00DB17F7">
      <w:pPr>
        <w:pStyle w:val="Corpsdetexte"/>
      </w:pPr>
      <w:r w:rsidRPr="00DB17F7">
        <w:t>En réponse à la motion « Maturité gymnasiale. Autoriser l'étudiant concerné par un trouble dys</w:t>
      </w:r>
      <w:r w:rsidR="006E6F96">
        <w:t>-</w:t>
      </w:r>
      <w:r w:rsidRPr="00DB17F7">
        <w:t xml:space="preserve"> à utiliser un ordinateur » (</w:t>
      </w:r>
      <w:hyperlink r:id="rId22" w:history="1">
        <w:r w:rsidR="001940D5">
          <w:rPr>
            <w:rStyle w:val="Lienhypertexte"/>
          </w:rPr>
          <w:t>m</w:t>
        </w:r>
        <w:r w:rsidRPr="009E075D">
          <w:rPr>
            <w:rStyle w:val="Lienhypertexte"/>
          </w:rPr>
          <w:t>otion 24.3100</w:t>
        </w:r>
      </w:hyperlink>
      <w:r w:rsidRPr="00DB17F7">
        <w:t xml:space="preserve">) du Conseiller national Sidney Kamerzin (Le Centre / VS), le Conseil fédéral a souligné que les directives du CSM « font office d’exigences minimales, fixent des principes généraux pour la compensation des désavantages et clarifient les questions de procédure. ». À noter que cette motion a été adoptée le 26 septembre 2024 par le Conseil national, tandis que le Conseil des États doit encore se prononcer. </w:t>
      </w:r>
    </w:p>
    <w:p w14:paraId="6D5CBB14" w14:textId="4BBE4628" w:rsidR="00CD58B6" w:rsidRPr="00DB17F7" w:rsidRDefault="00CD58B6" w:rsidP="00DB17F7">
      <w:pPr>
        <w:pStyle w:val="Corpsdetexte"/>
      </w:pPr>
      <w:r w:rsidRPr="00DB17F7">
        <w:lastRenderedPageBreak/>
        <w:t>Les cantons demeurent donc libres de conserver, voire d’adopter, une pratique plus généreuse</w:t>
      </w:r>
      <w:r w:rsidR="00456EE0">
        <w:t xml:space="preserve"> et plus équitable</w:t>
      </w:r>
      <w:r w:rsidRPr="00DB17F7">
        <w:t>. Ainsi, le Département genevois de l’instruction publique, de la formation et de la jeunesse (DIP) a adopté, le 1</w:t>
      </w:r>
      <w:r w:rsidR="008C295E" w:rsidRPr="002329B5">
        <w:rPr>
          <w:vertAlign w:val="superscript"/>
        </w:rPr>
        <w:t>er</w:t>
      </w:r>
      <w:r w:rsidRPr="00DB17F7">
        <w:t xml:space="preserve"> juillet 2025, une </w:t>
      </w:r>
      <w:r w:rsidR="00FD4D67">
        <w:t>d</w:t>
      </w:r>
      <w:r w:rsidRPr="00DB17F7">
        <w:t>irective sur la compensation des désavantages pour les élèves à besoins éducatifs particuliers (</w:t>
      </w:r>
      <w:hyperlink r:id="rId23" w:history="1">
        <w:r w:rsidRPr="005876D2">
          <w:rPr>
            <w:rStyle w:val="Lienhypertexte"/>
          </w:rPr>
          <w:t>directive</w:t>
        </w:r>
        <w:r w:rsidR="008D167F" w:rsidRPr="005876D2">
          <w:rPr>
            <w:rStyle w:val="Lienhypertexte"/>
          </w:rPr>
          <w:t xml:space="preserve"> </w:t>
        </w:r>
        <w:r w:rsidRPr="005876D2">
          <w:rPr>
            <w:rStyle w:val="Lienhypertexte"/>
          </w:rPr>
          <w:t>D.E.DIP.02 Aménagements formels</w:t>
        </w:r>
      </w:hyperlink>
      <w:r w:rsidRPr="00DB17F7">
        <w:t xml:space="preserve">). Celle-ci prévoit </w:t>
      </w:r>
      <w:r w:rsidR="00C72144">
        <w:t>encore</w:t>
      </w:r>
      <w:r w:rsidR="00C72144" w:rsidRPr="00DB17F7">
        <w:t xml:space="preserve"> </w:t>
      </w:r>
      <w:r w:rsidRPr="00DB17F7">
        <w:t>l’octroi d’un tiers-temps supplémentaire au maximum dans le cadre d’une évaluation ou d’un examen (ch.</w:t>
      </w:r>
      <w:r w:rsidR="008C295E">
        <w:t> </w:t>
      </w:r>
      <w:r w:rsidRPr="00DB17F7">
        <w:t>3, p.</w:t>
      </w:r>
      <w:r w:rsidR="008C295E">
        <w:t> </w:t>
      </w:r>
      <w:r w:rsidRPr="00DB17F7">
        <w:t>5).</w:t>
      </w:r>
    </w:p>
    <w:p w14:paraId="1981E016" w14:textId="06CE96FF" w:rsidR="00CD58B6" w:rsidRPr="00DB17F7" w:rsidRDefault="00E3008C" w:rsidP="00DB17F7">
      <w:pPr>
        <w:pStyle w:val="Corpsdetexte"/>
      </w:pPr>
      <w:r w:rsidRPr="00037AE3">
        <w:rPr>
          <w:noProof/>
        </w:rPr>
        <mc:AlternateContent>
          <mc:Choice Requires="wps">
            <w:drawing>
              <wp:anchor distT="45720" distB="45720" distL="46990" distR="46990" simplePos="0" relativeHeight="251661312" behindDoc="0" locked="0" layoutInCell="1" allowOverlap="0" wp14:anchorId="729EA5AF" wp14:editId="31FD7043">
                <wp:simplePos x="0" y="0"/>
                <wp:positionH relativeFrom="column">
                  <wp:posOffset>-900430</wp:posOffset>
                </wp:positionH>
                <wp:positionV relativeFrom="paragraph">
                  <wp:posOffset>1642780</wp:posOffset>
                </wp:positionV>
                <wp:extent cx="5918200" cy="914400"/>
                <wp:effectExtent l="0" t="0" r="0" b="0"/>
                <wp:wrapTopAndBottom/>
                <wp:docPr id="1149769435" name="Zone de text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8200" cy="914400"/>
                        </a:xfrm>
                        <a:prstGeom prst="rect">
                          <a:avLst/>
                        </a:prstGeom>
                        <a:noFill/>
                        <a:ln w="9525">
                          <a:noFill/>
                          <a:miter lim="800000"/>
                          <a:headEnd/>
                          <a:tailEnd/>
                        </a:ln>
                      </wps:spPr>
                      <wps:txbx>
                        <w:txbxContent>
                          <w:p w14:paraId="6730B267" w14:textId="6B2159CF" w:rsidR="00D06CA4" w:rsidRPr="0047168D" w:rsidRDefault="00E3008C" w:rsidP="00F5302E">
                            <w:pPr>
                              <w:pStyle w:val="Hervorhebung1"/>
                              <w:jc w:val="both"/>
                            </w:pPr>
                            <w:r w:rsidRPr="00DB17F7">
                              <w:t>En définitive, si la directive édictée par la CSM semble calquée sur la pratique</w:t>
                            </w:r>
                            <w:r w:rsidR="00AF6484">
                              <w:t xml:space="preserve"> de la langue allemande,</w:t>
                            </w:r>
                            <w:r w:rsidRPr="00DB17F7">
                              <w:t xml:space="preserve"> majoritaire en Suisse, elle n’empêche pas les cantons d’octroyer jusqu’à un tiers de temps supplémentaire en cas de troubles </w:t>
                            </w:r>
                            <w:proofErr w:type="spellStart"/>
                            <w:r w:rsidRPr="00DB17F7">
                              <w:t>dys</w:t>
                            </w:r>
                            <w:proofErr w:type="spellEnd"/>
                            <w:r w:rsidRPr="00DB17F7">
                              <w:t>, notamment afin de tenir compte des difficultés de la langue française ou pour individualiser la mesure</w:t>
                            </w:r>
                          </w:p>
                        </w:txbxContent>
                      </wps:txbx>
                      <wps:bodyPr rot="0" vert="horz" wrap="square" lIns="1044000" tIns="45720" rIns="9000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9EA5AF" id="_x0000_s1027" type="#_x0000_t202" alt="&quot;&quot;" style="position:absolute;left:0;text-align:left;margin-left:-70.9pt;margin-top:129.35pt;width:466pt;height:1in;z-index:251661312;visibility:visible;mso-wrap-style:square;mso-width-percent:0;mso-height-percent:0;mso-wrap-distance-left:3.7pt;mso-wrap-distance-top:3.6pt;mso-wrap-distance-right:3.7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" o:allowoverlap="f" filled="f" stroked="f">
                <v:textbox inset="29mm,,2.5mm">
                  <w:txbxContent>
                    <w:p w14:paraId="6730B267" w14:textId="6B2159CF" w:rsidR="00D06CA4" w:rsidRPr="0047168D" w:rsidRDefault="00E3008C" w:rsidP="00F5302E">
                      <w:pPr>
                        <w:pStyle w:val="Hervorhebung1"/>
                        <w:jc w:val="both"/>
                      </w:pPr>
                      <w:r w:rsidRPr="00DB17F7">
                        <w:t>En définitive, si la directive édictée par la CSM semble calquée sur la pratique</w:t>
                      </w:r>
                      <w:r w:rsidR="00AF6484">
                        <w:t xml:space="preserve"> de la langue allemande,</w:t>
                      </w:r>
                      <w:r w:rsidRPr="00DB17F7">
                        <w:t xml:space="preserve"> majoritaire en Suisse, elle n’empêche pas les cantons d’octroyer jusqu’à un tiers de temps supplémentaire en cas de troubles </w:t>
                      </w:r>
                      <w:proofErr w:type="spellStart"/>
                      <w:r w:rsidRPr="00DB17F7">
                        <w:t>dys</w:t>
                      </w:r>
                      <w:proofErr w:type="spellEnd"/>
                      <w:r w:rsidRPr="00DB17F7">
                        <w:t>, notamment afin de tenir compte des difficultés de la langue française ou pour individualiser la mesure</w:t>
                      </w:r>
                    </w:p>
                  </w:txbxContent>
                </v:textbox>
                <w10:wrap type="topAndBottom"/>
              </v:shape>
            </w:pict>
          </mc:Fallback>
        </mc:AlternateContent>
      </w:r>
      <w:r w:rsidR="00CD58B6" w:rsidRPr="00DB17F7">
        <w:t>En revanche, dans le canton de Fribourg, la I</w:t>
      </w:r>
      <w:r w:rsidR="00CD58B6" w:rsidRPr="00CB5A11">
        <w:rPr>
          <w:vertAlign w:val="superscript"/>
        </w:rPr>
        <w:t>ère</w:t>
      </w:r>
      <w:r w:rsidR="00CD58B6" w:rsidRPr="00DB17F7">
        <w:t xml:space="preserve"> Cour administrative du Tribunal cantonal a récemment confirmé une décision n’accordant que 10</w:t>
      </w:r>
      <w:r w:rsidR="0087062D">
        <w:t> </w:t>
      </w:r>
      <w:r w:rsidR="00CD58B6" w:rsidRPr="00DB17F7">
        <w:t xml:space="preserve">% de temps supplémentaire lors des évaluations écrites dans le cadre de la première année d’études gymnasiales, en se référant à une </w:t>
      </w:r>
      <w:hyperlink r:id="rId24" w:history="1">
        <w:r w:rsidR="00CD58B6" w:rsidRPr="0010019C">
          <w:rPr>
            <w:rStyle w:val="Lienhypertexte"/>
          </w:rPr>
          <w:t>directive cantonale d</w:t>
        </w:r>
        <w:r w:rsidR="00D7472F">
          <w:rPr>
            <w:rStyle w:val="Lienhypertexte"/>
          </w:rPr>
          <w:t>u 11 juillet</w:t>
        </w:r>
        <w:r w:rsidR="00CD58B6" w:rsidRPr="0010019C">
          <w:rPr>
            <w:rStyle w:val="Lienhypertexte"/>
          </w:rPr>
          <w:t xml:space="preserve"> 2016</w:t>
        </w:r>
      </w:hyperlink>
      <w:r w:rsidR="00CD58B6" w:rsidRPr="00DB17F7">
        <w:t xml:space="preserve"> </w:t>
      </w:r>
      <w:r w:rsidR="00D31D3E">
        <w:t xml:space="preserve">concernant l’octroi de mesures de compensation des désavantages </w:t>
      </w:r>
      <w:r w:rsidR="00CD58B6" w:rsidRPr="00DB17F7">
        <w:t>et la jurisprudence relative</w:t>
      </w:r>
      <w:r w:rsidR="00F34DEF">
        <w:t xml:space="preserve"> à cette dernière</w:t>
      </w:r>
      <w:r w:rsidR="00CD58B6" w:rsidRPr="00DB17F7">
        <w:t>. Elle a ainsi refusé le tiers-temps supplémentaire requis, mesure dont l’intéressé avait pourtant bénéficié au cycle d’orientation (</w:t>
      </w:r>
      <w:hyperlink r:id="rId25" w:history="1">
        <w:r w:rsidR="00CD58B6" w:rsidRPr="008330E0">
          <w:rPr>
            <w:rStyle w:val="Lienhypertexte"/>
          </w:rPr>
          <w:t>arrêt 601 2024 138 du 9 juillet 2025 </w:t>
        </w:r>
      </w:hyperlink>
      <w:r w:rsidR="00CD58B6" w:rsidRPr="00DB17F7">
        <w:t>; l’arrêt</w:t>
      </w:r>
      <w:r w:rsidR="0034386D">
        <w:t>,</w:t>
      </w:r>
      <w:r w:rsidR="00CD58B6" w:rsidRPr="00DB17F7">
        <w:t xml:space="preserve"> n’</w:t>
      </w:r>
      <w:r w:rsidR="008330E0">
        <w:t xml:space="preserve">étant pas </w:t>
      </w:r>
      <w:r w:rsidR="00CD58B6" w:rsidRPr="00DB17F7">
        <w:t>encore définitif</w:t>
      </w:r>
      <w:r w:rsidR="008330E0">
        <w:t xml:space="preserve">, </w:t>
      </w:r>
      <w:r w:rsidR="00CD58B6" w:rsidRPr="00DB17F7">
        <w:t xml:space="preserve">peut faire l’objet d’un recours au Tribunal fédéral). La directive sur l’harmonisation des MCD de la CSM n’a ainsi pas joué de rôle déterminant dans l’issue du litige et la portée de l’arrêt est limitée au canton de Fribourg.      </w:t>
      </w:r>
    </w:p>
    <w:p w14:paraId="267E5C2C" w14:textId="305B2374" w:rsidR="00CD58B6" w:rsidRPr="00DB17F7" w:rsidRDefault="00CD58B6" w:rsidP="00DB17F7">
      <w:pPr>
        <w:pStyle w:val="Corpsdetexte"/>
      </w:pPr>
      <w:r w:rsidRPr="00DB17F7">
        <w:t>Cela étant, cette affaire illustre qu’une décision refusant une MCD ou ne l’octroyant que partiellement est susceptible de recours. Les clauses d’exclusion ou restrictions du pouvoir de cognition</w:t>
      </w:r>
      <w:r w:rsidR="0088263C">
        <w:rPr>
          <w:rStyle w:val="Appelnotedebasdep"/>
        </w:rPr>
        <w:footnoteReference w:id="2"/>
      </w:r>
      <w:r w:rsidRPr="00DB17F7">
        <w:t xml:space="preserve"> prévalant en matière de résultats d’examens ou d’autres évaluations de capacités ne trouvent pas </w:t>
      </w:r>
      <w:r w:rsidRPr="005A358B">
        <w:t>application,</w:t>
      </w:r>
      <w:r w:rsidR="00107499" w:rsidRPr="005A358B">
        <w:t xml:space="preserve"> car</w:t>
      </w:r>
      <w:r w:rsidRPr="005A358B">
        <w:t xml:space="preserve"> le litige port</w:t>
      </w:r>
      <w:r w:rsidR="00107499" w:rsidRPr="005A358B">
        <w:t>e</w:t>
      </w:r>
      <w:r w:rsidRPr="005A358B">
        <w:t xml:space="preserve"> sur</w:t>
      </w:r>
      <w:r w:rsidRPr="00DB17F7">
        <w:t xml:space="preserve"> l’octroi de temps supplémentaire pour compenser un désavantage. Ainsi, au Tribunal fédéral, c’est bien le recours en matière de droit public qui est ouvert (</w:t>
      </w:r>
      <w:hyperlink r:id="rId26" w:history="1">
        <w:r w:rsidRPr="00E5556A">
          <w:rPr>
            <w:rStyle w:val="Lienhypertexte"/>
          </w:rPr>
          <w:t xml:space="preserve">ATF 147 I 73 </w:t>
        </w:r>
        <w:proofErr w:type="spellStart"/>
        <w:r w:rsidRPr="00E5556A">
          <w:rPr>
            <w:rStyle w:val="Lienhypertexte"/>
          </w:rPr>
          <w:t>consid</w:t>
        </w:r>
        <w:proofErr w:type="spellEnd"/>
        <w:r w:rsidRPr="00E5556A">
          <w:rPr>
            <w:rStyle w:val="Lienhypertexte"/>
          </w:rPr>
          <w:t>. 1.2 </w:t>
        </w:r>
      </w:hyperlink>
      <w:r w:rsidRPr="00DB17F7">
        <w:t xml:space="preserve">; </w:t>
      </w:r>
      <w:hyperlink r:id="rId27" w:history="1">
        <w:r w:rsidRPr="006D5529">
          <w:rPr>
            <w:rStyle w:val="Lienhypertexte"/>
          </w:rPr>
          <w:t>arrêt du TF 2C_299/2023 du 7 mai 2024</w:t>
        </w:r>
      </w:hyperlink>
      <w:r w:rsidRPr="00DB17F7">
        <w:t>). Dans l’affaire susvisée, c’est donc à tort que le Tribunal cantonal fribourgeois s’est limité à un examen restreint</w:t>
      </w:r>
      <w:r w:rsidR="00C77878">
        <w:t xml:space="preserve"> du recours</w:t>
      </w:r>
      <w:r w:rsidRPr="00DB17F7">
        <w:t xml:space="preserve"> (</w:t>
      </w:r>
      <w:hyperlink r:id="rId28" w:history="1">
        <w:r w:rsidRPr="00A44412">
          <w:rPr>
            <w:rStyle w:val="Lienhypertexte"/>
          </w:rPr>
          <w:t xml:space="preserve">arrêt 601 2024 138 précité, </w:t>
        </w:r>
        <w:proofErr w:type="spellStart"/>
        <w:r w:rsidRPr="00A44412">
          <w:rPr>
            <w:rStyle w:val="Lienhypertexte"/>
          </w:rPr>
          <w:t>consid</w:t>
        </w:r>
        <w:proofErr w:type="spellEnd"/>
        <w:r w:rsidRPr="00A44412">
          <w:rPr>
            <w:rStyle w:val="Lienhypertexte"/>
          </w:rPr>
          <w:t>. 2</w:t>
        </w:r>
      </w:hyperlink>
      <w:r w:rsidRPr="00DB17F7">
        <w:t>). Octroyer ou non du temps supplémentaire pour compenser un désavantage est une décision de nature organisationnelle et ne porte pas sur l’évaluation des aptitudes d’une personne, si bien que l’art. 96a</w:t>
      </w:r>
      <w:r w:rsidR="0018622D">
        <w:t xml:space="preserve"> du Code fribourgeois de procédure et juridiction administrative (</w:t>
      </w:r>
      <w:hyperlink r:id="rId29" w:history="1">
        <w:r w:rsidRPr="00AA283D">
          <w:rPr>
            <w:rStyle w:val="Lienhypertexte"/>
          </w:rPr>
          <w:t>CPJA</w:t>
        </w:r>
        <w:r w:rsidR="005B70A0">
          <w:rPr>
            <w:rStyle w:val="Lienhypertexte"/>
          </w:rPr>
          <w:t> ; RSF 150.1</w:t>
        </w:r>
      </w:hyperlink>
      <w:r w:rsidR="0018622D">
        <w:t>)</w:t>
      </w:r>
      <w:r w:rsidRPr="00DB17F7">
        <w:t xml:space="preserve"> ne s’appliquait pas et que le tribunal disposait en réalité d’un plein pouvoir d’examen.  </w:t>
      </w:r>
    </w:p>
    <w:p w14:paraId="4D0AF160" w14:textId="07A5D5BD" w:rsidR="006E260B" w:rsidRDefault="00CD58B6" w:rsidP="00480CFD">
      <w:pPr>
        <w:pStyle w:val="Corpsdetexte"/>
        <w:spacing w:after="0"/>
      </w:pPr>
      <w:r w:rsidRPr="00DB17F7">
        <w:t xml:space="preserve">En définitive, si la directive édictée par la CSM semble calquée sur la pratique de la langue allemande, </w:t>
      </w:r>
      <w:r w:rsidR="00F43625" w:rsidRPr="00DB17F7">
        <w:t>majoritaire en Suisse</w:t>
      </w:r>
      <w:r w:rsidR="00AF6484">
        <w:t>,</w:t>
      </w:r>
      <w:r w:rsidR="00F43625" w:rsidRPr="00DB17F7">
        <w:t xml:space="preserve"> </w:t>
      </w:r>
      <w:r w:rsidRPr="00DB17F7">
        <w:t xml:space="preserve">elle n’empêche pas les cantons d’octroyer jusqu’à un tiers de temps supplémentaire en cas de troubles </w:t>
      </w:r>
      <w:proofErr w:type="spellStart"/>
      <w:r w:rsidRPr="00DB17F7">
        <w:t>dys</w:t>
      </w:r>
      <w:proofErr w:type="spellEnd"/>
      <w:r w:rsidRPr="00DB17F7">
        <w:t>, notamment afin de tenir compte des difficultés de la langue française ou pour individualiser la mesure. Si le risque d’une harmonisation par le bas ne saurait être écarté, l’exemple du canton de Genève montre que cela n’est pas inéluctable, bien au contraire !</w:t>
      </w:r>
    </w:p>
    <w:p w14:paraId="7D134C24" w14:textId="77777777" w:rsidR="00480CFD" w:rsidRDefault="00480CFD" w:rsidP="00480CFD">
      <w:pPr>
        <w:pStyle w:val="Corpsdetexte3"/>
      </w:pPr>
    </w:p>
    <w:tbl>
      <w:tblPr>
        <w:tblStyle w:val="Grilledutableau"/>
        <w:tblW w:w="40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6"/>
        <w:gridCol w:w="5355"/>
      </w:tblGrid>
      <w:tr w:rsidR="00E717DF" w:rsidRPr="00153133" w14:paraId="36D78CAC" w14:textId="0B73A1B3" w:rsidTr="00E717DF">
        <w:tc>
          <w:tcPr>
            <w:tcW w:w="1346" w:type="pct"/>
            <w:vAlign w:val="center"/>
          </w:tcPr>
          <w:p w14:paraId="37DAC6F1" w14:textId="6C9A2ABA" w:rsidR="00E717DF" w:rsidRPr="00153133" w:rsidRDefault="00E717DF" w:rsidP="000F0036">
            <w:pPr>
              <w:pStyle w:val="Corpsdetexte3"/>
            </w:pPr>
            <w:r>
              <w:rPr>
                <w:noProof/>
              </w:rPr>
              <w:drawing>
                <wp:inline distT="0" distB="0" distL="0" distR="0" wp14:anchorId="461190D5" wp14:editId="6F511A8C">
                  <wp:extent cx="1140833" cy="1164298"/>
                  <wp:effectExtent l="0" t="0" r="2540" b="0"/>
                  <wp:docPr id="122378705" name="Grafik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78705" name="Grafik 4">
                            <a:extLst>
                              <a:ext uri="{C183D7F6-B498-43B3-948B-1728B52AA6E4}">
                                <adec:decorative xmlns:adec="http://schemas.microsoft.com/office/drawing/2017/decorative" val="1"/>
                              </a:ext>
                            </a:extLst>
                          </pic:cNvP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t="8017" r="9871"/>
                          <a:stretch/>
                        </pic:blipFill>
                        <pic:spPr bwMode="auto">
                          <a:xfrm>
                            <a:off x="0" y="0"/>
                            <a:ext cx="1148798" cy="117242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3654" w:type="pct"/>
          </w:tcPr>
          <w:p w14:paraId="6537BF70" w14:textId="77777777" w:rsidR="00E717DF" w:rsidRPr="00A978F0" w:rsidRDefault="00E717DF" w:rsidP="00E717DF">
            <w:pPr>
              <w:pStyle w:val="Corpsdetexte3"/>
            </w:pPr>
            <w:r w:rsidRPr="00A978F0">
              <w:t>Arun Bolkensteyn</w:t>
            </w:r>
          </w:p>
          <w:p w14:paraId="26B81244" w14:textId="77777777" w:rsidR="00E717DF" w:rsidRPr="00A978F0" w:rsidRDefault="00E717DF" w:rsidP="00E717DF">
            <w:pPr>
              <w:pStyle w:val="Corpsdetexte3"/>
            </w:pPr>
            <w:r w:rsidRPr="00A978F0">
              <w:t>Docteure en droit</w:t>
            </w:r>
          </w:p>
          <w:p w14:paraId="7EA187BA" w14:textId="77777777" w:rsidR="00E717DF" w:rsidRPr="00A978F0" w:rsidRDefault="00E717DF" w:rsidP="00E717DF">
            <w:pPr>
              <w:pStyle w:val="Corpsdetexte3"/>
            </w:pPr>
            <w:r w:rsidRPr="00A978F0">
              <w:t xml:space="preserve">Collaboratrice juridique </w:t>
            </w:r>
            <w:r w:rsidRPr="00A978F0">
              <w:br/>
              <w:t xml:space="preserve">au sein du Département Égalité </w:t>
            </w:r>
          </w:p>
          <w:p w14:paraId="6E0F0633" w14:textId="1A33A3CC" w:rsidR="00E717DF" w:rsidRDefault="00E717DF" w:rsidP="00E717DF">
            <w:pPr>
              <w:pStyle w:val="Corpsdetexte3"/>
              <w:rPr>
                <w:noProof/>
              </w:rPr>
            </w:pPr>
            <w:r w:rsidRPr="00A978F0">
              <w:t xml:space="preserve">Inclusion Handicap </w:t>
            </w:r>
            <w:r w:rsidRPr="00A978F0">
              <w:br/>
            </w:r>
            <w:hyperlink r:id="rId31" w:history="1">
              <w:r w:rsidRPr="00E717DF">
                <w:rPr>
                  <w:rStyle w:val="Lienhypertexte"/>
                </w:rPr>
                <w:t>arun.bolkensteyn@inclusion-handicap.ch</w:t>
              </w:r>
            </w:hyperlink>
            <w:r>
              <w:t xml:space="preserve"> </w:t>
            </w:r>
          </w:p>
        </w:tc>
      </w:tr>
    </w:tbl>
    <w:p w14:paraId="062C750A" w14:textId="77777777" w:rsidR="00870508" w:rsidRPr="00153133" w:rsidRDefault="00870508" w:rsidP="00E717DF">
      <w:pPr>
        <w:pStyle w:val="Bibliographie"/>
        <w:ind w:left="0" w:firstLine="0"/>
        <w:rPr>
          <w:rFonts w:cs="Open Sans SemiCondensed"/>
        </w:rPr>
      </w:pPr>
    </w:p>
    <w:sectPr w:rsidR="00870508" w:rsidRPr="00153133" w:rsidSect="00DB6A47">
      <w:headerReference w:type="default" r:id="rId32"/>
      <w:footerReference w:type="default" r:id="rId33"/>
      <w:pgSz w:w="11907" w:h="16840" w:code="9"/>
      <w:pgMar w:top="1418" w:right="1418" w:bottom="1134" w:left="1418" w:header="720" w:footer="567" w:gutter="0"/>
      <w:pgNumType w:start="4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C6153" w14:textId="77777777" w:rsidR="00BA5131" w:rsidRDefault="00BA5131">
      <w:pPr>
        <w:spacing w:line="240" w:lineRule="auto"/>
      </w:pPr>
      <w:r>
        <w:separator/>
      </w:r>
    </w:p>
  </w:endnote>
  <w:endnote w:type="continuationSeparator" w:id="0">
    <w:p w14:paraId="6431E540" w14:textId="77777777" w:rsidR="00BA5131" w:rsidRDefault="00BA51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 Sans SemiCondensed">
    <w:panose1 w:val="00000000000000000000"/>
    <w:charset w:val="00"/>
    <w:family w:val="auto"/>
    <w:pitch w:val="variable"/>
    <w:sig w:usb0="E00002FF" w:usb1="4000201B" w:usb2="00000028" w:usb3="00000000" w:csb0="0000019F" w:csb1="00000000"/>
    <w:embedRegular r:id="rId1" w:fontKey="{3C3EEC17-7C85-439C-A5A1-644A02FDD7A9}"/>
    <w:embedBold r:id="rId2" w:fontKey="{35C00EED-F3C5-4615-910B-C200FB6ED6E5}"/>
    <w:embedItalic r:id="rId3" w:fontKey="{6B9F73EC-A9C8-49FD-A6D9-9A5A4F500261}"/>
    <w:embedBoldItalic r:id="rId4" w:fontKey="{E89705C4-A943-4873-BE4B-70FC55EE7D31}"/>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44C4CD" w14:textId="77777777" w:rsidR="004B3A29" w:rsidRPr="007B448B" w:rsidRDefault="006E210A" w:rsidP="001D3BFB">
    <w:pPr>
      <w:pStyle w:val="Pieddepage"/>
      <w:rPr>
        <w:szCs w:val="22"/>
      </w:rPr>
    </w:pPr>
    <w:r>
      <w:rPr>
        <w:noProof/>
      </w:rPr>
      <w:drawing>
        <wp:anchor distT="0" distB="0" distL="114300" distR="114300" simplePos="0" relativeHeight="251658240" behindDoc="1" locked="0" layoutInCell="1" allowOverlap="1" wp14:anchorId="061FF4D7" wp14:editId="6A05D58F">
          <wp:simplePos x="0" y="0"/>
          <wp:positionH relativeFrom="column">
            <wp:posOffset>-671830</wp:posOffset>
          </wp:positionH>
          <wp:positionV relativeFrom="paragraph">
            <wp:posOffset>-726440</wp:posOffset>
          </wp:positionV>
          <wp:extent cx="101861" cy="849482"/>
          <wp:effectExtent l="0" t="0" r="0" b="0"/>
          <wp:wrapNone/>
          <wp:docPr id="12" name="Imag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861" cy="849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3BFB">
      <w:tab/>
    </w:r>
    <w:r w:rsidR="001D3BFB">
      <w:tab/>
    </w:r>
    <w:r w:rsidR="001D3BFB" w:rsidRPr="007B448B">
      <w:rPr>
        <w:szCs w:val="22"/>
      </w:rPr>
      <w:fldChar w:fldCharType="begin"/>
    </w:r>
    <w:r w:rsidR="001D3BFB" w:rsidRPr="007B448B">
      <w:rPr>
        <w:szCs w:val="22"/>
      </w:rPr>
      <w:instrText>PAGE  \* Arabic  \* MERGEFORMAT</w:instrText>
    </w:r>
    <w:r w:rsidR="001D3BFB" w:rsidRPr="007B448B">
      <w:rPr>
        <w:szCs w:val="22"/>
      </w:rPr>
      <w:fldChar w:fldCharType="separate"/>
    </w:r>
    <w:r w:rsidR="001D3BFB" w:rsidRPr="007B448B">
      <w:rPr>
        <w:szCs w:val="22"/>
      </w:rPr>
      <w:t>1</w:t>
    </w:r>
    <w:r w:rsidR="001D3BFB" w:rsidRPr="007B448B">
      <w:rPr>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C5008" w14:textId="77777777" w:rsidR="00BA5131" w:rsidRPr="00777A2F" w:rsidRDefault="00BA5131" w:rsidP="002E13B6">
      <w:pPr>
        <w:spacing w:line="240" w:lineRule="auto"/>
        <w:rPr>
          <w:rFonts w:asciiTheme="minorHAnsi" w:hAnsiTheme="minorHAnsi"/>
        </w:rPr>
      </w:pPr>
      <w:r w:rsidRPr="00777A2F">
        <w:rPr>
          <w:rFonts w:asciiTheme="minorHAnsi" w:hAnsiTheme="minorHAnsi"/>
        </w:rPr>
        <w:separator/>
      </w:r>
    </w:p>
  </w:footnote>
  <w:footnote w:type="continuationSeparator" w:id="0">
    <w:p w14:paraId="2B4F2E05" w14:textId="77777777" w:rsidR="00BA5131" w:rsidRDefault="00BA5131">
      <w:r>
        <w:continuationSeparator/>
      </w:r>
    </w:p>
  </w:footnote>
  <w:footnote w:type="continuationNotice" w:id="1">
    <w:p w14:paraId="39AECB92" w14:textId="77777777" w:rsidR="00BA5131" w:rsidRDefault="00BA5131">
      <w:pPr>
        <w:spacing w:line="240" w:lineRule="auto"/>
      </w:pPr>
    </w:p>
  </w:footnote>
  <w:footnote w:id="2">
    <w:p w14:paraId="23B2CB24" w14:textId="1CA3DC57" w:rsidR="0088263C" w:rsidRDefault="0088263C" w:rsidP="00B441B9">
      <w:pPr>
        <w:pStyle w:val="Notedebasdepage"/>
        <w:jc w:val="both"/>
      </w:pPr>
      <w:r w:rsidRPr="005A358B">
        <w:rPr>
          <w:rStyle w:val="Appelnotedebasdep"/>
        </w:rPr>
        <w:footnoteRef/>
      </w:r>
      <w:r w:rsidRPr="005A358B">
        <w:t xml:space="preserve"> </w:t>
      </w:r>
      <w:r w:rsidR="008F4954" w:rsidRPr="005A358B">
        <w:t xml:space="preserve">Si le pouvoir de cognition est restreint, le </w:t>
      </w:r>
      <w:r w:rsidR="00625958" w:rsidRPr="005A358B">
        <w:t>t</w:t>
      </w:r>
      <w:r w:rsidR="008F4954" w:rsidRPr="005A358B">
        <w:t>ribunal examine la décision attaquée avec retenue et laisse une large marge d’appréciation à l’autorité</w:t>
      </w:r>
      <w:r w:rsidR="00AB7D82" w:rsidRPr="005A358B">
        <w:t xml:space="preserve"> compétente</w:t>
      </w:r>
      <w:r w:rsidR="008F4954" w:rsidRPr="005A358B">
        <w:t xml:space="preserve">. </w:t>
      </w:r>
      <w:r w:rsidR="00625958" w:rsidRPr="005A358B">
        <w:t>Cela tend à amoindrir les chances de succès.</w:t>
      </w:r>
      <w:r w:rsidR="008F4954" w:rsidRPr="0050427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80F8C6" w14:textId="4B69E86D" w:rsidR="007B448B" w:rsidRPr="007B448B" w:rsidRDefault="00307EC7" w:rsidP="007B448B">
    <w:pPr>
      <w:pStyle w:val="Themenschwerpunkt"/>
      <w:rPr>
        <w:lang w:val="fr-CH"/>
      </w:rPr>
    </w:pPr>
    <w:r>
      <mc:AlternateContent>
        <mc:Choice Requires="wps">
          <w:drawing>
            <wp:anchor distT="0" distB="0" distL="114299" distR="114299" simplePos="0" relativeHeight="251658241" behindDoc="0" locked="0" layoutInCell="1" allowOverlap="1" wp14:anchorId="2D9304DA" wp14:editId="7C2DDA63">
              <wp:simplePos x="0" y="0"/>
              <wp:positionH relativeFrom="column">
                <wp:posOffset>-371476</wp:posOffset>
              </wp:positionH>
              <wp:positionV relativeFrom="paragraph">
                <wp:posOffset>-448310</wp:posOffset>
              </wp:positionV>
              <wp:extent cx="0" cy="12460605"/>
              <wp:effectExtent l="0" t="0" r="38100" b="36195"/>
              <wp:wrapNone/>
              <wp:docPr id="3" name="Connecteur droit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460605"/>
                      </a:xfrm>
                      <a:prstGeom prst="line">
                        <a:avLst/>
                      </a:prstGeom>
                      <a:ln>
                        <a:solidFill>
                          <a:schemeClr val="accent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84122A5" id="Connecteur droit 3" o:spid="_x0000_s1026" alt="&quot;&quot;"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9.25pt,-35.3pt" to="-29.25pt,9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" strokecolor="#d31932 [3204]">
              <o:lock v:ext="edit" shapetype="f"/>
            </v:line>
          </w:pict>
        </mc:Fallback>
      </mc:AlternateContent>
    </w:r>
    <w:r w:rsidR="00A369F3" w:rsidRPr="00A369F3">
      <w:rPr>
        <w:bCs/>
        <w:lang w:val="fr-CH"/>
      </w:rPr>
      <w:t>L'éducation inclusive au secondaire II</w:t>
    </w:r>
    <w:r w:rsidR="007B448B">
      <w:rPr>
        <w:lang w:val="fr-CH"/>
      </w:rPr>
      <w:tab/>
    </w:r>
    <w:r w:rsidR="007B448B">
      <w:rPr>
        <w:lang w:val="fr-CH"/>
      </w:rPr>
      <w:tab/>
    </w:r>
    <w:r w:rsidR="007B448B" w:rsidRPr="00ED473A">
      <w:rPr>
        <w:b w:val="0"/>
        <w:bCs/>
        <w:lang w:val="fr-CH"/>
      </w:rPr>
      <w:t xml:space="preserve">Revue Suisse de Pédagogie Spécialisée, Vol. </w:t>
    </w:r>
    <w:r w:rsidR="00037AE3">
      <w:rPr>
        <w:b w:val="0"/>
        <w:bCs/>
        <w:lang w:val="fr-CH"/>
      </w:rPr>
      <w:t>1</w:t>
    </w:r>
    <w:r w:rsidR="0022028B">
      <w:rPr>
        <w:b w:val="0"/>
        <w:bCs/>
        <w:lang w:val="fr-CH"/>
      </w:rPr>
      <w:t>5</w:t>
    </w:r>
    <w:r w:rsidR="007B448B" w:rsidRPr="00ED473A">
      <w:rPr>
        <w:b w:val="0"/>
        <w:bCs/>
        <w:lang w:val="fr-CH"/>
      </w:rPr>
      <w:t xml:space="preserve">, </w:t>
    </w:r>
    <w:r w:rsidR="00037AE3">
      <w:rPr>
        <w:b w:val="0"/>
        <w:bCs/>
        <w:lang w:val="fr-CH"/>
      </w:rPr>
      <w:t>0</w:t>
    </w:r>
    <w:r w:rsidR="00EE011B">
      <w:rPr>
        <w:b w:val="0"/>
        <w:bCs/>
        <w:lang w:val="fr-CH"/>
      </w:rPr>
      <w:t>3</w:t>
    </w:r>
    <w:r w:rsidR="007B448B" w:rsidRPr="00ED473A">
      <w:rPr>
        <w:b w:val="0"/>
        <w:bCs/>
        <w:lang w:val="fr-CH"/>
      </w:rPr>
      <w:t>/</w:t>
    </w:r>
    <w:r w:rsidR="00037AE3">
      <w:rPr>
        <w:b w:val="0"/>
        <w:bCs/>
        <w:lang w:val="fr-CH"/>
      </w:rPr>
      <w:t>202</w:t>
    </w:r>
    <w:r w:rsidR="0022028B">
      <w:rPr>
        <w:b w:val="0"/>
        <w:bCs/>
        <w:lang w:val="fr-CH"/>
      </w:rPr>
      <w:t>5</w:t>
    </w:r>
  </w:p>
  <w:p w14:paraId="40D4AABC" w14:textId="06B0202D" w:rsidR="004B3A29" w:rsidRPr="00ED473A" w:rsidRDefault="00B7489C" w:rsidP="007B448B">
    <w:pPr>
      <w:pStyle w:val="Themenschwerpunkt"/>
      <w:rPr>
        <w:b w:val="0"/>
        <w:bCs/>
        <w:lang w:val="fr-CH"/>
      </w:rPr>
    </w:pPr>
    <w:r w:rsidRPr="006555BD">
      <w:rPr>
        <w:b w:val="0"/>
        <w:bCs/>
        <w:lang w:val="fr-CH"/>
      </w:rPr>
      <w:t xml:space="preserve">| </w:t>
    </w:r>
    <w:r w:rsidR="00037CE0">
      <w:rPr>
        <w:b w:val="0"/>
        <w:bCs/>
        <w:lang w:val="fr-CH"/>
      </w:rPr>
      <w:t>TRIBUNE LIBRE</w:t>
    </w:r>
    <w:r w:rsidR="00B71621" w:rsidRPr="006555BD">
      <w:rPr>
        <w:b w:val="0"/>
        <w:bCs/>
        <w:lang w:val="fr-CH"/>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2F94B1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90BD6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E43E9F38"/>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1280112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8DA217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F7FE506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43C6BCC"/>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2214A9E"/>
    <w:multiLevelType w:val="multilevel"/>
    <w:tmpl w:val="08BA4C14"/>
    <w:styleLink w:val="ArticleSection"/>
    <w:lvl w:ilvl="0">
      <w:start w:val="1"/>
      <w:numFmt w:val="none"/>
      <w:lvlText w:val=""/>
      <w:lvlJc w:val="left"/>
      <w:pPr>
        <w:ind w:left="0" w:firstLine="0"/>
      </w:pPr>
      <w:rPr>
        <w:rFonts w:ascii="Open Sans SemiCondensed" w:hAnsi="Open Sans SemiCondensed" w:hint="default"/>
      </w:rPr>
    </w:lvl>
    <w:lvl w:ilvl="1">
      <w:start w:val="1"/>
      <w:numFmt w:val="none"/>
      <w:isLgl/>
      <w:lvlText w:val=""/>
      <w:lvlJc w:val="left"/>
      <w:pPr>
        <w:ind w:left="0" w:firstLine="0"/>
      </w:pPr>
      <w:rPr>
        <w:rFonts w:ascii="Open Sans SemiCondensed" w:hAnsi="Open Sans SemiCondensed" w:hint="default"/>
      </w:rPr>
    </w:lvl>
    <w:lvl w:ilvl="2">
      <w:start w:val="1"/>
      <w:numFmt w:val="none"/>
      <w:lvlText w:val=""/>
      <w:lvlJc w:val="left"/>
      <w:pPr>
        <w:ind w:left="0" w:firstLine="0"/>
      </w:pPr>
      <w:rPr>
        <w:rFonts w:ascii="Open Sans SemiCondensed" w:hAnsi="Open Sans SemiCondensed" w:hint="default"/>
      </w:rPr>
    </w:lvl>
    <w:lvl w:ilvl="3">
      <w:start w:val="1"/>
      <w:numFmt w:val="none"/>
      <w:pStyle w:val="Titre4"/>
      <w:lvlText w:val=""/>
      <w:lvlJc w:val="right"/>
      <w:pPr>
        <w:ind w:left="0" w:firstLine="0"/>
      </w:pPr>
      <w:rPr>
        <w:rFonts w:ascii="Open Sans SemiCondensed" w:hAnsi="Open Sans SemiCondensed" w:hint="default"/>
      </w:rPr>
    </w:lvl>
    <w:lvl w:ilvl="4">
      <w:start w:val="1"/>
      <w:numFmt w:val="none"/>
      <w:pStyle w:val="Titre5"/>
      <w:lvlText w:val=""/>
      <w:lvlJc w:val="left"/>
      <w:pPr>
        <w:ind w:left="0" w:firstLine="0"/>
      </w:pPr>
      <w:rPr>
        <w:rFonts w:ascii="Open Sans SemiCondensed" w:hAnsi="Open Sans SemiCondensed" w:hint="default"/>
      </w:rPr>
    </w:lvl>
    <w:lvl w:ilvl="5">
      <w:start w:val="1"/>
      <w:numFmt w:val="none"/>
      <w:pStyle w:val="Titre6"/>
      <w:lvlText w:val=""/>
      <w:lvlJc w:val="left"/>
      <w:pPr>
        <w:ind w:left="0" w:firstLine="0"/>
      </w:pPr>
      <w:rPr>
        <w:rFonts w:ascii="Open Sans SemiCondensed" w:hAnsi="Open Sans SemiCondensed" w:hint="default"/>
      </w:rPr>
    </w:lvl>
    <w:lvl w:ilvl="6">
      <w:start w:val="1"/>
      <w:numFmt w:val="none"/>
      <w:pStyle w:val="Titre7"/>
      <w:lvlText w:val=""/>
      <w:lvlJc w:val="right"/>
      <w:pPr>
        <w:ind w:left="0" w:firstLine="0"/>
      </w:pPr>
      <w:rPr>
        <w:rFonts w:ascii="Open Sans SemiCondensed" w:hAnsi="Open Sans SemiCondensed" w:hint="default"/>
      </w:rPr>
    </w:lvl>
    <w:lvl w:ilvl="7">
      <w:start w:val="1"/>
      <w:numFmt w:val="none"/>
      <w:pStyle w:val="Titre8"/>
      <w:lvlText w:val=""/>
      <w:lvlJc w:val="left"/>
      <w:pPr>
        <w:ind w:left="0" w:firstLine="0"/>
      </w:pPr>
      <w:rPr>
        <w:rFonts w:ascii="Open Sans SemiCondensed" w:hAnsi="Open Sans SemiCondensed" w:hint="default"/>
      </w:rPr>
    </w:lvl>
    <w:lvl w:ilvl="8">
      <w:start w:val="1"/>
      <w:numFmt w:val="none"/>
      <w:pStyle w:val="Titre9"/>
      <w:lvlText w:val=""/>
      <w:lvlJc w:val="right"/>
      <w:pPr>
        <w:ind w:left="0" w:firstLine="0"/>
      </w:pPr>
      <w:rPr>
        <w:rFonts w:ascii="Open Sans SemiCondensed" w:hAnsi="Open Sans SemiCondensed" w:hint="default"/>
      </w:rPr>
    </w:lvl>
  </w:abstractNum>
  <w:abstractNum w:abstractNumId="8" w15:restartNumberingAfterBreak="0">
    <w:nsid w:val="06342E5D"/>
    <w:multiLevelType w:val="multilevel"/>
    <w:tmpl w:val="8DD24444"/>
    <w:lvl w:ilvl="0">
      <w:start w:val="1"/>
      <w:numFmt w:val="bullet"/>
      <w:pStyle w:val="Liste"/>
      <w:lvlText w:val=""/>
      <w:lvlJc w:val="left"/>
      <w:pPr>
        <w:ind w:left="169" w:hanging="227"/>
      </w:pPr>
      <w:rPr>
        <w:rFonts w:ascii="Symbol" w:hAnsi="Symbol" w:hint="default"/>
      </w:rPr>
    </w:lvl>
    <w:lvl w:ilvl="1">
      <w:start w:val="1"/>
      <w:numFmt w:val="bullet"/>
      <w:pStyle w:val="Liste2"/>
      <w:lvlText w:val="o"/>
      <w:lvlJc w:val="left"/>
      <w:pPr>
        <w:ind w:left="339" w:hanging="170"/>
      </w:pPr>
      <w:rPr>
        <w:rFonts w:ascii="Courier New" w:hAnsi="Courier New" w:hint="default"/>
      </w:rPr>
    </w:lvl>
    <w:lvl w:ilvl="2">
      <w:start w:val="1"/>
      <w:numFmt w:val="bullet"/>
      <w:pStyle w:val="Liste3"/>
      <w:lvlText w:val=""/>
      <w:lvlJc w:val="left"/>
      <w:pPr>
        <w:ind w:left="509" w:hanging="170"/>
      </w:pPr>
      <w:rPr>
        <w:rFonts w:ascii="Symbol" w:hAnsi="Symbol" w:hint="default"/>
        <w:color w:val="auto"/>
      </w:rPr>
    </w:lvl>
    <w:lvl w:ilvl="3">
      <w:start w:val="1"/>
      <w:numFmt w:val="decimal"/>
      <w:lvlText w:val="(%4)"/>
      <w:lvlJc w:val="left"/>
      <w:pPr>
        <w:ind w:left="1212" w:hanging="360"/>
      </w:pPr>
      <w:rPr>
        <w:rFonts w:hint="default"/>
      </w:rPr>
    </w:lvl>
    <w:lvl w:ilvl="4">
      <w:start w:val="1"/>
      <w:numFmt w:val="lowerLetter"/>
      <w:lvlText w:val="(%5)"/>
      <w:lvlJc w:val="left"/>
      <w:pPr>
        <w:ind w:left="1572" w:hanging="360"/>
      </w:pPr>
      <w:rPr>
        <w:rFonts w:hint="default"/>
      </w:rPr>
    </w:lvl>
    <w:lvl w:ilvl="5">
      <w:start w:val="1"/>
      <w:numFmt w:val="lowerRoman"/>
      <w:lvlText w:val="(%6)"/>
      <w:lvlJc w:val="left"/>
      <w:pPr>
        <w:ind w:left="1932" w:hanging="360"/>
      </w:pPr>
      <w:rPr>
        <w:rFonts w:hint="default"/>
      </w:rPr>
    </w:lvl>
    <w:lvl w:ilvl="6">
      <w:start w:val="1"/>
      <w:numFmt w:val="decimal"/>
      <w:lvlText w:val="%7."/>
      <w:lvlJc w:val="left"/>
      <w:pPr>
        <w:ind w:left="2292" w:hanging="360"/>
      </w:pPr>
      <w:rPr>
        <w:rFonts w:hint="default"/>
      </w:rPr>
    </w:lvl>
    <w:lvl w:ilvl="7">
      <w:start w:val="1"/>
      <w:numFmt w:val="lowerLetter"/>
      <w:lvlText w:val="%8."/>
      <w:lvlJc w:val="left"/>
      <w:pPr>
        <w:ind w:left="2652" w:hanging="360"/>
      </w:pPr>
      <w:rPr>
        <w:rFonts w:hint="default"/>
      </w:rPr>
    </w:lvl>
    <w:lvl w:ilvl="8">
      <w:start w:val="1"/>
      <w:numFmt w:val="lowerRoman"/>
      <w:lvlText w:val="%9."/>
      <w:lvlJc w:val="left"/>
      <w:pPr>
        <w:ind w:left="3012" w:hanging="360"/>
      </w:pPr>
      <w:rPr>
        <w:rFonts w:hint="default"/>
      </w:rPr>
    </w:lvl>
  </w:abstractNum>
  <w:abstractNum w:abstractNumId="9" w15:restartNumberingAfterBreak="0">
    <w:nsid w:val="492B3CF3"/>
    <w:multiLevelType w:val="multilevel"/>
    <w:tmpl w:val="D16CDD2E"/>
    <w:lvl w:ilvl="0">
      <w:start w:val="1"/>
      <w:numFmt w:val="decimal"/>
      <w:pStyle w:val="Listenumros"/>
      <w:lvlText w:val="%1."/>
      <w:lvlJc w:val="left"/>
      <w:pPr>
        <w:ind w:left="360" w:hanging="360"/>
      </w:pPr>
    </w:lvl>
    <w:lvl w:ilvl="1">
      <w:start w:val="1"/>
      <w:numFmt w:val="decimal"/>
      <w:pStyle w:val="Listenumros2"/>
      <w:lvlText w:val="%1.%2."/>
      <w:lvlJc w:val="left"/>
      <w:pPr>
        <w:ind w:left="792" w:hanging="432"/>
      </w:pPr>
    </w:lvl>
    <w:lvl w:ilvl="2">
      <w:start w:val="1"/>
      <w:numFmt w:val="decimal"/>
      <w:pStyle w:val="Listenumro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16487952">
    <w:abstractNumId w:val="8"/>
  </w:num>
  <w:num w:numId="2" w16cid:durableId="379716589">
    <w:abstractNumId w:val="9"/>
  </w:num>
  <w:num w:numId="3" w16cid:durableId="1479614155">
    <w:abstractNumId w:val="7"/>
  </w:num>
  <w:num w:numId="4" w16cid:durableId="1565948940">
    <w:abstractNumId w:val="6"/>
  </w:num>
  <w:num w:numId="5" w16cid:durableId="1253776871">
    <w:abstractNumId w:val="5"/>
  </w:num>
  <w:num w:numId="6" w16cid:durableId="24789325">
    <w:abstractNumId w:val="4"/>
  </w:num>
  <w:num w:numId="7" w16cid:durableId="963149725">
    <w:abstractNumId w:val="3"/>
  </w:num>
  <w:num w:numId="8" w16cid:durableId="630404490">
    <w:abstractNumId w:val="2"/>
  </w:num>
  <w:num w:numId="9" w16cid:durableId="788164402">
    <w:abstractNumId w:val="1"/>
  </w:num>
  <w:num w:numId="10" w16cid:durableId="1188956421">
    <w:abstractNumId w:val="0"/>
  </w:num>
  <w:num w:numId="11" w16cid:durableId="1527865735">
    <w:abstractNumId w:val="1"/>
  </w:num>
  <w:num w:numId="12" w16cid:durableId="1338270911">
    <w:abstractNumId w:val="0"/>
  </w:num>
  <w:num w:numId="13" w16cid:durableId="943077432">
    <w:abstractNumId w:val="1"/>
  </w:num>
  <w:num w:numId="14" w16cid:durableId="828712783">
    <w:abstractNumId w:val="0"/>
  </w:num>
  <w:num w:numId="15" w16cid:durableId="1013724478">
    <w:abstractNumId w:val="1"/>
  </w:num>
  <w:num w:numId="16" w16cid:durableId="740450407">
    <w:abstractNumId w:val="0"/>
  </w:num>
  <w:num w:numId="17" w16cid:durableId="687290937">
    <w:abstractNumId w:val="1"/>
  </w:num>
  <w:num w:numId="18" w16cid:durableId="1955792196">
    <w:abstractNumId w:val="0"/>
  </w:num>
  <w:num w:numId="19" w16cid:durableId="2101021855">
    <w:abstractNumId w:val="1"/>
  </w:num>
  <w:num w:numId="20" w16cid:durableId="41248551">
    <w:abstractNumId w:val="0"/>
  </w:num>
  <w:num w:numId="21" w16cid:durableId="1307668092">
    <w:abstractNumId w:val="1"/>
  </w:num>
  <w:num w:numId="22" w16cid:durableId="2002152956">
    <w:abstractNumId w:val="0"/>
  </w:num>
  <w:num w:numId="23" w16cid:durableId="1531720148">
    <w:abstractNumId w:val="1"/>
  </w:num>
  <w:num w:numId="24" w16cid:durableId="1663660439">
    <w:abstractNumId w:val="0"/>
  </w:num>
  <w:num w:numId="25" w16cid:durableId="1191257238">
    <w:abstractNumId w:val="1"/>
  </w:num>
  <w:num w:numId="26" w16cid:durableId="1315141319">
    <w:abstractNumId w:val="0"/>
  </w:num>
  <w:num w:numId="27" w16cid:durableId="28145341">
    <w:abstractNumId w:val="1"/>
  </w:num>
  <w:num w:numId="28" w16cid:durableId="1309016650">
    <w:abstractNumId w:val="0"/>
  </w:num>
  <w:num w:numId="29" w16cid:durableId="1824006597">
    <w:abstractNumId w:val="1"/>
  </w:num>
  <w:num w:numId="30" w16cid:durableId="78114607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2"/>
  <w:defaultTabStop w:val="720"/>
  <w:autoHyphenation/>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58B6"/>
    <w:rsid w:val="00016BFF"/>
    <w:rsid w:val="00024143"/>
    <w:rsid w:val="000302CB"/>
    <w:rsid w:val="0003314D"/>
    <w:rsid w:val="000352CE"/>
    <w:rsid w:val="00037AE3"/>
    <w:rsid w:val="00037CE0"/>
    <w:rsid w:val="00046BAC"/>
    <w:rsid w:val="00053353"/>
    <w:rsid w:val="000759D7"/>
    <w:rsid w:val="00077AD9"/>
    <w:rsid w:val="00096F04"/>
    <w:rsid w:val="000B5BB8"/>
    <w:rsid w:val="000E4A4F"/>
    <w:rsid w:val="000E6A66"/>
    <w:rsid w:val="000F0036"/>
    <w:rsid w:val="000F0956"/>
    <w:rsid w:val="000F4B54"/>
    <w:rsid w:val="000F5288"/>
    <w:rsid w:val="0010019C"/>
    <w:rsid w:val="0010334E"/>
    <w:rsid w:val="001068C9"/>
    <w:rsid w:val="00107499"/>
    <w:rsid w:val="001114E2"/>
    <w:rsid w:val="001150A5"/>
    <w:rsid w:val="00115EF5"/>
    <w:rsid w:val="001161D6"/>
    <w:rsid w:val="00120CBF"/>
    <w:rsid w:val="00145A6E"/>
    <w:rsid w:val="00151BCA"/>
    <w:rsid w:val="00153133"/>
    <w:rsid w:val="00157D7E"/>
    <w:rsid w:val="00167858"/>
    <w:rsid w:val="001752BD"/>
    <w:rsid w:val="0018622D"/>
    <w:rsid w:val="00190379"/>
    <w:rsid w:val="001940D5"/>
    <w:rsid w:val="001A0E58"/>
    <w:rsid w:val="001A2EEC"/>
    <w:rsid w:val="001B05BD"/>
    <w:rsid w:val="001B16E8"/>
    <w:rsid w:val="001B25F3"/>
    <w:rsid w:val="001B7781"/>
    <w:rsid w:val="001D3BFB"/>
    <w:rsid w:val="001E3BE9"/>
    <w:rsid w:val="001F314A"/>
    <w:rsid w:val="002004A4"/>
    <w:rsid w:val="00202A19"/>
    <w:rsid w:val="0020467E"/>
    <w:rsid w:val="0022028B"/>
    <w:rsid w:val="002329B5"/>
    <w:rsid w:val="00235A6C"/>
    <w:rsid w:val="0024435C"/>
    <w:rsid w:val="002443A6"/>
    <w:rsid w:val="00267741"/>
    <w:rsid w:val="00276B2C"/>
    <w:rsid w:val="0028189E"/>
    <w:rsid w:val="00284EA0"/>
    <w:rsid w:val="002862AA"/>
    <w:rsid w:val="002A4E4F"/>
    <w:rsid w:val="002C5235"/>
    <w:rsid w:val="002E13B6"/>
    <w:rsid w:val="002E5374"/>
    <w:rsid w:val="002F2CC4"/>
    <w:rsid w:val="0030447C"/>
    <w:rsid w:val="003044F9"/>
    <w:rsid w:val="00307EC7"/>
    <w:rsid w:val="003149AF"/>
    <w:rsid w:val="00320F73"/>
    <w:rsid w:val="00322024"/>
    <w:rsid w:val="003222A6"/>
    <w:rsid w:val="00326A6C"/>
    <w:rsid w:val="0032773B"/>
    <w:rsid w:val="00332C27"/>
    <w:rsid w:val="0034386D"/>
    <w:rsid w:val="003474D8"/>
    <w:rsid w:val="00365730"/>
    <w:rsid w:val="00372175"/>
    <w:rsid w:val="00377337"/>
    <w:rsid w:val="003774E0"/>
    <w:rsid w:val="003819B7"/>
    <w:rsid w:val="00382314"/>
    <w:rsid w:val="00383074"/>
    <w:rsid w:val="00386CFF"/>
    <w:rsid w:val="003A0EA7"/>
    <w:rsid w:val="003A2717"/>
    <w:rsid w:val="003B4C81"/>
    <w:rsid w:val="003C18A3"/>
    <w:rsid w:val="003D221C"/>
    <w:rsid w:val="003D502F"/>
    <w:rsid w:val="003E022D"/>
    <w:rsid w:val="003E0578"/>
    <w:rsid w:val="003F29DB"/>
    <w:rsid w:val="003F5B1B"/>
    <w:rsid w:val="003F6A6B"/>
    <w:rsid w:val="003F78C2"/>
    <w:rsid w:val="00401236"/>
    <w:rsid w:val="004027D5"/>
    <w:rsid w:val="00404F18"/>
    <w:rsid w:val="00406FA6"/>
    <w:rsid w:val="004108D3"/>
    <w:rsid w:val="00414332"/>
    <w:rsid w:val="00421D05"/>
    <w:rsid w:val="00423A4E"/>
    <w:rsid w:val="0042486F"/>
    <w:rsid w:val="00425DB8"/>
    <w:rsid w:val="00426606"/>
    <w:rsid w:val="00441F45"/>
    <w:rsid w:val="0045144F"/>
    <w:rsid w:val="00453D1B"/>
    <w:rsid w:val="00454BCF"/>
    <w:rsid w:val="00456EE0"/>
    <w:rsid w:val="00467E46"/>
    <w:rsid w:val="0047168D"/>
    <w:rsid w:val="00472639"/>
    <w:rsid w:val="00480CFD"/>
    <w:rsid w:val="00483527"/>
    <w:rsid w:val="00486270"/>
    <w:rsid w:val="0049245D"/>
    <w:rsid w:val="004A2854"/>
    <w:rsid w:val="004B0083"/>
    <w:rsid w:val="004B1834"/>
    <w:rsid w:val="004B29F8"/>
    <w:rsid w:val="004B3001"/>
    <w:rsid w:val="004B3A29"/>
    <w:rsid w:val="004C125C"/>
    <w:rsid w:val="004C13EB"/>
    <w:rsid w:val="004C1661"/>
    <w:rsid w:val="004C4A76"/>
    <w:rsid w:val="004D542D"/>
    <w:rsid w:val="004D58AC"/>
    <w:rsid w:val="004E232F"/>
    <w:rsid w:val="004E307D"/>
    <w:rsid w:val="004F004E"/>
    <w:rsid w:val="004F5C23"/>
    <w:rsid w:val="00504275"/>
    <w:rsid w:val="005055D5"/>
    <w:rsid w:val="005155F5"/>
    <w:rsid w:val="005212B5"/>
    <w:rsid w:val="00521559"/>
    <w:rsid w:val="00530E98"/>
    <w:rsid w:val="00533DA1"/>
    <w:rsid w:val="00546490"/>
    <w:rsid w:val="0055561F"/>
    <w:rsid w:val="0056578A"/>
    <w:rsid w:val="0056595B"/>
    <w:rsid w:val="00571C0D"/>
    <w:rsid w:val="00572C4C"/>
    <w:rsid w:val="0057605E"/>
    <w:rsid w:val="00576E09"/>
    <w:rsid w:val="00577261"/>
    <w:rsid w:val="00577468"/>
    <w:rsid w:val="00581DB2"/>
    <w:rsid w:val="00585ED0"/>
    <w:rsid w:val="005876D2"/>
    <w:rsid w:val="00594747"/>
    <w:rsid w:val="00594844"/>
    <w:rsid w:val="005A358B"/>
    <w:rsid w:val="005A646E"/>
    <w:rsid w:val="005A6F41"/>
    <w:rsid w:val="005A7AE7"/>
    <w:rsid w:val="005B3CEF"/>
    <w:rsid w:val="005B50BB"/>
    <w:rsid w:val="005B70A0"/>
    <w:rsid w:val="005C1AF8"/>
    <w:rsid w:val="005D15B8"/>
    <w:rsid w:val="005E150A"/>
    <w:rsid w:val="005E7DD5"/>
    <w:rsid w:val="00606956"/>
    <w:rsid w:val="006111D5"/>
    <w:rsid w:val="006111F5"/>
    <w:rsid w:val="00612609"/>
    <w:rsid w:val="0062052B"/>
    <w:rsid w:val="00623E11"/>
    <w:rsid w:val="00625958"/>
    <w:rsid w:val="00636563"/>
    <w:rsid w:val="00640722"/>
    <w:rsid w:val="006411DE"/>
    <w:rsid w:val="006448C5"/>
    <w:rsid w:val="006555BD"/>
    <w:rsid w:val="006644A2"/>
    <w:rsid w:val="006676E2"/>
    <w:rsid w:val="00682B8C"/>
    <w:rsid w:val="00685EB4"/>
    <w:rsid w:val="00694B9D"/>
    <w:rsid w:val="00697A8D"/>
    <w:rsid w:val="006A0893"/>
    <w:rsid w:val="006A2BB4"/>
    <w:rsid w:val="006A4C05"/>
    <w:rsid w:val="006B1497"/>
    <w:rsid w:val="006B5540"/>
    <w:rsid w:val="006C2B84"/>
    <w:rsid w:val="006C3DFC"/>
    <w:rsid w:val="006D2659"/>
    <w:rsid w:val="006D5529"/>
    <w:rsid w:val="006D5D28"/>
    <w:rsid w:val="006D6139"/>
    <w:rsid w:val="006D6DE7"/>
    <w:rsid w:val="006E210A"/>
    <w:rsid w:val="006E260B"/>
    <w:rsid w:val="006E3341"/>
    <w:rsid w:val="006E6F96"/>
    <w:rsid w:val="006F16F6"/>
    <w:rsid w:val="00702BE5"/>
    <w:rsid w:val="007155B8"/>
    <w:rsid w:val="00730FF5"/>
    <w:rsid w:val="007373E7"/>
    <w:rsid w:val="00740D90"/>
    <w:rsid w:val="007424F5"/>
    <w:rsid w:val="0074442C"/>
    <w:rsid w:val="00760ECF"/>
    <w:rsid w:val="007708B2"/>
    <w:rsid w:val="00774E7B"/>
    <w:rsid w:val="007767B1"/>
    <w:rsid w:val="00777A2F"/>
    <w:rsid w:val="007863A8"/>
    <w:rsid w:val="00787B6E"/>
    <w:rsid w:val="007A3489"/>
    <w:rsid w:val="007A75E1"/>
    <w:rsid w:val="007B448B"/>
    <w:rsid w:val="007B4F54"/>
    <w:rsid w:val="007B5701"/>
    <w:rsid w:val="007B62B5"/>
    <w:rsid w:val="007B6CBF"/>
    <w:rsid w:val="007C5AB3"/>
    <w:rsid w:val="007E49AC"/>
    <w:rsid w:val="007E78D0"/>
    <w:rsid w:val="007F43B0"/>
    <w:rsid w:val="007F5E1D"/>
    <w:rsid w:val="008051C0"/>
    <w:rsid w:val="00812E94"/>
    <w:rsid w:val="008152E5"/>
    <w:rsid w:val="00816F58"/>
    <w:rsid w:val="00822118"/>
    <w:rsid w:val="0082318F"/>
    <w:rsid w:val="00830A17"/>
    <w:rsid w:val="008330E0"/>
    <w:rsid w:val="008351F7"/>
    <w:rsid w:val="00845B00"/>
    <w:rsid w:val="00853805"/>
    <w:rsid w:val="00855097"/>
    <w:rsid w:val="00870508"/>
    <w:rsid w:val="0087062D"/>
    <w:rsid w:val="0088263C"/>
    <w:rsid w:val="00882B9B"/>
    <w:rsid w:val="008854C8"/>
    <w:rsid w:val="00890829"/>
    <w:rsid w:val="00891E7D"/>
    <w:rsid w:val="008924D4"/>
    <w:rsid w:val="008934B9"/>
    <w:rsid w:val="008A2229"/>
    <w:rsid w:val="008B0755"/>
    <w:rsid w:val="008C295E"/>
    <w:rsid w:val="008C6B98"/>
    <w:rsid w:val="008C6EDB"/>
    <w:rsid w:val="008C7423"/>
    <w:rsid w:val="008C7CBA"/>
    <w:rsid w:val="008D167F"/>
    <w:rsid w:val="008D1807"/>
    <w:rsid w:val="008D5616"/>
    <w:rsid w:val="008D5D95"/>
    <w:rsid w:val="008F2E4E"/>
    <w:rsid w:val="008F4954"/>
    <w:rsid w:val="009101F9"/>
    <w:rsid w:val="009113C7"/>
    <w:rsid w:val="00911AD9"/>
    <w:rsid w:val="00912E02"/>
    <w:rsid w:val="00914652"/>
    <w:rsid w:val="00920846"/>
    <w:rsid w:val="00920A21"/>
    <w:rsid w:val="00926158"/>
    <w:rsid w:val="00933E06"/>
    <w:rsid w:val="00943B46"/>
    <w:rsid w:val="00944DCE"/>
    <w:rsid w:val="009552F9"/>
    <w:rsid w:val="009660DC"/>
    <w:rsid w:val="00967D5F"/>
    <w:rsid w:val="00985126"/>
    <w:rsid w:val="0098754E"/>
    <w:rsid w:val="009A7FF6"/>
    <w:rsid w:val="009B71FE"/>
    <w:rsid w:val="009C64A7"/>
    <w:rsid w:val="009C6886"/>
    <w:rsid w:val="009D0CF3"/>
    <w:rsid w:val="009D0F41"/>
    <w:rsid w:val="009D4CCF"/>
    <w:rsid w:val="009E075D"/>
    <w:rsid w:val="009E1C93"/>
    <w:rsid w:val="009E5005"/>
    <w:rsid w:val="009F4CD6"/>
    <w:rsid w:val="009F6A07"/>
    <w:rsid w:val="009F7190"/>
    <w:rsid w:val="00A10362"/>
    <w:rsid w:val="00A11404"/>
    <w:rsid w:val="00A1263F"/>
    <w:rsid w:val="00A25C40"/>
    <w:rsid w:val="00A369F3"/>
    <w:rsid w:val="00A37E53"/>
    <w:rsid w:val="00A44412"/>
    <w:rsid w:val="00A50A1E"/>
    <w:rsid w:val="00A543D6"/>
    <w:rsid w:val="00A55E72"/>
    <w:rsid w:val="00A61330"/>
    <w:rsid w:val="00A65094"/>
    <w:rsid w:val="00A828E1"/>
    <w:rsid w:val="00A978F0"/>
    <w:rsid w:val="00AA283D"/>
    <w:rsid w:val="00AA2F41"/>
    <w:rsid w:val="00AA3192"/>
    <w:rsid w:val="00AA7D4C"/>
    <w:rsid w:val="00AB10A4"/>
    <w:rsid w:val="00AB5D15"/>
    <w:rsid w:val="00AB66FC"/>
    <w:rsid w:val="00AB6A6F"/>
    <w:rsid w:val="00AB7501"/>
    <w:rsid w:val="00AB7D82"/>
    <w:rsid w:val="00AC20F1"/>
    <w:rsid w:val="00AD1145"/>
    <w:rsid w:val="00AE4962"/>
    <w:rsid w:val="00AE583E"/>
    <w:rsid w:val="00AE5D15"/>
    <w:rsid w:val="00AE631D"/>
    <w:rsid w:val="00AF05B3"/>
    <w:rsid w:val="00AF16EB"/>
    <w:rsid w:val="00AF2057"/>
    <w:rsid w:val="00AF6484"/>
    <w:rsid w:val="00B0040D"/>
    <w:rsid w:val="00B06553"/>
    <w:rsid w:val="00B07616"/>
    <w:rsid w:val="00B23FEC"/>
    <w:rsid w:val="00B24B6A"/>
    <w:rsid w:val="00B30DED"/>
    <w:rsid w:val="00B36B14"/>
    <w:rsid w:val="00B441B9"/>
    <w:rsid w:val="00B50E21"/>
    <w:rsid w:val="00B54E5C"/>
    <w:rsid w:val="00B71621"/>
    <w:rsid w:val="00B7489C"/>
    <w:rsid w:val="00B74F64"/>
    <w:rsid w:val="00B7596B"/>
    <w:rsid w:val="00B94BC3"/>
    <w:rsid w:val="00B97AD1"/>
    <w:rsid w:val="00BA5131"/>
    <w:rsid w:val="00BB1818"/>
    <w:rsid w:val="00BB3270"/>
    <w:rsid w:val="00BC32F4"/>
    <w:rsid w:val="00BD42B2"/>
    <w:rsid w:val="00BD4FAD"/>
    <w:rsid w:val="00BD74F7"/>
    <w:rsid w:val="00C201F8"/>
    <w:rsid w:val="00C24833"/>
    <w:rsid w:val="00C27A46"/>
    <w:rsid w:val="00C350DC"/>
    <w:rsid w:val="00C37320"/>
    <w:rsid w:val="00C37E6A"/>
    <w:rsid w:val="00C43705"/>
    <w:rsid w:val="00C50710"/>
    <w:rsid w:val="00C54B75"/>
    <w:rsid w:val="00C6024F"/>
    <w:rsid w:val="00C63ADB"/>
    <w:rsid w:val="00C71137"/>
    <w:rsid w:val="00C72144"/>
    <w:rsid w:val="00C77878"/>
    <w:rsid w:val="00C77A77"/>
    <w:rsid w:val="00C85052"/>
    <w:rsid w:val="00C90953"/>
    <w:rsid w:val="00C9392D"/>
    <w:rsid w:val="00CB5A11"/>
    <w:rsid w:val="00CC1689"/>
    <w:rsid w:val="00CD58B6"/>
    <w:rsid w:val="00CD5979"/>
    <w:rsid w:val="00CD6EAC"/>
    <w:rsid w:val="00CF4C21"/>
    <w:rsid w:val="00CF6AAF"/>
    <w:rsid w:val="00CF788D"/>
    <w:rsid w:val="00D02DE1"/>
    <w:rsid w:val="00D05EC5"/>
    <w:rsid w:val="00D06CA4"/>
    <w:rsid w:val="00D06E15"/>
    <w:rsid w:val="00D13F7E"/>
    <w:rsid w:val="00D177DD"/>
    <w:rsid w:val="00D17F8E"/>
    <w:rsid w:val="00D20A56"/>
    <w:rsid w:val="00D2413C"/>
    <w:rsid w:val="00D27E23"/>
    <w:rsid w:val="00D30491"/>
    <w:rsid w:val="00D31D3E"/>
    <w:rsid w:val="00D33603"/>
    <w:rsid w:val="00D3441C"/>
    <w:rsid w:val="00D45554"/>
    <w:rsid w:val="00D50D1E"/>
    <w:rsid w:val="00D55316"/>
    <w:rsid w:val="00D614DC"/>
    <w:rsid w:val="00D65100"/>
    <w:rsid w:val="00D671BD"/>
    <w:rsid w:val="00D7389F"/>
    <w:rsid w:val="00D7472F"/>
    <w:rsid w:val="00D75B90"/>
    <w:rsid w:val="00D75D0A"/>
    <w:rsid w:val="00D90D8B"/>
    <w:rsid w:val="00D9463F"/>
    <w:rsid w:val="00D95641"/>
    <w:rsid w:val="00D969AF"/>
    <w:rsid w:val="00D97B87"/>
    <w:rsid w:val="00DA3CEB"/>
    <w:rsid w:val="00DA5A44"/>
    <w:rsid w:val="00DA6848"/>
    <w:rsid w:val="00DB085C"/>
    <w:rsid w:val="00DB17F7"/>
    <w:rsid w:val="00DB1F8B"/>
    <w:rsid w:val="00DB23E9"/>
    <w:rsid w:val="00DB5151"/>
    <w:rsid w:val="00DB5625"/>
    <w:rsid w:val="00DB6A47"/>
    <w:rsid w:val="00DC0AB5"/>
    <w:rsid w:val="00DC399A"/>
    <w:rsid w:val="00DC5390"/>
    <w:rsid w:val="00DE6B7F"/>
    <w:rsid w:val="00DF11B1"/>
    <w:rsid w:val="00DF5157"/>
    <w:rsid w:val="00E03695"/>
    <w:rsid w:val="00E23124"/>
    <w:rsid w:val="00E2679B"/>
    <w:rsid w:val="00E26F3D"/>
    <w:rsid w:val="00E3008C"/>
    <w:rsid w:val="00E31225"/>
    <w:rsid w:val="00E42E44"/>
    <w:rsid w:val="00E54DD0"/>
    <w:rsid w:val="00E5556A"/>
    <w:rsid w:val="00E6236B"/>
    <w:rsid w:val="00E717DF"/>
    <w:rsid w:val="00E7780E"/>
    <w:rsid w:val="00E8432C"/>
    <w:rsid w:val="00E8625B"/>
    <w:rsid w:val="00E9142E"/>
    <w:rsid w:val="00E96E69"/>
    <w:rsid w:val="00EA30F9"/>
    <w:rsid w:val="00EA4676"/>
    <w:rsid w:val="00EA484D"/>
    <w:rsid w:val="00EB480E"/>
    <w:rsid w:val="00EC0269"/>
    <w:rsid w:val="00EC0A4F"/>
    <w:rsid w:val="00ED473A"/>
    <w:rsid w:val="00EE011B"/>
    <w:rsid w:val="00EF4C1D"/>
    <w:rsid w:val="00EF7CFB"/>
    <w:rsid w:val="00F05464"/>
    <w:rsid w:val="00F1240C"/>
    <w:rsid w:val="00F1657B"/>
    <w:rsid w:val="00F34DEF"/>
    <w:rsid w:val="00F43625"/>
    <w:rsid w:val="00F47AD4"/>
    <w:rsid w:val="00F5302E"/>
    <w:rsid w:val="00F767F6"/>
    <w:rsid w:val="00F76CB2"/>
    <w:rsid w:val="00F83A13"/>
    <w:rsid w:val="00F85C6D"/>
    <w:rsid w:val="00F92372"/>
    <w:rsid w:val="00FA37D1"/>
    <w:rsid w:val="00FB2600"/>
    <w:rsid w:val="00FB2DAA"/>
    <w:rsid w:val="00FB48D2"/>
    <w:rsid w:val="00FB7742"/>
    <w:rsid w:val="00FC7953"/>
    <w:rsid w:val="00FD2E99"/>
    <w:rsid w:val="00FD4D67"/>
    <w:rsid w:val="00FD5708"/>
    <w:rsid w:val="00FD70FA"/>
    <w:rsid w:val="00FE57F9"/>
    <w:rsid w:val="00FF2E2B"/>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9FD04"/>
  <w15:docId w15:val="{90348AB1-E814-40F9-A76D-D153C8D2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Open Sans SemiCondensed" w:eastAsiaTheme="minorHAnsi" w:hAnsi="Open Sans SemiCondensed" w:cstheme="minorBidi"/>
        <w:spacing w:val="-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ibliography" w:semiHidden="1" w:unhideWhenUsed="1"/>
    <w:lsdException w:name="TOC Heading" w:semiHidden="1" w:unhideWhenUsed="1"/>
    <w:lsdException w:name="Grid Table 1 Light" w:uiPriority="4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53133"/>
    <w:pPr>
      <w:spacing w:after="0" w:line="276" w:lineRule="auto"/>
    </w:pPr>
    <w:rPr>
      <w:lang w:val="fr-CH"/>
    </w:rPr>
  </w:style>
  <w:style w:type="paragraph" w:styleId="Titre1">
    <w:name w:val="heading 1"/>
    <w:basedOn w:val="Normal"/>
    <w:next w:val="Corpsdetexte"/>
    <w:uiPriority w:val="1"/>
    <w:qFormat/>
    <w:rsid w:val="009E5005"/>
    <w:pPr>
      <w:keepNext/>
      <w:keepLines/>
      <w:spacing w:before="360" w:after="60"/>
      <w:contextualSpacing/>
      <w:outlineLvl w:val="0"/>
    </w:pPr>
    <w:rPr>
      <w:rFonts w:eastAsiaTheme="majorEastAsia" w:cs="Open Sans SemiCondensed"/>
      <w:b/>
      <w:bCs/>
      <w:color w:val="000000" w:themeColor="text1"/>
      <w:sz w:val="24"/>
      <w:szCs w:val="32"/>
    </w:rPr>
  </w:style>
  <w:style w:type="paragraph" w:styleId="Titre2">
    <w:name w:val="heading 2"/>
    <w:basedOn w:val="Normal"/>
    <w:next w:val="Corpsdetexte"/>
    <w:uiPriority w:val="9"/>
    <w:qFormat/>
    <w:rsid w:val="00855097"/>
    <w:pPr>
      <w:keepNext/>
      <w:keepLines/>
      <w:spacing w:before="240" w:after="60"/>
      <w:outlineLvl w:val="1"/>
    </w:pPr>
    <w:rPr>
      <w:rFonts w:eastAsiaTheme="majorEastAsia" w:cs="Open Sans SemiCondensed"/>
      <w:b/>
      <w:bCs/>
      <w:szCs w:val="24"/>
    </w:rPr>
  </w:style>
  <w:style w:type="paragraph" w:styleId="Titre3">
    <w:name w:val="heading 3"/>
    <w:basedOn w:val="Normal"/>
    <w:next w:val="Corpsdetexte"/>
    <w:uiPriority w:val="9"/>
    <w:qFormat/>
    <w:rsid w:val="009E5005"/>
    <w:pPr>
      <w:keepNext/>
      <w:keepLines/>
      <w:spacing w:before="120" w:after="60"/>
      <w:outlineLvl w:val="2"/>
    </w:pPr>
    <w:rPr>
      <w:rFonts w:eastAsiaTheme="majorEastAsia" w:cs="Open Sans SemiCondensed"/>
      <w:bCs/>
      <w:i/>
    </w:rPr>
  </w:style>
  <w:style w:type="paragraph" w:styleId="Titre4">
    <w:name w:val="heading 4"/>
    <w:basedOn w:val="Normal"/>
    <w:next w:val="Corpsdetexte"/>
    <w:uiPriority w:val="9"/>
    <w:unhideWhenUsed/>
    <w:rsid w:val="00153133"/>
    <w:pPr>
      <w:keepNext/>
      <w:keepLines/>
      <w:numPr>
        <w:ilvl w:val="3"/>
        <w:numId w:val="3"/>
      </w:numPr>
      <w:spacing w:before="200"/>
      <w:outlineLvl w:val="3"/>
    </w:pPr>
    <w:rPr>
      <w:rFonts w:eastAsiaTheme="majorEastAsia" w:cstheme="majorBidi"/>
      <w:bCs/>
      <w:i/>
      <w:sz w:val="24"/>
    </w:rPr>
  </w:style>
  <w:style w:type="paragraph" w:styleId="Titre5">
    <w:name w:val="heading 5"/>
    <w:basedOn w:val="Normal"/>
    <w:next w:val="Corpsdetexte"/>
    <w:uiPriority w:val="9"/>
    <w:unhideWhenUsed/>
    <w:rsid w:val="00153133"/>
    <w:pPr>
      <w:keepNext/>
      <w:keepLines/>
      <w:numPr>
        <w:ilvl w:val="4"/>
        <w:numId w:val="3"/>
      </w:numPr>
      <w:spacing w:before="200"/>
      <w:outlineLvl w:val="4"/>
    </w:pPr>
    <w:rPr>
      <w:rFonts w:eastAsiaTheme="majorEastAsia" w:cstheme="majorBidi"/>
      <w:iCs/>
      <w:sz w:val="24"/>
    </w:rPr>
  </w:style>
  <w:style w:type="paragraph" w:styleId="Titre6">
    <w:name w:val="heading 6"/>
    <w:basedOn w:val="Normal"/>
    <w:next w:val="Corpsdetexte"/>
    <w:uiPriority w:val="9"/>
    <w:unhideWhenUsed/>
    <w:rsid w:val="00153133"/>
    <w:pPr>
      <w:keepNext/>
      <w:keepLines/>
      <w:numPr>
        <w:ilvl w:val="5"/>
        <w:numId w:val="3"/>
      </w:numPr>
      <w:spacing w:before="200"/>
      <w:outlineLvl w:val="5"/>
    </w:pPr>
    <w:rPr>
      <w:rFonts w:eastAsiaTheme="majorEastAsia" w:cstheme="majorBidi"/>
      <w:sz w:val="24"/>
    </w:rPr>
  </w:style>
  <w:style w:type="paragraph" w:styleId="Titre7">
    <w:name w:val="heading 7"/>
    <w:basedOn w:val="Normal"/>
    <w:next w:val="Corpsdetexte"/>
    <w:uiPriority w:val="9"/>
    <w:unhideWhenUsed/>
    <w:rsid w:val="00153133"/>
    <w:pPr>
      <w:keepNext/>
      <w:keepLines/>
      <w:numPr>
        <w:ilvl w:val="6"/>
        <w:numId w:val="3"/>
      </w:numPr>
      <w:spacing w:before="200"/>
      <w:outlineLvl w:val="6"/>
    </w:pPr>
    <w:rPr>
      <w:rFonts w:eastAsiaTheme="majorEastAsia" w:cstheme="majorBidi"/>
      <w:sz w:val="24"/>
    </w:rPr>
  </w:style>
  <w:style w:type="paragraph" w:styleId="Titre8">
    <w:name w:val="heading 8"/>
    <w:basedOn w:val="Normal"/>
    <w:next w:val="Corpsdetexte"/>
    <w:uiPriority w:val="9"/>
    <w:unhideWhenUsed/>
    <w:rsid w:val="00153133"/>
    <w:pPr>
      <w:keepNext/>
      <w:keepLines/>
      <w:numPr>
        <w:ilvl w:val="7"/>
        <w:numId w:val="3"/>
      </w:numPr>
      <w:spacing w:before="200"/>
      <w:outlineLvl w:val="7"/>
    </w:pPr>
    <w:rPr>
      <w:rFonts w:eastAsiaTheme="majorEastAsia" w:cstheme="majorBidi"/>
      <w:sz w:val="24"/>
    </w:rPr>
  </w:style>
  <w:style w:type="paragraph" w:styleId="Titre9">
    <w:name w:val="heading 9"/>
    <w:basedOn w:val="Normal"/>
    <w:next w:val="Corpsdetexte"/>
    <w:uiPriority w:val="9"/>
    <w:unhideWhenUsed/>
    <w:rsid w:val="00153133"/>
    <w:pPr>
      <w:keepNext/>
      <w:keepLines/>
      <w:numPr>
        <w:ilvl w:val="8"/>
        <w:numId w:val="3"/>
      </w:numPr>
      <w:spacing w:before="200"/>
      <w:outlineLvl w:val="8"/>
    </w:pPr>
    <w:rPr>
      <w:rFonts w:eastAsiaTheme="majorEastAsia" w:cstheme="majorBidi"/>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qFormat/>
    <w:rsid w:val="007F5E1D"/>
    <w:pPr>
      <w:spacing w:before="60" w:after="60"/>
      <w:ind w:firstLine="170"/>
      <w:jc w:val="both"/>
    </w:pPr>
  </w:style>
  <w:style w:type="paragraph" w:customStyle="1" w:styleId="FirstParagraph">
    <w:name w:val="First Paragraph"/>
    <w:basedOn w:val="Corpsdetexte"/>
    <w:next w:val="Corpsdetexte"/>
  </w:style>
  <w:style w:type="paragraph" w:customStyle="1" w:styleId="Compact">
    <w:name w:val="Compact"/>
    <w:basedOn w:val="Corpsdetexte2"/>
    <w:pPr>
      <w:spacing w:before="36" w:after="36"/>
    </w:pPr>
  </w:style>
  <w:style w:type="paragraph" w:styleId="Titre">
    <w:name w:val="Title"/>
    <w:basedOn w:val="Normal"/>
    <w:next w:val="Corpsdetexte"/>
    <w:qFormat/>
    <w:rsid w:val="003D502F"/>
    <w:pPr>
      <w:keepNext/>
      <w:keepLines/>
      <w:spacing w:line="240" w:lineRule="auto"/>
    </w:pPr>
    <w:rPr>
      <w:rFonts w:eastAsiaTheme="majorEastAsia" w:cstheme="majorBidi"/>
      <w:b/>
      <w:bCs/>
      <w:color w:val="D31932" w:themeColor="accent1"/>
      <w:spacing w:val="20"/>
      <w:sz w:val="28"/>
      <w:szCs w:val="28"/>
    </w:rPr>
  </w:style>
  <w:style w:type="paragraph" w:styleId="Sous-titre">
    <w:name w:val="Subtitle"/>
    <w:basedOn w:val="Titre"/>
    <w:next w:val="Corpsdetexte"/>
    <w:link w:val="Sous-titreCar"/>
    <w:qFormat/>
    <w:rsid w:val="00EF7CFB"/>
    <w:pPr>
      <w:spacing w:before="120" w:after="120"/>
    </w:pPr>
    <w:rPr>
      <w:b w:val="0"/>
      <w:color w:val="auto"/>
      <w:sz w:val="24"/>
      <w:szCs w:val="30"/>
    </w:rPr>
  </w:style>
  <w:style w:type="paragraph" w:customStyle="1" w:styleId="Author">
    <w:name w:val="Author"/>
    <w:basedOn w:val="Normal"/>
    <w:next w:val="Corpsdetexte"/>
    <w:qFormat/>
    <w:rsid w:val="000352CE"/>
    <w:pPr>
      <w:keepNext/>
      <w:keepLines/>
      <w:spacing w:after="240"/>
    </w:pPr>
    <w:rPr>
      <w:szCs w:val="18"/>
    </w:rPr>
  </w:style>
  <w:style w:type="paragraph" w:styleId="Date">
    <w:name w:val="Date"/>
    <w:next w:val="Corpsdetexte"/>
    <w:pPr>
      <w:keepNext/>
      <w:keepLines/>
      <w:jc w:val="center"/>
    </w:pPr>
  </w:style>
  <w:style w:type="paragraph" w:customStyle="1" w:styleId="Abstract">
    <w:name w:val="Abstract"/>
    <w:basedOn w:val="Normal"/>
    <w:next w:val="Corpsdetexte"/>
    <w:qFormat/>
    <w:rsid w:val="00855097"/>
    <w:pPr>
      <w:keepNext/>
      <w:keepLines/>
      <w:spacing w:after="240"/>
      <w:jc w:val="both"/>
    </w:pPr>
    <w:rPr>
      <w:i/>
    </w:rPr>
  </w:style>
  <w:style w:type="paragraph" w:styleId="Bibliographie">
    <w:name w:val="Bibliography"/>
    <w:basedOn w:val="Normal"/>
    <w:qFormat/>
    <w:rsid w:val="00CF788D"/>
    <w:pPr>
      <w:ind w:left="567" w:hanging="567"/>
    </w:pPr>
  </w:style>
  <w:style w:type="paragraph" w:styleId="Normalcentr">
    <w:name w:val="Block Text"/>
    <w:basedOn w:val="Corpsdetexte"/>
    <w:next w:val="Corpsdetexte"/>
    <w:uiPriority w:val="9"/>
    <w:unhideWhenUsed/>
    <w:pPr>
      <w:spacing w:before="100" w:after="100"/>
      <w:ind w:left="480" w:right="480"/>
    </w:pPr>
  </w:style>
  <w:style w:type="paragraph" w:styleId="Notedebasdepage">
    <w:name w:val="footnote text"/>
    <w:basedOn w:val="Normal"/>
    <w:link w:val="NotedebasdepageCar"/>
    <w:uiPriority w:val="99"/>
    <w:unhideWhenUsed/>
    <w:qFormat/>
    <w:rsid w:val="007B448B"/>
    <w:rPr>
      <w:sz w:val="18"/>
    </w:rPr>
  </w:style>
  <w:style w:type="table" w:customStyle="1" w:styleId="Table">
    <w:name w:val="Table"/>
    <w:semiHidden/>
    <w:unhideWhenUsed/>
    <w:qFormat/>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Normal"/>
    <w:next w:val="Definition"/>
    <w:pPr>
      <w:keepNext/>
      <w:keepLines/>
    </w:pPr>
    <w:rPr>
      <w:b/>
    </w:rPr>
  </w:style>
  <w:style w:type="paragraph" w:customStyle="1" w:styleId="Definition">
    <w:name w:val="Definition"/>
    <w:basedOn w:val="Normal"/>
  </w:style>
  <w:style w:type="paragraph" w:customStyle="1" w:styleId="LegendeAbbildung">
    <w:name w:val="Legende Abbildung"/>
    <w:basedOn w:val="LegendeTabelle"/>
    <w:qFormat/>
    <w:rsid w:val="0047168D"/>
  </w:style>
  <w:style w:type="paragraph" w:customStyle="1" w:styleId="NotizTabelle">
    <w:name w:val="Notiz Tabelle"/>
    <w:basedOn w:val="Normal"/>
    <w:qFormat/>
    <w:rsid w:val="00577261"/>
    <w:pPr>
      <w:keepNext/>
      <w:spacing w:before="60" w:after="180" w:line="240" w:lineRule="auto"/>
    </w:pPr>
    <w:rPr>
      <w:iCs/>
      <w:sz w:val="16"/>
    </w:rPr>
  </w:style>
  <w:style w:type="paragraph" w:customStyle="1" w:styleId="NotizAbbildung">
    <w:name w:val="Notiz Abbildung"/>
    <w:basedOn w:val="NotizTabelle"/>
    <w:qFormat/>
    <w:rsid w:val="006B5540"/>
  </w:style>
  <w:style w:type="paragraph" w:customStyle="1" w:styleId="Figure">
    <w:name w:val="Figure"/>
    <w:basedOn w:val="Normal"/>
  </w:style>
  <w:style w:type="character" w:customStyle="1" w:styleId="VerbatimChar">
    <w:name w:val="Verbatim Char"/>
    <w:basedOn w:val="Policepardfaut"/>
    <w:rsid w:val="006676E2"/>
    <w:rPr>
      <w:rFonts w:ascii="Open Sans SemiCondensed" w:hAnsi="Open Sans SemiCondensed"/>
      <w:b w:val="0"/>
      <w:bCs/>
      <w:i/>
      <w:iCs/>
      <w:color w:val="C00000"/>
      <w:sz w:val="22"/>
    </w:rPr>
  </w:style>
  <w:style w:type="character" w:customStyle="1" w:styleId="SectionNumber">
    <w:name w:val="Section Number"/>
    <w:basedOn w:val="Policepardfaut"/>
    <w:rsid w:val="006676E2"/>
    <w:rPr>
      <w:rFonts w:ascii="Open Sans SemiCondensed" w:hAnsi="Open Sans SemiCondensed"/>
      <w:b w:val="0"/>
      <w:bCs/>
      <w:i/>
      <w:iCs/>
      <w:color w:val="C00000"/>
      <w:sz w:val="20"/>
    </w:rPr>
  </w:style>
  <w:style w:type="character" w:styleId="Appelnotedebasdep">
    <w:name w:val="footnote reference"/>
    <w:basedOn w:val="Policepardfaut"/>
    <w:uiPriority w:val="99"/>
    <w:rsid w:val="00EF7CFB"/>
    <w:rPr>
      <w:rFonts w:ascii="Open Sans SemiCondensed" w:hAnsi="Open Sans SemiCondensed"/>
      <w:b w:val="0"/>
      <w:bCs/>
      <w:i w:val="0"/>
      <w:iCs/>
      <w:color w:val="auto"/>
      <w:sz w:val="20"/>
      <w:vertAlign w:val="superscript"/>
    </w:rPr>
  </w:style>
  <w:style w:type="character" w:styleId="Lienhypertexte">
    <w:name w:val="Hyperlink"/>
    <w:basedOn w:val="NotedebasdepageCar"/>
    <w:rsid w:val="003D502F"/>
    <w:rPr>
      <w:rFonts w:ascii="Open Sans SemiCondensed" w:hAnsi="Open Sans SemiCondensed"/>
      <w:b w:val="0"/>
      <w:bCs/>
      <w:i w:val="0"/>
      <w:iCs/>
      <w:color w:val="D31932" w:themeColor="accent1"/>
      <w:spacing w:val="-4"/>
      <w:sz w:val="20"/>
    </w:rPr>
  </w:style>
  <w:style w:type="paragraph" w:styleId="En-ttedetabledesmatires">
    <w:name w:val="TOC Heading"/>
    <w:basedOn w:val="Titre1"/>
    <w:next w:val="Corpsdetexte"/>
    <w:uiPriority w:val="39"/>
    <w:unhideWhenUsed/>
    <w:rsid w:val="00024143"/>
    <w:pPr>
      <w:spacing w:line="259" w:lineRule="auto"/>
      <w:outlineLvl w:val="9"/>
    </w:pPr>
    <w:rPr>
      <w:bCs w:val="0"/>
      <w:color w:val="auto"/>
    </w:rPr>
  </w:style>
  <w:style w:type="paragraph" w:styleId="En-tte">
    <w:name w:val="header"/>
    <w:basedOn w:val="Normal"/>
    <w:link w:val="En-tteCar"/>
    <w:unhideWhenUsed/>
    <w:rsid w:val="004B3A29"/>
    <w:pPr>
      <w:tabs>
        <w:tab w:val="center" w:pos="4513"/>
        <w:tab w:val="right" w:pos="9026"/>
      </w:tabs>
    </w:pPr>
  </w:style>
  <w:style w:type="character" w:customStyle="1" w:styleId="CorpsdetexteCar">
    <w:name w:val="Corps de texte Car"/>
    <w:basedOn w:val="Policepardfaut"/>
    <w:link w:val="Corpsdetexte"/>
    <w:rsid w:val="007F5E1D"/>
  </w:style>
  <w:style w:type="character" w:customStyle="1" w:styleId="En-tteCar">
    <w:name w:val="En-tête Car"/>
    <w:basedOn w:val="Policepardfaut"/>
    <w:link w:val="En-tte"/>
    <w:rsid w:val="004B3A29"/>
    <w:rPr>
      <w:rFonts w:ascii="Open Sans SemiCondensed" w:hAnsi="Open Sans SemiCondensed"/>
      <w:sz w:val="20"/>
    </w:rPr>
  </w:style>
  <w:style w:type="paragraph" w:styleId="Pieddepage">
    <w:name w:val="footer"/>
    <w:basedOn w:val="Normal"/>
    <w:link w:val="PieddepageCar"/>
    <w:unhideWhenUsed/>
    <w:rsid w:val="007B448B"/>
    <w:pPr>
      <w:tabs>
        <w:tab w:val="center" w:pos="4513"/>
        <w:tab w:val="right" w:pos="9026"/>
      </w:tabs>
    </w:pPr>
    <w:rPr>
      <w:sz w:val="18"/>
    </w:rPr>
  </w:style>
  <w:style w:type="character" w:customStyle="1" w:styleId="PieddepageCar">
    <w:name w:val="Pied de page Car"/>
    <w:basedOn w:val="Policepardfaut"/>
    <w:link w:val="Pieddepage"/>
    <w:rsid w:val="007B448B"/>
    <w:rPr>
      <w:rFonts w:ascii="Open Sans SemiCondensed" w:hAnsi="Open Sans SemiCondensed"/>
      <w:spacing w:val="-4"/>
      <w:sz w:val="18"/>
    </w:rPr>
  </w:style>
  <w:style w:type="paragraph" w:customStyle="1" w:styleId="Themenschwerpunkt">
    <w:name w:val="Themenschwerpunkt"/>
    <w:basedOn w:val="En-tte"/>
    <w:link w:val="ThemenschwerpunktZchn"/>
    <w:rsid w:val="00CC1689"/>
    <w:pPr>
      <w:tabs>
        <w:tab w:val="clear" w:pos="4513"/>
        <w:tab w:val="clear" w:pos="9026"/>
        <w:tab w:val="center" w:pos="4536"/>
        <w:tab w:val="right" w:pos="9072"/>
      </w:tabs>
      <w:spacing w:line="240" w:lineRule="auto"/>
      <w:jc w:val="both"/>
    </w:pPr>
    <w:rPr>
      <w:b/>
      <w:noProof/>
      <w:spacing w:val="0"/>
      <w:sz w:val="14"/>
      <w:szCs w:val="22"/>
      <w:lang w:val="de-DE"/>
    </w:rPr>
  </w:style>
  <w:style w:type="character" w:customStyle="1" w:styleId="ThemenschwerpunktZchn">
    <w:name w:val="Themenschwerpunkt Zchn"/>
    <w:basedOn w:val="En-tteCar"/>
    <w:link w:val="Themenschwerpunkt"/>
    <w:rsid w:val="00CC1689"/>
    <w:rPr>
      <w:rFonts w:ascii="Open Sans SemiCondensed" w:hAnsi="Open Sans SemiCondensed"/>
      <w:b/>
      <w:noProof/>
      <w:spacing w:val="0"/>
      <w:sz w:val="14"/>
      <w:szCs w:val="22"/>
      <w:lang w:val="de-DE"/>
    </w:rPr>
  </w:style>
  <w:style w:type="paragraph" w:styleId="Corpsdetexte2">
    <w:name w:val="Body Text 2"/>
    <w:basedOn w:val="Corpsdetexte"/>
    <w:link w:val="Corpsdetexte2Car"/>
    <w:rsid w:val="007F5E1D"/>
    <w:pPr>
      <w:ind w:firstLine="0"/>
    </w:pPr>
  </w:style>
  <w:style w:type="character" w:customStyle="1" w:styleId="Corpsdetexte2Car">
    <w:name w:val="Corps de texte 2 Car"/>
    <w:basedOn w:val="Policepardfaut"/>
    <w:link w:val="Corpsdetexte2"/>
    <w:rsid w:val="007F5E1D"/>
  </w:style>
  <w:style w:type="paragraph" w:styleId="Corpsdetexte3">
    <w:name w:val="Body Text 3"/>
    <w:basedOn w:val="Corpsdetexte"/>
    <w:link w:val="Corpsdetexte3Car"/>
    <w:rsid w:val="00C24833"/>
    <w:pPr>
      <w:spacing w:before="0" w:after="0"/>
      <w:ind w:firstLine="0"/>
      <w:jc w:val="left"/>
    </w:pPr>
  </w:style>
  <w:style w:type="character" w:customStyle="1" w:styleId="Corpsdetexte3Car">
    <w:name w:val="Corps de texte 3 Car"/>
    <w:basedOn w:val="Policepardfaut"/>
    <w:link w:val="Corpsdetexte3"/>
    <w:rsid w:val="00C24833"/>
    <w:rPr>
      <w:lang w:val="de-CH"/>
    </w:rPr>
  </w:style>
  <w:style w:type="paragraph" w:customStyle="1" w:styleId="LegendeTabelle">
    <w:name w:val="Legende Tabelle"/>
    <w:basedOn w:val="Normal"/>
    <w:qFormat/>
    <w:rsid w:val="003D502F"/>
    <w:pPr>
      <w:keepNext/>
      <w:spacing w:before="120" w:after="120" w:line="240" w:lineRule="auto"/>
    </w:pPr>
    <w:rPr>
      <w:bCs/>
      <w:i/>
      <w:iCs/>
      <w:color w:val="D31932" w:themeColor="accent1"/>
    </w:rPr>
  </w:style>
  <w:style w:type="paragraph" w:styleId="Liste">
    <w:name w:val="List"/>
    <w:basedOn w:val="Normal"/>
    <w:unhideWhenUsed/>
    <w:qFormat/>
    <w:rsid w:val="00ED473A"/>
    <w:pPr>
      <w:numPr>
        <w:numId w:val="1"/>
      </w:numPr>
      <w:ind w:left="454" w:hanging="284"/>
      <w:contextualSpacing/>
    </w:pPr>
  </w:style>
  <w:style w:type="paragraph" w:styleId="Liste2">
    <w:name w:val="List 2"/>
    <w:basedOn w:val="Normal"/>
    <w:unhideWhenUsed/>
    <w:rsid w:val="00ED473A"/>
    <w:pPr>
      <w:numPr>
        <w:ilvl w:val="1"/>
        <w:numId w:val="1"/>
      </w:numPr>
      <w:ind w:left="794" w:hanging="284"/>
      <w:contextualSpacing/>
    </w:pPr>
  </w:style>
  <w:style w:type="paragraph" w:styleId="Liste3">
    <w:name w:val="List 3"/>
    <w:basedOn w:val="Normal"/>
    <w:unhideWhenUsed/>
    <w:rsid w:val="00ED473A"/>
    <w:pPr>
      <w:numPr>
        <w:ilvl w:val="2"/>
        <w:numId w:val="1"/>
      </w:numPr>
      <w:ind w:left="1135" w:hanging="284"/>
      <w:contextualSpacing/>
    </w:pPr>
  </w:style>
  <w:style w:type="paragraph" w:styleId="Index1">
    <w:name w:val="index 1"/>
    <w:basedOn w:val="Normal"/>
    <w:next w:val="Normal"/>
    <w:autoRedefine/>
    <w:rsid w:val="00571C0D"/>
    <w:pPr>
      <w:spacing w:line="240" w:lineRule="auto"/>
      <w:ind w:left="200" w:hanging="200"/>
    </w:pPr>
  </w:style>
  <w:style w:type="character" w:styleId="Mention">
    <w:name w:val="Mention"/>
    <w:basedOn w:val="Policepardfaut"/>
    <w:uiPriority w:val="99"/>
    <w:unhideWhenUsed/>
    <w:rsid w:val="00EA4676"/>
    <w:rPr>
      <w:color w:val="2B579A"/>
      <w:shd w:val="clear" w:color="auto" w:fill="E1DFDD"/>
    </w:rPr>
  </w:style>
  <w:style w:type="character" w:styleId="lev">
    <w:name w:val="Strong"/>
    <w:basedOn w:val="Policepardfaut"/>
    <w:rsid w:val="00EA4676"/>
    <w:rPr>
      <w:b/>
      <w:bCs/>
    </w:rPr>
  </w:style>
  <w:style w:type="character" w:customStyle="1" w:styleId="NotedebasdepageCar">
    <w:name w:val="Note de bas de page Car"/>
    <w:basedOn w:val="Policepardfaut"/>
    <w:link w:val="Notedebasdepage"/>
    <w:uiPriority w:val="99"/>
    <w:rsid w:val="007B448B"/>
    <w:rPr>
      <w:rFonts w:ascii="Open Sans SemiCondensed" w:hAnsi="Open Sans SemiCondensed"/>
      <w:spacing w:val="-4"/>
      <w:sz w:val="18"/>
    </w:rPr>
  </w:style>
  <w:style w:type="table" w:styleId="TableauGrille1Clair">
    <w:name w:val="Grid Table 1 Light"/>
    <w:basedOn w:val="TableauNormal"/>
    <w:uiPriority w:val="46"/>
    <w:rsid w:val="00D614DC"/>
    <w:pPr>
      <w:spacing w:after="0"/>
    </w:pPr>
    <w:rPr>
      <w:sz w:val="22"/>
      <w:szCs w:val="22"/>
      <w:lang w:val="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Mentionnonrsolue">
    <w:name w:val="Unresolved Mention"/>
    <w:basedOn w:val="Policepardfaut"/>
    <w:uiPriority w:val="99"/>
    <w:semiHidden/>
    <w:unhideWhenUsed/>
    <w:rsid w:val="00853805"/>
    <w:rPr>
      <w:color w:val="605E5C"/>
      <w:shd w:val="clear" w:color="auto" w:fill="E1DFDD"/>
    </w:rPr>
  </w:style>
  <w:style w:type="character" w:styleId="Marquedecommentaire">
    <w:name w:val="annotation reference"/>
    <w:basedOn w:val="Policepardfaut"/>
    <w:uiPriority w:val="99"/>
    <w:semiHidden/>
    <w:unhideWhenUsed/>
    <w:rsid w:val="00D02DE1"/>
    <w:rPr>
      <w:sz w:val="16"/>
      <w:szCs w:val="16"/>
    </w:rPr>
  </w:style>
  <w:style w:type="paragraph" w:styleId="Commentaire">
    <w:name w:val="annotation text"/>
    <w:basedOn w:val="Normal"/>
    <w:link w:val="CommentaireCar"/>
    <w:uiPriority w:val="99"/>
    <w:unhideWhenUsed/>
    <w:rsid w:val="00D02DE1"/>
    <w:pPr>
      <w:spacing w:line="240" w:lineRule="auto"/>
    </w:pPr>
  </w:style>
  <w:style w:type="character" w:customStyle="1" w:styleId="CommentaireCar">
    <w:name w:val="Commentaire Car"/>
    <w:basedOn w:val="Policepardfaut"/>
    <w:link w:val="Commentaire"/>
    <w:uiPriority w:val="99"/>
    <w:rsid w:val="00D02DE1"/>
    <w:rPr>
      <w:rFonts w:ascii="Open Sans SemiCondensed" w:hAnsi="Open Sans SemiCondensed"/>
      <w:sz w:val="20"/>
      <w:szCs w:val="20"/>
    </w:rPr>
  </w:style>
  <w:style w:type="character" w:customStyle="1" w:styleId="Sous-titreCar">
    <w:name w:val="Sous-titre Car"/>
    <w:basedOn w:val="Policepardfaut"/>
    <w:link w:val="Sous-titre"/>
    <w:rsid w:val="00EF7CFB"/>
    <w:rPr>
      <w:rFonts w:ascii="Open Sans SemiCondensed" w:eastAsiaTheme="majorEastAsia" w:hAnsi="Open Sans SemiCondensed" w:cstheme="majorBidi"/>
      <w:bCs/>
      <w:spacing w:val="20"/>
      <w:szCs w:val="30"/>
    </w:rPr>
  </w:style>
  <w:style w:type="table" w:styleId="Grilledutableau">
    <w:name w:val="Table Grid"/>
    <w:basedOn w:val="TableauNormal"/>
    <w:rsid w:val="006B554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rvorhebung1">
    <w:name w:val="Hervorhebung1"/>
    <w:basedOn w:val="Normal"/>
    <w:link w:val="HervorhebungCar"/>
    <w:qFormat/>
    <w:rsid w:val="003D502F"/>
    <w:rPr>
      <w:bCs/>
      <w:i/>
      <w:color w:val="D31932" w:themeColor="accent1"/>
      <w:spacing w:val="10"/>
      <w:szCs w:val="22"/>
    </w:rPr>
  </w:style>
  <w:style w:type="character" w:customStyle="1" w:styleId="HervorhebungCar">
    <w:name w:val="Hervorhebung Car"/>
    <w:basedOn w:val="Policepardfaut"/>
    <w:link w:val="Hervorhebung1"/>
    <w:rsid w:val="003D502F"/>
    <w:rPr>
      <w:bCs/>
      <w:i/>
      <w:color w:val="D31932" w:themeColor="accent1"/>
      <w:spacing w:val="10"/>
      <w:szCs w:val="22"/>
    </w:rPr>
  </w:style>
  <w:style w:type="paragraph" w:customStyle="1" w:styleId="Zitat1">
    <w:name w:val="Zitat1"/>
    <w:basedOn w:val="Normal"/>
    <w:next w:val="Corpsdetexte"/>
    <w:qFormat/>
    <w:rsid w:val="00157D7E"/>
    <w:pPr>
      <w:spacing w:before="120" w:after="240"/>
      <w:ind w:left="284" w:right="567"/>
      <w:jc w:val="both"/>
    </w:pPr>
    <w:rPr>
      <w:i/>
      <w:iCs/>
      <w:noProof/>
      <w:color w:val="262626" w:themeColor="text1" w:themeTint="D9"/>
    </w:rPr>
  </w:style>
  <w:style w:type="paragraph" w:styleId="Objetducommentaire">
    <w:name w:val="annotation subject"/>
    <w:basedOn w:val="Commentaire"/>
    <w:next w:val="Commentaire"/>
    <w:link w:val="ObjetducommentaireCar"/>
    <w:semiHidden/>
    <w:unhideWhenUsed/>
    <w:rsid w:val="000302CB"/>
    <w:rPr>
      <w:b/>
      <w:bCs/>
    </w:rPr>
  </w:style>
  <w:style w:type="character" w:customStyle="1" w:styleId="ObjetducommentaireCar">
    <w:name w:val="Objet du commentaire Car"/>
    <w:basedOn w:val="CommentaireCar"/>
    <w:link w:val="Objetducommentaire"/>
    <w:semiHidden/>
    <w:rsid w:val="000302CB"/>
    <w:rPr>
      <w:rFonts w:ascii="Open Sans SemiCondensed" w:hAnsi="Open Sans SemiCondensed"/>
      <w:b/>
      <w:bCs/>
      <w:spacing w:val="-4"/>
      <w:sz w:val="20"/>
      <w:szCs w:val="20"/>
    </w:rPr>
  </w:style>
  <w:style w:type="paragraph" w:styleId="Listenumros">
    <w:name w:val="List Number"/>
    <w:basedOn w:val="Normal"/>
    <w:unhideWhenUsed/>
    <w:qFormat/>
    <w:rsid w:val="00ED473A"/>
    <w:pPr>
      <w:numPr>
        <w:numId w:val="2"/>
      </w:numPr>
      <w:ind w:left="527" w:hanging="357"/>
      <w:contextualSpacing/>
    </w:pPr>
  </w:style>
  <w:style w:type="character" w:styleId="ClavierHTML">
    <w:name w:val="HTML Keyboard"/>
    <w:basedOn w:val="Policepardfaut"/>
    <w:semiHidden/>
    <w:unhideWhenUsed/>
    <w:rsid w:val="00120CBF"/>
    <w:rPr>
      <w:rFonts w:ascii="Open Sans SemiCondensed" w:hAnsi="Open Sans SemiCondensed"/>
      <w:sz w:val="20"/>
      <w:szCs w:val="20"/>
    </w:rPr>
  </w:style>
  <w:style w:type="character" w:styleId="CodeHTML">
    <w:name w:val="HTML Code"/>
    <w:basedOn w:val="Policepardfaut"/>
    <w:semiHidden/>
    <w:unhideWhenUsed/>
    <w:rsid w:val="00120CBF"/>
    <w:rPr>
      <w:rFonts w:ascii="Open Sans SemiCondensed" w:hAnsi="Open Sans SemiCondensed"/>
      <w:sz w:val="20"/>
      <w:szCs w:val="20"/>
    </w:rPr>
  </w:style>
  <w:style w:type="paragraph" w:styleId="Explorateurdedocuments">
    <w:name w:val="Document Map"/>
    <w:basedOn w:val="Normal"/>
    <w:link w:val="ExplorateurdedocumentsCar"/>
    <w:semiHidden/>
    <w:unhideWhenUsed/>
    <w:rsid w:val="00120CBF"/>
    <w:pPr>
      <w:spacing w:line="240" w:lineRule="auto"/>
    </w:pPr>
    <w:rPr>
      <w:sz w:val="16"/>
      <w:szCs w:val="16"/>
    </w:rPr>
  </w:style>
  <w:style w:type="character" w:customStyle="1" w:styleId="ExplorateurdedocumentsCar">
    <w:name w:val="Explorateur de documents Car"/>
    <w:basedOn w:val="Policepardfaut"/>
    <w:link w:val="Explorateurdedocuments"/>
    <w:semiHidden/>
    <w:rsid w:val="00120CBF"/>
    <w:rPr>
      <w:rFonts w:ascii="Open Sans SemiCondensed" w:hAnsi="Open Sans SemiCondensed"/>
      <w:spacing w:val="-4"/>
      <w:sz w:val="16"/>
      <w:szCs w:val="16"/>
    </w:rPr>
  </w:style>
  <w:style w:type="character" w:styleId="ExempleHTML">
    <w:name w:val="HTML Sample"/>
    <w:basedOn w:val="Policepardfaut"/>
    <w:semiHidden/>
    <w:unhideWhenUsed/>
    <w:rsid w:val="00120CBF"/>
    <w:rPr>
      <w:rFonts w:ascii="Open Sans SemiCondensed" w:hAnsi="Open Sans SemiCondensed"/>
      <w:sz w:val="24"/>
      <w:szCs w:val="24"/>
    </w:rPr>
  </w:style>
  <w:style w:type="table" w:styleId="Listemoyenne2">
    <w:name w:val="Medium List 2"/>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semiHidden/>
    <w:unhideWhenUsed/>
    <w:rsid w:val="00120CBF"/>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tblBorders>
    </w:tblPr>
    <w:tblStylePr w:type="firstRow">
      <w:rPr>
        <w:sz w:val="24"/>
        <w:szCs w:val="24"/>
      </w:rPr>
      <w:tblPr/>
      <w:tcPr>
        <w:tcBorders>
          <w:top w:val="nil"/>
          <w:left w:val="nil"/>
          <w:bottom w:val="single" w:sz="24" w:space="0" w:color="D31932" w:themeColor="accent1"/>
          <w:right w:val="nil"/>
          <w:insideH w:val="nil"/>
          <w:insideV w:val="nil"/>
        </w:tcBorders>
        <w:shd w:val="clear" w:color="auto" w:fill="FFFFFF" w:themeFill="background1"/>
      </w:tcPr>
    </w:tblStylePr>
    <w:tblStylePr w:type="lastRow">
      <w:tblPr/>
      <w:tcPr>
        <w:tcBorders>
          <w:top w:val="single" w:sz="8" w:space="0" w:color="D3193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31932" w:themeColor="accent1"/>
          <w:insideH w:val="nil"/>
          <w:insideV w:val="nil"/>
        </w:tcBorders>
        <w:shd w:val="clear" w:color="auto" w:fill="FFFFFF" w:themeFill="background1"/>
      </w:tcPr>
    </w:tblStylePr>
    <w:tblStylePr w:type="lastCol">
      <w:tblPr/>
      <w:tcPr>
        <w:tcBorders>
          <w:top w:val="nil"/>
          <w:left w:val="single" w:sz="8" w:space="0" w:color="D3193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7C2C9" w:themeFill="accent1" w:themeFillTint="3F"/>
      </w:tcPr>
    </w:tblStylePr>
    <w:tblStylePr w:type="band1Horz">
      <w:tblPr/>
      <w:tcPr>
        <w:tcBorders>
          <w:top w:val="nil"/>
          <w:bottom w:val="nil"/>
          <w:insideH w:val="nil"/>
          <w:insideV w:val="nil"/>
        </w:tcBorders>
        <w:shd w:val="clear" w:color="auto" w:fill="F7C2C9"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Adressedestinataire">
    <w:name w:val="envelope address"/>
    <w:basedOn w:val="Normal"/>
    <w:semiHidden/>
    <w:unhideWhenUsed/>
    <w:rsid w:val="006676E2"/>
    <w:pPr>
      <w:framePr w:w="4320" w:h="2160" w:hRule="exact" w:hSpace="141" w:wrap="auto" w:hAnchor="page" w:xAlign="center" w:yAlign="bottom"/>
      <w:spacing w:line="240" w:lineRule="auto"/>
      <w:ind w:left="1"/>
    </w:pPr>
    <w:rPr>
      <w:rFonts w:eastAsiaTheme="majorEastAsia" w:cstheme="majorBidi"/>
      <w:sz w:val="24"/>
      <w:szCs w:val="24"/>
    </w:rPr>
  </w:style>
  <w:style w:type="paragraph" w:styleId="Adresseexpditeur">
    <w:name w:val="envelope return"/>
    <w:basedOn w:val="Normal"/>
    <w:semiHidden/>
    <w:unhideWhenUsed/>
    <w:rsid w:val="006676E2"/>
    <w:pPr>
      <w:spacing w:line="240" w:lineRule="auto"/>
    </w:pPr>
    <w:rPr>
      <w:rFonts w:eastAsiaTheme="majorEastAsia" w:cstheme="majorBidi"/>
    </w:rPr>
  </w:style>
  <w:style w:type="paragraph" w:styleId="En-ttedemessage">
    <w:name w:val="Message Header"/>
    <w:basedOn w:val="Normal"/>
    <w:link w:val="En-ttedemessageCar"/>
    <w:semiHidden/>
    <w:unhideWhenUsed/>
    <w:rsid w:val="006676E2"/>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 w:val="24"/>
      <w:szCs w:val="24"/>
    </w:rPr>
  </w:style>
  <w:style w:type="character" w:customStyle="1" w:styleId="En-ttedemessageCar">
    <w:name w:val="En-tête de message Car"/>
    <w:basedOn w:val="Policepardfaut"/>
    <w:link w:val="En-ttedemessage"/>
    <w:semiHidden/>
    <w:rsid w:val="006676E2"/>
    <w:rPr>
      <w:rFonts w:eastAsiaTheme="majorEastAsia" w:cstheme="majorBidi"/>
      <w:sz w:val="24"/>
      <w:szCs w:val="24"/>
      <w:shd w:val="pct20" w:color="auto" w:fill="auto"/>
    </w:rPr>
  </w:style>
  <w:style w:type="table" w:styleId="Grillemoyenne2">
    <w:name w:val="Medium Grid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D31932" w:themeColor="accent1"/>
        <w:left w:val="single" w:sz="8" w:space="0" w:color="D31932" w:themeColor="accent1"/>
        <w:bottom w:val="single" w:sz="8" w:space="0" w:color="D31932" w:themeColor="accent1"/>
        <w:right w:val="single" w:sz="8" w:space="0" w:color="D31932" w:themeColor="accent1"/>
        <w:insideH w:val="single" w:sz="8" w:space="0" w:color="D31932" w:themeColor="accent1"/>
        <w:insideV w:val="single" w:sz="8" w:space="0" w:color="D31932" w:themeColor="accent1"/>
      </w:tblBorders>
    </w:tblPr>
    <w:tcPr>
      <w:shd w:val="clear" w:color="auto" w:fill="F7C2C9" w:themeFill="accent1" w:themeFillTint="3F"/>
    </w:tcPr>
    <w:tblStylePr w:type="firstRow">
      <w:rPr>
        <w:b/>
        <w:bCs/>
        <w:color w:val="000000" w:themeColor="text1"/>
      </w:rPr>
      <w:tblPr/>
      <w:tcPr>
        <w:shd w:val="clear" w:color="auto" w:fill="FCE6E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CDD3" w:themeFill="accent1" w:themeFillTint="33"/>
      </w:tcPr>
    </w:tblStylePr>
    <w:tblStylePr w:type="band1Vert">
      <w:tblPr/>
      <w:tcPr>
        <w:shd w:val="clear" w:color="auto" w:fill="F08493" w:themeFill="accent1" w:themeFillTint="7F"/>
      </w:tcPr>
    </w:tblStylePr>
    <w:tblStylePr w:type="band1Horz">
      <w:tblPr/>
      <w:tcPr>
        <w:tcBorders>
          <w:insideH w:val="single" w:sz="6" w:space="0" w:color="D31932" w:themeColor="accent1"/>
          <w:insideV w:val="single" w:sz="6" w:space="0" w:color="D31932" w:themeColor="accent1"/>
        </w:tcBorders>
        <w:shd w:val="clear" w:color="auto" w:fill="F08493"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insideH w:val="single" w:sz="8" w:space="0" w:color="EB5E51" w:themeColor="accent2"/>
        <w:insideV w:val="single" w:sz="8" w:space="0" w:color="EB5E51" w:themeColor="accent2"/>
      </w:tblBorders>
    </w:tblPr>
    <w:tcPr>
      <w:shd w:val="clear" w:color="auto" w:fill="FAD6D3" w:themeFill="accent2" w:themeFillTint="3F"/>
    </w:tcPr>
    <w:tblStylePr w:type="firstRow">
      <w:rPr>
        <w:b/>
        <w:bCs/>
        <w:color w:val="000000" w:themeColor="text1"/>
      </w:rPr>
      <w:tblPr/>
      <w:tcPr>
        <w:shd w:val="clear" w:color="auto" w:fill="FDEE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DEDC" w:themeFill="accent2" w:themeFillTint="33"/>
      </w:tcPr>
    </w:tblStylePr>
    <w:tblStylePr w:type="band1Vert">
      <w:tblPr/>
      <w:tcPr>
        <w:shd w:val="clear" w:color="auto" w:fill="F5AEA8" w:themeFill="accent2" w:themeFillTint="7F"/>
      </w:tcPr>
    </w:tblStylePr>
    <w:tblStylePr w:type="band1Horz">
      <w:tblPr/>
      <w:tcPr>
        <w:tcBorders>
          <w:insideH w:val="single" w:sz="6" w:space="0" w:color="EB5E51" w:themeColor="accent2"/>
          <w:insideV w:val="single" w:sz="6" w:space="0" w:color="EB5E51" w:themeColor="accent2"/>
        </w:tcBorders>
        <w:shd w:val="clear" w:color="auto" w:fill="F5AEA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insideH w:val="single" w:sz="8" w:space="0" w:color="C7CF1C" w:themeColor="accent3"/>
        <w:insideV w:val="single" w:sz="8" w:space="0" w:color="C7CF1C" w:themeColor="accent3"/>
      </w:tblBorders>
    </w:tblPr>
    <w:tcPr>
      <w:shd w:val="clear" w:color="auto" w:fill="F4F7C3" w:themeFill="accent3" w:themeFillTint="3F"/>
    </w:tcPr>
    <w:tblStylePr w:type="firstRow">
      <w:rPr>
        <w:b/>
        <w:bCs/>
        <w:color w:val="000000" w:themeColor="text1"/>
      </w:rPr>
      <w:tblPr/>
      <w:tcPr>
        <w:shd w:val="clear" w:color="auto" w:fill="FAFBE7"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F8CE" w:themeFill="accent3" w:themeFillTint="33"/>
      </w:tcPr>
    </w:tblStylePr>
    <w:tblStylePr w:type="band1Vert">
      <w:tblPr/>
      <w:tcPr>
        <w:shd w:val="clear" w:color="auto" w:fill="E9EE86" w:themeFill="accent3" w:themeFillTint="7F"/>
      </w:tcPr>
    </w:tblStylePr>
    <w:tblStylePr w:type="band1Horz">
      <w:tblPr/>
      <w:tcPr>
        <w:tcBorders>
          <w:insideH w:val="single" w:sz="6" w:space="0" w:color="C7CF1C" w:themeColor="accent3"/>
          <w:insideV w:val="single" w:sz="6" w:space="0" w:color="C7CF1C" w:themeColor="accent3"/>
        </w:tcBorders>
        <w:shd w:val="clear" w:color="auto" w:fill="E9EE86"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insideH w:val="single" w:sz="8" w:space="0" w:color="51A66D" w:themeColor="accent4"/>
        <w:insideV w:val="single" w:sz="8" w:space="0" w:color="51A66D" w:themeColor="accent4"/>
      </w:tblBorders>
    </w:tblPr>
    <w:tcPr>
      <w:shd w:val="clear" w:color="auto" w:fill="D3E9DA" w:themeFill="accent4" w:themeFillTint="3F"/>
    </w:tcPr>
    <w:tblStylePr w:type="firstRow">
      <w:rPr>
        <w:b/>
        <w:bCs/>
        <w:color w:val="000000" w:themeColor="text1"/>
      </w:rPr>
      <w:tblPr/>
      <w:tcPr>
        <w:shd w:val="clear" w:color="auto" w:fill="EDF6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DE1" w:themeFill="accent4" w:themeFillTint="33"/>
      </w:tcPr>
    </w:tblStylePr>
    <w:tblStylePr w:type="band1Vert">
      <w:tblPr/>
      <w:tcPr>
        <w:shd w:val="clear" w:color="auto" w:fill="A6D4B5" w:themeFill="accent4" w:themeFillTint="7F"/>
      </w:tcPr>
    </w:tblStylePr>
    <w:tblStylePr w:type="band1Horz">
      <w:tblPr/>
      <w:tcPr>
        <w:tcBorders>
          <w:insideH w:val="single" w:sz="6" w:space="0" w:color="51A66D" w:themeColor="accent4"/>
          <w:insideV w:val="single" w:sz="6" w:space="0" w:color="51A66D" w:themeColor="accent4"/>
        </w:tcBorders>
        <w:shd w:val="clear" w:color="auto" w:fill="A6D4B5"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insideH w:val="single" w:sz="8" w:space="0" w:color="5F9FBC" w:themeColor="accent5"/>
        <w:insideV w:val="single" w:sz="8" w:space="0" w:color="5F9FBC" w:themeColor="accent5"/>
      </w:tblBorders>
    </w:tblPr>
    <w:tcPr>
      <w:shd w:val="clear" w:color="auto" w:fill="D7E7EE" w:themeFill="accent5" w:themeFillTint="3F"/>
    </w:tcPr>
    <w:tblStylePr w:type="firstRow">
      <w:rPr>
        <w:b/>
        <w:bCs/>
        <w:color w:val="000000" w:themeColor="text1"/>
      </w:rPr>
      <w:tblPr/>
      <w:tcPr>
        <w:shd w:val="clear" w:color="auto" w:fill="EF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BF1" w:themeFill="accent5" w:themeFillTint="33"/>
      </w:tcPr>
    </w:tblStylePr>
    <w:tblStylePr w:type="band1Vert">
      <w:tblPr/>
      <w:tcPr>
        <w:shd w:val="clear" w:color="auto" w:fill="AFCFDD" w:themeFill="accent5" w:themeFillTint="7F"/>
      </w:tcPr>
    </w:tblStylePr>
    <w:tblStylePr w:type="band1Horz">
      <w:tblPr/>
      <w:tcPr>
        <w:tcBorders>
          <w:insideH w:val="single" w:sz="6" w:space="0" w:color="5F9FBC" w:themeColor="accent5"/>
          <w:insideV w:val="single" w:sz="6" w:space="0" w:color="5F9FBC" w:themeColor="accent5"/>
        </w:tcBorders>
        <w:shd w:val="clear" w:color="auto" w:fill="AFCFDD"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insideH w:val="single" w:sz="8" w:space="0" w:color="A98899" w:themeColor="accent6"/>
        <w:insideV w:val="single" w:sz="8" w:space="0" w:color="A98899" w:themeColor="accent6"/>
      </w:tblBorders>
    </w:tblPr>
    <w:tcPr>
      <w:shd w:val="clear" w:color="auto" w:fill="E9E1E5" w:themeFill="accent6" w:themeFillTint="3F"/>
    </w:tcPr>
    <w:tblStylePr w:type="firstRow">
      <w:rPr>
        <w:b/>
        <w:bCs/>
        <w:color w:val="000000" w:themeColor="text1"/>
      </w:rPr>
      <w:tblPr/>
      <w:tcPr>
        <w:shd w:val="clear" w:color="auto" w:fill="F6F3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7EA" w:themeFill="accent6" w:themeFillTint="33"/>
      </w:tcPr>
    </w:tblStylePr>
    <w:tblStylePr w:type="band1Vert">
      <w:tblPr/>
      <w:tcPr>
        <w:shd w:val="clear" w:color="auto" w:fill="D4C3CC" w:themeFill="accent6" w:themeFillTint="7F"/>
      </w:tcPr>
    </w:tblStylePr>
    <w:tblStylePr w:type="band1Horz">
      <w:tblPr/>
      <w:tcPr>
        <w:tcBorders>
          <w:insideH w:val="single" w:sz="6" w:space="0" w:color="A98899" w:themeColor="accent6"/>
          <w:insideV w:val="single" w:sz="6" w:space="0" w:color="A98899" w:themeColor="accent6"/>
        </w:tcBorders>
        <w:shd w:val="clear" w:color="auto" w:fill="D4C3CC" w:themeFill="accent6" w:themeFillTint="7F"/>
      </w:tcPr>
    </w:tblStylePr>
    <w:tblStylePr w:type="nwCell">
      <w:tblPr/>
      <w:tcPr>
        <w:shd w:val="clear" w:color="auto" w:fill="FFFFFF" w:themeFill="background1"/>
      </w:tcPr>
    </w:tblStylePr>
  </w:style>
  <w:style w:type="table" w:styleId="Listemoyenne2-Accent2">
    <w:name w:val="Medium List 2 Accent 2"/>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EB5E51" w:themeColor="accent2"/>
        <w:left w:val="single" w:sz="8" w:space="0" w:color="EB5E51" w:themeColor="accent2"/>
        <w:bottom w:val="single" w:sz="8" w:space="0" w:color="EB5E51" w:themeColor="accent2"/>
        <w:right w:val="single" w:sz="8" w:space="0" w:color="EB5E51" w:themeColor="accent2"/>
      </w:tblBorders>
    </w:tblPr>
    <w:tblStylePr w:type="firstRow">
      <w:rPr>
        <w:sz w:val="24"/>
        <w:szCs w:val="24"/>
      </w:rPr>
      <w:tblPr/>
      <w:tcPr>
        <w:tcBorders>
          <w:top w:val="nil"/>
          <w:left w:val="nil"/>
          <w:bottom w:val="single" w:sz="24" w:space="0" w:color="EB5E51" w:themeColor="accent2"/>
          <w:right w:val="nil"/>
          <w:insideH w:val="nil"/>
          <w:insideV w:val="nil"/>
        </w:tcBorders>
        <w:shd w:val="clear" w:color="auto" w:fill="FFFFFF" w:themeFill="background1"/>
      </w:tcPr>
    </w:tblStylePr>
    <w:tblStylePr w:type="lastRow">
      <w:tblPr/>
      <w:tcPr>
        <w:tcBorders>
          <w:top w:val="single" w:sz="8" w:space="0" w:color="EB5E51"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EB5E51" w:themeColor="accent2"/>
          <w:insideH w:val="nil"/>
          <w:insideV w:val="nil"/>
        </w:tcBorders>
        <w:shd w:val="clear" w:color="auto" w:fill="FFFFFF" w:themeFill="background1"/>
      </w:tcPr>
    </w:tblStylePr>
    <w:tblStylePr w:type="lastCol">
      <w:tblPr/>
      <w:tcPr>
        <w:tcBorders>
          <w:top w:val="nil"/>
          <w:left w:val="single" w:sz="8" w:space="0" w:color="EB5E5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6D3" w:themeFill="accent2" w:themeFillTint="3F"/>
      </w:tcPr>
    </w:tblStylePr>
    <w:tblStylePr w:type="band1Horz">
      <w:tblPr/>
      <w:tcPr>
        <w:tcBorders>
          <w:top w:val="nil"/>
          <w:bottom w:val="nil"/>
          <w:insideH w:val="nil"/>
          <w:insideV w:val="nil"/>
        </w:tcBorders>
        <w:shd w:val="clear" w:color="auto" w:fill="FAD6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C7CF1C" w:themeColor="accent3"/>
        <w:left w:val="single" w:sz="8" w:space="0" w:color="C7CF1C" w:themeColor="accent3"/>
        <w:bottom w:val="single" w:sz="8" w:space="0" w:color="C7CF1C" w:themeColor="accent3"/>
        <w:right w:val="single" w:sz="8" w:space="0" w:color="C7CF1C" w:themeColor="accent3"/>
      </w:tblBorders>
    </w:tblPr>
    <w:tblStylePr w:type="firstRow">
      <w:rPr>
        <w:sz w:val="24"/>
        <w:szCs w:val="24"/>
      </w:rPr>
      <w:tblPr/>
      <w:tcPr>
        <w:tcBorders>
          <w:top w:val="nil"/>
          <w:left w:val="nil"/>
          <w:bottom w:val="single" w:sz="24" w:space="0" w:color="C7CF1C" w:themeColor="accent3"/>
          <w:right w:val="nil"/>
          <w:insideH w:val="nil"/>
          <w:insideV w:val="nil"/>
        </w:tcBorders>
        <w:shd w:val="clear" w:color="auto" w:fill="FFFFFF" w:themeFill="background1"/>
      </w:tcPr>
    </w:tblStylePr>
    <w:tblStylePr w:type="lastRow">
      <w:tblPr/>
      <w:tcPr>
        <w:tcBorders>
          <w:top w:val="single" w:sz="8" w:space="0" w:color="C7CF1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F1C" w:themeColor="accent3"/>
          <w:insideH w:val="nil"/>
          <w:insideV w:val="nil"/>
        </w:tcBorders>
        <w:shd w:val="clear" w:color="auto" w:fill="FFFFFF" w:themeFill="background1"/>
      </w:tcPr>
    </w:tblStylePr>
    <w:tblStylePr w:type="lastCol">
      <w:tblPr/>
      <w:tcPr>
        <w:tcBorders>
          <w:top w:val="nil"/>
          <w:left w:val="single" w:sz="8" w:space="0" w:color="C7CF1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F7C3" w:themeFill="accent3" w:themeFillTint="3F"/>
      </w:tcPr>
    </w:tblStylePr>
    <w:tblStylePr w:type="band1Horz">
      <w:tblPr/>
      <w:tcPr>
        <w:tcBorders>
          <w:top w:val="nil"/>
          <w:bottom w:val="nil"/>
          <w:insideH w:val="nil"/>
          <w:insideV w:val="nil"/>
        </w:tcBorders>
        <w:shd w:val="clear" w:color="auto" w:fill="F4F7C3"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1A66D" w:themeColor="accent4"/>
        <w:left w:val="single" w:sz="8" w:space="0" w:color="51A66D" w:themeColor="accent4"/>
        <w:bottom w:val="single" w:sz="8" w:space="0" w:color="51A66D" w:themeColor="accent4"/>
        <w:right w:val="single" w:sz="8" w:space="0" w:color="51A66D" w:themeColor="accent4"/>
      </w:tblBorders>
    </w:tblPr>
    <w:tblStylePr w:type="firstRow">
      <w:rPr>
        <w:sz w:val="24"/>
        <w:szCs w:val="24"/>
      </w:rPr>
      <w:tblPr/>
      <w:tcPr>
        <w:tcBorders>
          <w:top w:val="nil"/>
          <w:left w:val="nil"/>
          <w:bottom w:val="single" w:sz="24" w:space="0" w:color="51A66D" w:themeColor="accent4"/>
          <w:right w:val="nil"/>
          <w:insideH w:val="nil"/>
          <w:insideV w:val="nil"/>
        </w:tcBorders>
        <w:shd w:val="clear" w:color="auto" w:fill="FFFFFF" w:themeFill="background1"/>
      </w:tcPr>
    </w:tblStylePr>
    <w:tblStylePr w:type="lastRow">
      <w:tblPr/>
      <w:tcPr>
        <w:tcBorders>
          <w:top w:val="single" w:sz="8" w:space="0" w:color="51A66D"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1A66D" w:themeColor="accent4"/>
          <w:insideH w:val="nil"/>
          <w:insideV w:val="nil"/>
        </w:tcBorders>
        <w:shd w:val="clear" w:color="auto" w:fill="FFFFFF" w:themeFill="background1"/>
      </w:tcPr>
    </w:tblStylePr>
    <w:tblStylePr w:type="lastCol">
      <w:tblPr/>
      <w:tcPr>
        <w:tcBorders>
          <w:top w:val="nil"/>
          <w:left w:val="single" w:sz="8" w:space="0" w:color="51A66D"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E9DA" w:themeFill="accent4" w:themeFillTint="3F"/>
      </w:tcPr>
    </w:tblStylePr>
    <w:tblStylePr w:type="band1Horz">
      <w:tblPr/>
      <w:tcPr>
        <w:tcBorders>
          <w:top w:val="nil"/>
          <w:bottom w:val="nil"/>
          <w:insideH w:val="nil"/>
          <w:insideV w:val="nil"/>
        </w:tcBorders>
        <w:shd w:val="clear" w:color="auto" w:fill="D3E9D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5F9FBC" w:themeColor="accent5"/>
        <w:left w:val="single" w:sz="8" w:space="0" w:color="5F9FBC" w:themeColor="accent5"/>
        <w:bottom w:val="single" w:sz="8" w:space="0" w:color="5F9FBC" w:themeColor="accent5"/>
        <w:right w:val="single" w:sz="8" w:space="0" w:color="5F9FBC" w:themeColor="accent5"/>
      </w:tblBorders>
    </w:tblPr>
    <w:tblStylePr w:type="firstRow">
      <w:rPr>
        <w:sz w:val="24"/>
        <w:szCs w:val="24"/>
      </w:rPr>
      <w:tblPr/>
      <w:tcPr>
        <w:tcBorders>
          <w:top w:val="nil"/>
          <w:left w:val="nil"/>
          <w:bottom w:val="single" w:sz="24" w:space="0" w:color="5F9FBC" w:themeColor="accent5"/>
          <w:right w:val="nil"/>
          <w:insideH w:val="nil"/>
          <w:insideV w:val="nil"/>
        </w:tcBorders>
        <w:shd w:val="clear" w:color="auto" w:fill="FFFFFF" w:themeFill="background1"/>
      </w:tcPr>
    </w:tblStylePr>
    <w:tblStylePr w:type="lastRow">
      <w:tblPr/>
      <w:tcPr>
        <w:tcBorders>
          <w:top w:val="single" w:sz="8" w:space="0" w:color="5F9FBC"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9FBC" w:themeColor="accent5"/>
          <w:insideH w:val="nil"/>
          <w:insideV w:val="nil"/>
        </w:tcBorders>
        <w:shd w:val="clear" w:color="auto" w:fill="FFFFFF" w:themeFill="background1"/>
      </w:tcPr>
    </w:tblStylePr>
    <w:tblStylePr w:type="lastCol">
      <w:tblPr/>
      <w:tcPr>
        <w:tcBorders>
          <w:top w:val="nil"/>
          <w:left w:val="single" w:sz="8" w:space="0" w:color="5F9FB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7EE" w:themeFill="accent5" w:themeFillTint="3F"/>
      </w:tcPr>
    </w:tblStylePr>
    <w:tblStylePr w:type="band1Horz">
      <w:tblPr/>
      <w:tcPr>
        <w:tcBorders>
          <w:top w:val="nil"/>
          <w:bottom w:val="nil"/>
          <w:insideH w:val="nil"/>
          <w:insideV w:val="nil"/>
        </w:tcBorders>
        <w:shd w:val="clear" w:color="auto" w:fill="D7E7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semiHidden/>
    <w:unhideWhenUsed/>
    <w:rsid w:val="006676E2"/>
    <w:pPr>
      <w:spacing w:after="0"/>
    </w:pPr>
    <w:rPr>
      <w:rFonts w:eastAsiaTheme="majorEastAsia" w:cstheme="majorBidi"/>
      <w:color w:val="000000" w:themeColor="text1"/>
    </w:rPr>
    <w:tblPr>
      <w:tblStyleRowBandSize w:val="1"/>
      <w:tblStyleColBandSize w:val="1"/>
      <w:tblBorders>
        <w:top w:val="single" w:sz="8" w:space="0" w:color="A98899" w:themeColor="accent6"/>
        <w:left w:val="single" w:sz="8" w:space="0" w:color="A98899" w:themeColor="accent6"/>
        <w:bottom w:val="single" w:sz="8" w:space="0" w:color="A98899" w:themeColor="accent6"/>
        <w:right w:val="single" w:sz="8" w:space="0" w:color="A98899" w:themeColor="accent6"/>
      </w:tblBorders>
    </w:tblPr>
    <w:tblStylePr w:type="firstRow">
      <w:rPr>
        <w:sz w:val="24"/>
        <w:szCs w:val="24"/>
      </w:rPr>
      <w:tblPr/>
      <w:tcPr>
        <w:tcBorders>
          <w:top w:val="nil"/>
          <w:left w:val="nil"/>
          <w:bottom w:val="single" w:sz="24" w:space="0" w:color="A98899" w:themeColor="accent6"/>
          <w:right w:val="nil"/>
          <w:insideH w:val="nil"/>
          <w:insideV w:val="nil"/>
        </w:tcBorders>
        <w:shd w:val="clear" w:color="auto" w:fill="FFFFFF" w:themeFill="background1"/>
      </w:tcPr>
    </w:tblStylePr>
    <w:tblStylePr w:type="lastRow">
      <w:tblPr/>
      <w:tcPr>
        <w:tcBorders>
          <w:top w:val="single" w:sz="8" w:space="0" w:color="A98899"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98899" w:themeColor="accent6"/>
          <w:insideH w:val="nil"/>
          <w:insideV w:val="nil"/>
        </w:tcBorders>
        <w:shd w:val="clear" w:color="auto" w:fill="FFFFFF" w:themeFill="background1"/>
      </w:tcPr>
    </w:tblStylePr>
    <w:tblStylePr w:type="lastCol">
      <w:tblPr/>
      <w:tcPr>
        <w:tcBorders>
          <w:top w:val="nil"/>
          <w:left w:val="single" w:sz="8" w:space="0" w:color="A98899"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1E5" w:themeFill="accent6" w:themeFillTint="3F"/>
      </w:tcPr>
    </w:tblStylePr>
    <w:tblStylePr w:type="band1Horz">
      <w:tblPr/>
      <w:tcPr>
        <w:tcBorders>
          <w:top w:val="nil"/>
          <w:bottom w:val="nil"/>
          <w:insideH w:val="nil"/>
          <w:insideV w:val="nil"/>
        </w:tcBorders>
        <w:shd w:val="clear" w:color="auto" w:fill="E9E1E5"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6676E2"/>
    <w:rPr>
      <w:rFonts w:ascii="Open Sans SemiCondensed" w:hAnsi="Open Sans SemiCondensed"/>
      <w:sz w:val="20"/>
      <w:szCs w:val="20"/>
    </w:rPr>
  </w:style>
  <w:style w:type="paragraph" w:styleId="NormalWeb">
    <w:name w:val="Normal (Web)"/>
    <w:basedOn w:val="Normal"/>
    <w:semiHidden/>
    <w:unhideWhenUsed/>
    <w:rsid w:val="006676E2"/>
    <w:rPr>
      <w:rFonts w:cs="Times New Roman"/>
      <w:sz w:val="24"/>
      <w:szCs w:val="24"/>
    </w:rPr>
  </w:style>
  <w:style w:type="paragraph" w:styleId="PrformatHTML">
    <w:name w:val="HTML Preformatted"/>
    <w:basedOn w:val="Normal"/>
    <w:link w:val="PrformatHTMLCar"/>
    <w:semiHidden/>
    <w:unhideWhenUsed/>
    <w:rsid w:val="006676E2"/>
    <w:pPr>
      <w:spacing w:line="240" w:lineRule="auto"/>
    </w:pPr>
  </w:style>
  <w:style w:type="character" w:customStyle="1" w:styleId="PrformatHTMLCar">
    <w:name w:val="Préformaté HTML Car"/>
    <w:basedOn w:val="Policepardfaut"/>
    <w:link w:val="PrformatHTML"/>
    <w:semiHidden/>
    <w:rsid w:val="006676E2"/>
  </w:style>
  <w:style w:type="paragraph" w:styleId="Textebrut">
    <w:name w:val="Plain Text"/>
    <w:basedOn w:val="Normal"/>
    <w:link w:val="TextebrutCar"/>
    <w:semiHidden/>
    <w:unhideWhenUsed/>
    <w:rsid w:val="006676E2"/>
    <w:pPr>
      <w:spacing w:line="240" w:lineRule="auto"/>
    </w:pPr>
    <w:rPr>
      <w:sz w:val="21"/>
      <w:szCs w:val="21"/>
    </w:rPr>
  </w:style>
  <w:style w:type="character" w:customStyle="1" w:styleId="TextebrutCar">
    <w:name w:val="Texte brut Car"/>
    <w:basedOn w:val="Policepardfaut"/>
    <w:link w:val="Textebrut"/>
    <w:semiHidden/>
    <w:rsid w:val="006676E2"/>
    <w:rPr>
      <w:sz w:val="21"/>
      <w:szCs w:val="21"/>
    </w:rPr>
  </w:style>
  <w:style w:type="paragraph" w:styleId="Textedebulles">
    <w:name w:val="Balloon Text"/>
    <w:basedOn w:val="Normal"/>
    <w:link w:val="TextedebullesCar"/>
    <w:semiHidden/>
    <w:unhideWhenUsed/>
    <w:rsid w:val="006676E2"/>
    <w:pPr>
      <w:spacing w:line="240" w:lineRule="auto"/>
    </w:pPr>
    <w:rPr>
      <w:sz w:val="18"/>
      <w:szCs w:val="18"/>
    </w:rPr>
  </w:style>
  <w:style w:type="character" w:customStyle="1" w:styleId="TextedebullesCar">
    <w:name w:val="Texte de bulles Car"/>
    <w:basedOn w:val="Policepardfaut"/>
    <w:link w:val="Textedebulles"/>
    <w:semiHidden/>
    <w:rsid w:val="006676E2"/>
    <w:rPr>
      <w:rFonts w:ascii="Open Sans SemiCondensed" w:hAnsi="Open Sans SemiCondensed"/>
      <w:sz w:val="18"/>
      <w:szCs w:val="18"/>
    </w:rPr>
  </w:style>
  <w:style w:type="paragraph" w:styleId="Textedemacro">
    <w:name w:val="macro"/>
    <w:link w:val="TextedemacroCar"/>
    <w:semiHidden/>
    <w:unhideWhenUsed/>
    <w:rsid w:val="006676E2"/>
    <w:pPr>
      <w:tabs>
        <w:tab w:val="left" w:pos="480"/>
        <w:tab w:val="left" w:pos="960"/>
        <w:tab w:val="left" w:pos="1440"/>
        <w:tab w:val="left" w:pos="1920"/>
        <w:tab w:val="left" w:pos="2400"/>
        <w:tab w:val="left" w:pos="2880"/>
        <w:tab w:val="left" w:pos="3360"/>
        <w:tab w:val="left" w:pos="3840"/>
        <w:tab w:val="left" w:pos="4320"/>
      </w:tabs>
      <w:spacing w:after="0" w:line="276" w:lineRule="auto"/>
    </w:pPr>
  </w:style>
  <w:style w:type="character" w:customStyle="1" w:styleId="TextedemacroCar">
    <w:name w:val="Texte de macro Car"/>
    <w:basedOn w:val="Policepardfaut"/>
    <w:link w:val="Textedemacro"/>
    <w:semiHidden/>
    <w:rsid w:val="006676E2"/>
  </w:style>
  <w:style w:type="paragraph" w:styleId="Titreindex">
    <w:name w:val="index heading"/>
    <w:basedOn w:val="Normal"/>
    <w:next w:val="Index1"/>
    <w:semiHidden/>
    <w:unhideWhenUsed/>
    <w:rsid w:val="006676E2"/>
    <w:rPr>
      <w:rFonts w:eastAsiaTheme="majorEastAsia" w:cstheme="majorBidi"/>
      <w:b/>
      <w:bCs/>
    </w:rPr>
  </w:style>
  <w:style w:type="paragraph" w:styleId="TitreTR">
    <w:name w:val="toa heading"/>
    <w:basedOn w:val="Normal"/>
    <w:next w:val="Normal"/>
    <w:semiHidden/>
    <w:unhideWhenUsed/>
    <w:rsid w:val="006676E2"/>
    <w:pPr>
      <w:spacing w:before="120"/>
    </w:pPr>
    <w:rPr>
      <w:rFonts w:eastAsiaTheme="majorEastAsia" w:cstheme="majorBidi"/>
      <w:b/>
      <w:bCs/>
      <w:sz w:val="24"/>
      <w:szCs w:val="24"/>
    </w:rPr>
  </w:style>
  <w:style w:type="numbering" w:styleId="ArticleSection">
    <w:name w:val="Outline List 3"/>
    <w:basedOn w:val="Aucuneliste"/>
    <w:semiHidden/>
    <w:unhideWhenUsed/>
    <w:rsid w:val="00153133"/>
    <w:pPr>
      <w:numPr>
        <w:numId w:val="3"/>
      </w:numPr>
    </w:pPr>
  </w:style>
  <w:style w:type="paragraph" w:styleId="Listenumros2">
    <w:name w:val="List Number 2"/>
    <w:basedOn w:val="Listenumros"/>
    <w:unhideWhenUsed/>
    <w:rsid w:val="00382314"/>
    <w:pPr>
      <w:numPr>
        <w:ilvl w:val="1"/>
      </w:numPr>
      <w:ind w:left="851" w:hanging="425"/>
    </w:pPr>
    <w:rPr>
      <w:rFonts w:cs="Open Sans SemiCondensed"/>
    </w:rPr>
  </w:style>
  <w:style w:type="paragraph" w:styleId="Listenumros3">
    <w:name w:val="List Number 3"/>
    <w:basedOn w:val="Listenumros"/>
    <w:unhideWhenUsed/>
    <w:rsid w:val="00382314"/>
    <w:pPr>
      <w:numPr>
        <w:ilvl w:val="2"/>
      </w:numPr>
    </w:pPr>
    <w:rPr>
      <w:rFonts w:cs="Open Sans SemiCondensed"/>
    </w:rPr>
  </w:style>
  <w:style w:type="character" w:styleId="Lienhypertextesuivivisit">
    <w:name w:val="FollowedHyperlink"/>
    <w:basedOn w:val="Policepardfaut"/>
    <w:semiHidden/>
    <w:unhideWhenUsed/>
    <w:rsid w:val="009E5005"/>
    <w:rPr>
      <w:color w:val="252B46" w:themeColor="followedHyperlink"/>
      <w:u w:val="single"/>
    </w:rPr>
  </w:style>
  <w:style w:type="paragraph" w:customStyle="1" w:styleId="WichtigBox">
    <w:name w:val="Wichtig Box"/>
    <w:basedOn w:val="Corpsdetexte"/>
    <w:qFormat/>
    <w:rsid w:val="00037AE3"/>
    <w:pPr>
      <w:pBdr>
        <w:top w:val="single" w:sz="48" w:space="1" w:color="FFFFFF" w:themeColor="background1"/>
        <w:left w:val="single" w:sz="48" w:space="4" w:color="FFFFFF" w:themeColor="background1"/>
        <w:bottom w:val="single" w:sz="48" w:space="1" w:color="FFFFFF" w:themeColor="background1"/>
        <w:right w:val="single" w:sz="48" w:space="4" w:color="FFFFFF" w:themeColor="background1"/>
      </w:pBdr>
      <w:shd w:val="clear" w:color="auto" w:fill="9EC5D6" w:themeFill="accent5" w:themeFillTint="99"/>
    </w:pPr>
  </w:style>
  <w:style w:type="paragraph" w:customStyle="1" w:styleId="Fragen">
    <w:name w:val="Fragen"/>
    <w:basedOn w:val="Corpsdetexte"/>
    <w:next w:val="Corpsdetexte"/>
    <w:qFormat/>
    <w:rsid w:val="0003314D"/>
    <w:pPr>
      <w:pBdr>
        <w:left w:val="single" w:sz="12" w:space="4" w:color="D31932" w:themeColor="accent1"/>
      </w:pBdr>
      <w:spacing w:before="120"/>
      <w:ind w:left="170"/>
    </w:pPr>
    <w:rPr>
      <w:color w:val="D31932" w:themeColor="accent1"/>
    </w:rPr>
  </w:style>
  <w:style w:type="table" w:styleId="TableauGrille2">
    <w:name w:val="Grid Table 2"/>
    <w:basedOn w:val="TableauNormal"/>
    <w:rsid w:val="007F5E1D"/>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Accentuation4">
    <w:name w:val="List Table 3 Accent 4"/>
    <w:basedOn w:val="TableauNormal"/>
    <w:uiPriority w:val="48"/>
    <w:rsid w:val="0020467E"/>
    <w:pPr>
      <w:spacing w:after="0"/>
    </w:pPr>
    <w:tblPr>
      <w:tblStyleRowBandSize w:val="1"/>
      <w:tblStyleColBandSize w:val="1"/>
      <w:tblBorders>
        <w:top w:val="single" w:sz="4" w:space="0" w:color="51A66D" w:themeColor="accent4"/>
        <w:left w:val="single" w:sz="4" w:space="0" w:color="51A66D" w:themeColor="accent4"/>
        <w:bottom w:val="single" w:sz="4" w:space="0" w:color="51A66D" w:themeColor="accent4"/>
        <w:right w:val="single" w:sz="4" w:space="0" w:color="51A66D" w:themeColor="accent4"/>
      </w:tblBorders>
    </w:tblPr>
    <w:tblStylePr w:type="firstRow">
      <w:rPr>
        <w:b/>
        <w:bCs/>
        <w:color w:val="FFFFFF" w:themeColor="background1"/>
      </w:rPr>
      <w:tblPr/>
      <w:tcPr>
        <w:shd w:val="clear" w:color="auto" w:fill="51A66D" w:themeFill="accent4"/>
      </w:tcPr>
    </w:tblStylePr>
    <w:tblStylePr w:type="lastRow">
      <w:rPr>
        <w:b/>
        <w:bCs/>
      </w:rPr>
      <w:tblPr/>
      <w:tcPr>
        <w:tcBorders>
          <w:top w:val="double" w:sz="4" w:space="0" w:color="51A66D" w:themeColor="accent4"/>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1A66D" w:themeColor="accent4"/>
          <w:right w:val="single" w:sz="4" w:space="0" w:color="51A66D" w:themeColor="accent4"/>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1A66D" w:themeColor="accent4"/>
          <w:left w:val="nil"/>
        </w:tcBorders>
      </w:tcPr>
    </w:tblStylePr>
    <w:tblStylePr w:type="swCell">
      <w:tblPr/>
      <w:tcPr>
        <w:tcBorders>
          <w:top w:val="double" w:sz="4" w:space="0" w:color="51A66D" w:themeColor="accent4"/>
          <w:right w:val="nil"/>
        </w:tcBorders>
      </w:tcPr>
    </w:tblStylePr>
  </w:style>
  <w:style w:type="table" w:styleId="TableauListe4-Accentuation6">
    <w:name w:val="List Table 4 Accent 6"/>
    <w:basedOn w:val="TableauNormal"/>
    <w:uiPriority w:val="49"/>
    <w:rsid w:val="007F5E1D"/>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tcBorders>
        <w:shd w:val="clear" w:color="auto" w:fill="A98899" w:themeFill="accent6"/>
      </w:tcPr>
    </w:tblStylePr>
    <w:tblStylePr w:type="lastRow">
      <w:rPr>
        <w:b/>
        <w:bCs/>
      </w:rPr>
      <w:tblPr/>
      <w:tcPr>
        <w:tcBorders>
          <w:top w:val="doub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4-Accentuation1">
    <w:name w:val="List Table 4 Accent 1"/>
    <w:basedOn w:val="TableauNormal"/>
    <w:uiPriority w:val="49"/>
    <w:rsid w:val="007F5E1D"/>
    <w:pPr>
      <w:spacing w:after="0"/>
    </w:pPr>
    <w:tblPr>
      <w:tblStyleRowBandSize w:val="1"/>
      <w:tblStyleColBandSize w:val="1"/>
      <w:tblBorders>
        <w:top w:val="single" w:sz="4" w:space="0" w:color="ED6B7D" w:themeColor="accent1" w:themeTint="99"/>
        <w:left w:val="single" w:sz="4" w:space="0" w:color="ED6B7D" w:themeColor="accent1" w:themeTint="99"/>
        <w:bottom w:val="single" w:sz="4" w:space="0" w:color="ED6B7D" w:themeColor="accent1" w:themeTint="99"/>
        <w:right w:val="single" w:sz="4" w:space="0" w:color="ED6B7D" w:themeColor="accent1" w:themeTint="99"/>
        <w:insideH w:val="single" w:sz="4" w:space="0" w:color="ED6B7D" w:themeColor="accent1" w:themeTint="99"/>
      </w:tblBorders>
    </w:tblPr>
    <w:tblStylePr w:type="firstRow">
      <w:rPr>
        <w:b/>
        <w:bCs/>
        <w:color w:val="FFFFFF" w:themeColor="background1"/>
      </w:rPr>
      <w:tblPr/>
      <w:tcPr>
        <w:tcBorders>
          <w:top w:val="single" w:sz="4" w:space="0" w:color="D31932" w:themeColor="accent1"/>
          <w:left w:val="single" w:sz="4" w:space="0" w:color="D31932" w:themeColor="accent1"/>
          <w:bottom w:val="single" w:sz="4" w:space="0" w:color="D31932" w:themeColor="accent1"/>
          <w:right w:val="single" w:sz="4" w:space="0" w:color="D31932" w:themeColor="accent1"/>
          <w:insideH w:val="nil"/>
        </w:tcBorders>
        <w:shd w:val="clear" w:color="auto" w:fill="D31932" w:themeFill="accent1"/>
      </w:tcPr>
    </w:tblStylePr>
    <w:tblStylePr w:type="lastRow">
      <w:rPr>
        <w:b/>
        <w:bCs/>
      </w:rPr>
      <w:tblPr/>
      <w:tcPr>
        <w:tcBorders>
          <w:top w:val="doub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4-Accentuation2">
    <w:name w:val="List Table 4 Accent 2"/>
    <w:basedOn w:val="TableauNormal"/>
    <w:uiPriority w:val="49"/>
    <w:rsid w:val="007F5E1D"/>
    <w:pPr>
      <w:spacing w:after="0"/>
    </w:pPr>
    <w:tblPr>
      <w:tblStyleRowBandSize w:val="1"/>
      <w:tblStyleColBandSize w:val="1"/>
      <w:tblBorders>
        <w:top w:val="single" w:sz="4" w:space="0" w:color="F39D96" w:themeColor="accent2" w:themeTint="99"/>
        <w:left w:val="single" w:sz="4" w:space="0" w:color="F39D96" w:themeColor="accent2" w:themeTint="99"/>
        <w:bottom w:val="single" w:sz="4" w:space="0" w:color="F39D96" w:themeColor="accent2" w:themeTint="99"/>
        <w:right w:val="single" w:sz="4" w:space="0" w:color="F39D96" w:themeColor="accent2" w:themeTint="99"/>
        <w:insideH w:val="single" w:sz="4" w:space="0" w:color="F39D96" w:themeColor="accent2" w:themeTint="99"/>
      </w:tblBorders>
    </w:tblPr>
    <w:tblStylePr w:type="firstRow">
      <w:rPr>
        <w:b/>
        <w:bCs/>
        <w:color w:val="FFFFFF" w:themeColor="background1"/>
      </w:rPr>
      <w:tblPr/>
      <w:tcPr>
        <w:tcBorders>
          <w:top w:val="single" w:sz="4" w:space="0" w:color="EB5E51" w:themeColor="accent2"/>
          <w:left w:val="single" w:sz="4" w:space="0" w:color="EB5E51" w:themeColor="accent2"/>
          <w:bottom w:val="single" w:sz="4" w:space="0" w:color="EB5E51" w:themeColor="accent2"/>
          <w:right w:val="single" w:sz="4" w:space="0" w:color="EB5E51" w:themeColor="accent2"/>
          <w:insideH w:val="nil"/>
        </w:tcBorders>
        <w:shd w:val="clear" w:color="auto" w:fill="EB5E51" w:themeFill="accent2"/>
      </w:tcPr>
    </w:tblStylePr>
    <w:tblStylePr w:type="lastRow">
      <w:rPr>
        <w:b/>
        <w:bCs/>
      </w:rPr>
      <w:tblPr/>
      <w:tcPr>
        <w:tcBorders>
          <w:top w:val="doub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4">
    <w:name w:val="List Table 1 Light Accent 4"/>
    <w:basedOn w:val="TableauNormal"/>
    <w:uiPriority w:val="46"/>
    <w:rsid w:val="007F5E1D"/>
    <w:pPr>
      <w:spacing w:after="0"/>
    </w:pPr>
    <w:tblPr>
      <w:tblStyleRowBandSize w:val="1"/>
      <w:tblStyleColBandSize w:val="1"/>
    </w:tblPr>
    <w:tblStylePr w:type="firstRow">
      <w:rPr>
        <w:b/>
        <w:bCs/>
      </w:rPr>
      <w:tblPr/>
      <w:tcPr>
        <w:tcBorders>
          <w:bottom w:val="single" w:sz="4" w:space="0" w:color="94CBA6" w:themeColor="accent4" w:themeTint="99"/>
        </w:tcBorders>
      </w:tcPr>
    </w:tblStylePr>
    <w:tblStylePr w:type="lastRow">
      <w:rPr>
        <w:b/>
        <w:bCs/>
      </w:rPr>
      <w:tblPr/>
      <w:tcPr>
        <w:tcBorders>
          <w:top w:val="single" w:sz="4" w:space="0" w:color="94CBA6" w:themeColor="accent4" w:themeTint="99"/>
        </w:tcBorders>
      </w:tcPr>
    </w:tblStylePr>
    <w:tblStylePr w:type="firstCol">
      <w:rPr>
        <w:b/>
        <w:bCs/>
      </w:rPr>
    </w:tblStylePr>
    <w:tblStylePr w:type="lastCol">
      <w:rPr>
        <w:b/>
        <w:bCs/>
      </w:rPr>
    </w:tblStylePr>
    <w:tblStylePr w:type="band1Vert">
      <w:tblPr/>
      <w:tcPr>
        <w:shd w:val="clear" w:color="auto" w:fill="DBEDE1" w:themeFill="accent4" w:themeFillTint="33"/>
      </w:tcPr>
    </w:tblStylePr>
    <w:tblStylePr w:type="band1Horz">
      <w:tblPr/>
      <w:tcPr>
        <w:shd w:val="clear" w:color="auto" w:fill="DBEDE1" w:themeFill="accent4" w:themeFillTint="33"/>
      </w:tcPr>
    </w:tblStylePr>
  </w:style>
  <w:style w:type="table" w:styleId="TableauListe1Clair-Accentuation3">
    <w:name w:val="List Table 1 Light Accent 3"/>
    <w:basedOn w:val="TableauNormal"/>
    <w:uiPriority w:val="46"/>
    <w:rsid w:val="007F5E1D"/>
    <w:pPr>
      <w:spacing w:after="0"/>
    </w:pPr>
    <w:tblPr>
      <w:tblStyleRowBandSize w:val="1"/>
      <w:tblStyleColBandSize w:val="1"/>
    </w:tblPr>
    <w:tblStylePr w:type="firstRow">
      <w:rPr>
        <w:b/>
        <w:bCs/>
      </w:rPr>
      <w:tblPr/>
      <w:tcPr>
        <w:tcBorders>
          <w:bottom w:val="single" w:sz="4" w:space="0" w:color="E5EB6D" w:themeColor="accent3" w:themeTint="99"/>
        </w:tcBorders>
      </w:tcPr>
    </w:tblStylePr>
    <w:tblStylePr w:type="lastRow">
      <w:rPr>
        <w:b/>
        <w:bCs/>
      </w:rPr>
      <w:tblPr/>
      <w:tcPr>
        <w:tcBorders>
          <w:top w:val="single" w:sz="4" w:space="0" w:color="E5EB6D" w:themeColor="accent3" w:themeTint="99"/>
        </w:tcBorders>
      </w:tcPr>
    </w:tblStylePr>
    <w:tblStylePr w:type="firstCol">
      <w:rPr>
        <w:b/>
        <w:bCs/>
      </w:rPr>
    </w:tblStylePr>
    <w:tblStylePr w:type="lastCol">
      <w:rPr>
        <w:b/>
        <w:bCs/>
      </w:rPr>
    </w:tblStylePr>
    <w:tblStylePr w:type="band1Vert">
      <w:tblPr/>
      <w:tcPr>
        <w:shd w:val="clear" w:color="auto" w:fill="F6F8CE" w:themeFill="accent3" w:themeFillTint="33"/>
      </w:tcPr>
    </w:tblStylePr>
    <w:tblStylePr w:type="band1Horz">
      <w:tblPr/>
      <w:tcPr>
        <w:shd w:val="clear" w:color="auto" w:fill="F6F8CE" w:themeFill="accent3" w:themeFillTint="33"/>
      </w:tcPr>
    </w:tblStylePr>
  </w:style>
  <w:style w:type="table" w:styleId="TableauListe1Clair-Accentuation2">
    <w:name w:val="List Table 1 Light Accent 2"/>
    <w:basedOn w:val="TableauNormal"/>
    <w:uiPriority w:val="46"/>
    <w:rsid w:val="007F5E1D"/>
    <w:pPr>
      <w:spacing w:after="0"/>
    </w:pPr>
    <w:tblPr>
      <w:tblStyleRowBandSize w:val="1"/>
      <w:tblStyleColBandSize w:val="1"/>
    </w:tblPr>
    <w:tblStylePr w:type="firstRow">
      <w:rPr>
        <w:b/>
        <w:bCs/>
      </w:rPr>
      <w:tblPr/>
      <w:tcPr>
        <w:tcBorders>
          <w:bottom w:val="single" w:sz="4" w:space="0" w:color="F39D96" w:themeColor="accent2" w:themeTint="99"/>
        </w:tcBorders>
      </w:tcPr>
    </w:tblStylePr>
    <w:tblStylePr w:type="lastRow">
      <w:rPr>
        <w:b/>
        <w:bCs/>
      </w:rPr>
      <w:tblPr/>
      <w:tcPr>
        <w:tcBorders>
          <w:top w:val="single" w:sz="4" w:space="0" w:color="F39D96" w:themeColor="accent2" w:themeTint="99"/>
        </w:tcBorders>
      </w:tcPr>
    </w:tblStylePr>
    <w:tblStylePr w:type="firstCol">
      <w:rPr>
        <w:b/>
        <w:bCs/>
      </w:rPr>
    </w:tblStylePr>
    <w:tblStylePr w:type="lastCol">
      <w:rPr>
        <w:b/>
        <w:bCs/>
      </w:rPr>
    </w:tblStylePr>
    <w:tblStylePr w:type="band1Vert">
      <w:tblPr/>
      <w:tcPr>
        <w:shd w:val="clear" w:color="auto" w:fill="FBDEDC" w:themeFill="accent2" w:themeFillTint="33"/>
      </w:tcPr>
    </w:tblStylePr>
    <w:tblStylePr w:type="band1Horz">
      <w:tblPr/>
      <w:tcPr>
        <w:shd w:val="clear" w:color="auto" w:fill="FBDEDC" w:themeFill="accent2" w:themeFillTint="33"/>
      </w:tcPr>
    </w:tblStylePr>
  </w:style>
  <w:style w:type="table" w:styleId="TableauListe1Clair-Accentuation1">
    <w:name w:val="List Table 1 Light Accent 1"/>
    <w:basedOn w:val="TableauNormal"/>
    <w:uiPriority w:val="46"/>
    <w:rsid w:val="007F5E1D"/>
    <w:pPr>
      <w:spacing w:after="0"/>
    </w:pPr>
    <w:tblPr>
      <w:tblStyleRowBandSize w:val="1"/>
      <w:tblStyleColBandSize w:val="1"/>
    </w:tblPr>
    <w:tblStylePr w:type="firstRow">
      <w:rPr>
        <w:b/>
        <w:bCs/>
      </w:rPr>
      <w:tblPr/>
      <w:tcPr>
        <w:tcBorders>
          <w:bottom w:val="single" w:sz="4" w:space="0" w:color="ED6B7D" w:themeColor="accent1" w:themeTint="99"/>
        </w:tcBorders>
      </w:tcPr>
    </w:tblStylePr>
    <w:tblStylePr w:type="lastRow">
      <w:rPr>
        <w:b/>
        <w:bCs/>
      </w:rPr>
      <w:tblPr/>
      <w:tcPr>
        <w:tcBorders>
          <w:top w:val="single" w:sz="4" w:space="0" w:color="ED6B7D" w:themeColor="accent1" w:themeTint="99"/>
        </w:tcBorders>
      </w:tcPr>
    </w:tblStylePr>
    <w:tblStylePr w:type="firstCol">
      <w:rPr>
        <w:b/>
        <w:bCs/>
      </w:rPr>
    </w:tblStylePr>
    <w:tblStylePr w:type="lastCol">
      <w:rPr>
        <w:b/>
        <w:bCs/>
      </w:rPr>
    </w:tblStylePr>
    <w:tblStylePr w:type="band1Vert">
      <w:tblPr/>
      <w:tcPr>
        <w:shd w:val="clear" w:color="auto" w:fill="F9CDD3" w:themeFill="accent1" w:themeFillTint="33"/>
      </w:tcPr>
    </w:tblStylePr>
    <w:tblStylePr w:type="band1Horz">
      <w:tblPr/>
      <w:tcPr>
        <w:shd w:val="clear" w:color="auto" w:fill="F9CDD3" w:themeFill="accent1" w:themeFillTint="33"/>
      </w:tcPr>
    </w:tblStylePr>
  </w:style>
  <w:style w:type="table" w:styleId="TableauListe2-Accentuation5">
    <w:name w:val="List Table 2 Accent 5"/>
    <w:basedOn w:val="TableauNormal"/>
    <w:uiPriority w:val="47"/>
    <w:rsid w:val="007F5E1D"/>
    <w:pPr>
      <w:spacing w:after="0"/>
    </w:pPr>
    <w:tblPr>
      <w:tblStyleRowBandSize w:val="1"/>
      <w:tblStyleColBandSize w:val="1"/>
      <w:tblBorders>
        <w:top w:val="single" w:sz="4" w:space="0" w:color="9EC5D6" w:themeColor="accent5" w:themeTint="99"/>
        <w:bottom w:val="single" w:sz="4" w:space="0" w:color="9EC5D6" w:themeColor="accent5" w:themeTint="99"/>
        <w:insideH w:val="single" w:sz="4" w:space="0" w:color="9EC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BF1" w:themeFill="accent5" w:themeFillTint="33"/>
      </w:tcPr>
    </w:tblStylePr>
    <w:tblStylePr w:type="band1Horz">
      <w:tblPr/>
      <w:tcPr>
        <w:shd w:val="clear" w:color="auto" w:fill="DEEBF1" w:themeFill="accent5" w:themeFillTint="33"/>
      </w:tcPr>
    </w:tblStylePr>
  </w:style>
  <w:style w:type="table" w:styleId="TableauGrille5Fonc-Accentuation6">
    <w:name w:val="Grid Table 5 Dark Accent 6"/>
    <w:basedOn w:val="TableauNormal"/>
    <w:uiPriority w:val="50"/>
    <w:rsid w:val="007F5E1D"/>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7E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98899"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98899"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98899"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98899" w:themeFill="accent6"/>
      </w:tcPr>
    </w:tblStylePr>
    <w:tblStylePr w:type="band1Vert">
      <w:tblPr/>
      <w:tcPr>
        <w:shd w:val="clear" w:color="auto" w:fill="DCCFD6" w:themeFill="accent6" w:themeFillTint="66"/>
      </w:tcPr>
    </w:tblStylePr>
    <w:tblStylePr w:type="band1Horz">
      <w:tblPr/>
      <w:tcPr>
        <w:shd w:val="clear" w:color="auto" w:fill="DCCFD6" w:themeFill="accent6" w:themeFillTint="66"/>
      </w:tcPr>
    </w:tblStylePr>
  </w:style>
  <w:style w:type="table" w:styleId="TableauGrille3-Accentuation6">
    <w:name w:val="Grid Table 3 Accent 6"/>
    <w:basedOn w:val="TableauNormal"/>
    <w:uiPriority w:val="48"/>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7EA" w:themeFill="accent6" w:themeFillTint="33"/>
      </w:tcPr>
    </w:tblStylePr>
    <w:tblStylePr w:type="band1Horz">
      <w:tblPr/>
      <w:tcPr>
        <w:shd w:val="clear" w:color="auto" w:fill="EDE7EA" w:themeFill="accent6" w:themeFillTint="33"/>
      </w:tcPr>
    </w:tblStylePr>
    <w:tblStylePr w:type="neCell">
      <w:tblPr/>
      <w:tcPr>
        <w:tcBorders>
          <w:bottom w:val="single" w:sz="4" w:space="0" w:color="CBB7C1" w:themeColor="accent6" w:themeTint="99"/>
        </w:tcBorders>
      </w:tcPr>
    </w:tblStylePr>
    <w:tblStylePr w:type="nwCell">
      <w:tblPr/>
      <w:tcPr>
        <w:tcBorders>
          <w:bottom w:val="single" w:sz="4" w:space="0" w:color="CBB7C1" w:themeColor="accent6" w:themeTint="99"/>
        </w:tcBorders>
      </w:tcPr>
    </w:tblStylePr>
    <w:tblStylePr w:type="seCell">
      <w:tblPr/>
      <w:tcPr>
        <w:tcBorders>
          <w:top w:val="single" w:sz="4" w:space="0" w:color="CBB7C1" w:themeColor="accent6" w:themeTint="99"/>
        </w:tcBorders>
      </w:tcPr>
    </w:tblStylePr>
    <w:tblStylePr w:type="swCell">
      <w:tblPr/>
      <w:tcPr>
        <w:tcBorders>
          <w:top w:val="single" w:sz="4" w:space="0" w:color="CBB7C1" w:themeColor="accent6" w:themeTint="99"/>
        </w:tcBorders>
      </w:tcPr>
    </w:tblStylePr>
  </w:style>
  <w:style w:type="table" w:styleId="TableauGrille4-Accentuation6">
    <w:name w:val="Grid Table 4 Accent 6"/>
    <w:basedOn w:val="TableauNormal"/>
    <w:uiPriority w:val="49"/>
    <w:rsid w:val="007B5701"/>
    <w:pPr>
      <w:spacing w:after="0"/>
    </w:pPr>
    <w:tblPr>
      <w:tblStyleRowBandSize w:val="1"/>
      <w:tblStyleColBandSize w:val="1"/>
      <w:tblBorders>
        <w:top w:val="single" w:sz="4" w:space="0" w:color="CBB7C1" w:themeColor="accent6" w:themeTint="99"/>
        <w:left w:val="single" w:sz="4" w:space="0" w:color="CBB7C1" w:themeColor="accent6" w:themeTint="99"/>
        <w:bottom w:val="single" w:sz="4" w:space="0" w:color="CBB7C1" w:themeColor="accent6" w:themeTint="99"/>
        <w:right w:val="single" w:sz="4" w:space="0" w:color="CBB7C1" w:themeColor="accent6" w:themeTint="99"/>
        <w:insideH w:val="single" w:sz="4" w:space="0" w:color="CBB7C1" w:themeColor="accent6" w:themeTint="99"/>
        <w:insideV w:val="single" w:sz="4" w:space="0" w:color="CBB7C1" w:themeColor="accent6" w:themeTint="99"/>
      </w:tblBorders>
    </w:tblPr>
    <w:tblStylePr w:type="firstRow">
      <w:rPr>
        <w:b/>
        <w:bCs/>
        <w:color w:val="FFFFFF" w:themeColor="background1"/>
      </w:rPr>
      <w:tblPr/>
      <w:tcPr>
        <w:tcBorders>
          <w:top w:val="single" w:sz="4" w:space="0" w:color="A98899" w:themeColor="accent6"/>
          <w:left w:val="single" w:sz="4" w:space="0" w:color="A98899" w:themeColor="accent6"/>
          <w:bottom w:val="single" w:sz="4" w:space="0" w:color="A98899" w:themeColor="accent6"/>
          <w:right w:val="single" w:sz="4" w:space="0" w:color="A98899" w:themeColor="accent6"/>
          <w:insideH w:val="nil"/>
          <w:insideV w:val="nil"/>
        </w:tcBorders>
        <w:shd w:val="clear" w:color="auto" w:fill="A98899" w:themeFill="accent6"/>
      </w:tcPr>
    </w:tblStylePr>
    <w:tblStylePr w:type="lastRow">
      <w:rPr>
        <w:b/>
        <w:bCs/>
      </w:rPr>
      <w:tblPr/>
      <w:tcPr>
        <w:tcBorders>
          <w:top w:val="double" w:sz="4" w:space="0" w:color="A98899" w:themeColor="accent6"/>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EDE7EA" w:themeFill="accent6" w:themeFillTint="33"/>
      </w:tcPr>
    </w:tblStylePr>
  </w:style>
  <w:style w:type="table" w:styleId="TableauListe1Clair-Accentuation6">
    <w:name w:val="List Table 1 Light Accent 6"/>
    <w:basedOn w:val="TableauNormal"/>
    <w:uiPriority w:val="46"/>
    <w:rsid w:val="007B5701"/>
    <w:pPr>
      <w:spacing w:after="0"/>
    </w:pPr>
    <w:tblPr>
      <w:tblStyleRowBandSize w:val="1"/>
      <w:tblStyleColBandSize w:val="1"/>
    </w:tblPr>
    <w:tblStylePr w:type="firstRow">
      <w:rPr>
        <w:b/>
        <w:bCs/>
      </w:rPr>
      <w:tblPr/>
      <w:tcPr>
        <w:tcBorders>
          <w:bottom w:val="single" w:sz="4" w:space="0" w:color="CBB7C1" w:themeColor="accent6" w:themeTint="99"/>
        </w:tcBorders>
      </w:tcPr>
    </w:tblStylePr>
    <w:tblStylePr w:type="lastRow">
      <w:rPr>
        <w:b/>
        <w:bCs/>
      </w:rPr>
      <w:tblPr/>
      <w:tcPr>
        <w:tcBorders>
          <w:top w:val="single" w:sz="4" w:space="0" w:color="CBB7C1" w:themeColor="accent6" w:themeTint="99"/>
        </w:tcBorders>
      </w:tcPr>
    </w:tblStylePr>
    <w:tblStylePr w:type="firstCol">
      <w:rPr>
        <w:b/>
        <w:bCs/>
      </w:rPr>
    </w:tblStylePr>
    <w:tblStylePr w:type="lastCol">
      <w:rPr>
        <w:b/>
        <w:bCs/>
      </w:rPr>
    </w:tblStylePr>
    <w:tblStylePr w:type="band1Vert">
      <w:tblPr/>
      <w:tcPr>
        <w:shd w:val="clear" w:color="auto" w:fill="EDE7EA" w:themeFill="accent6" w:themeFillTint="33"/>
      </w:tcPr>
    </w:tblStylePr>
    <w:tblStylePr w:type="band1Horz">
      <w:tblPr/>
      <w:tcPr>
        <w:shd w:val="clear" w:color="auto" w:fill="DCCFD6" w:themeFill="accent6" w:themeFillTint="66"/>
      </w:tcPr>
    </w:tblStylePr>
  </w:style>
  <w:style w:type="table" w:styleId="TableauListe3-Accentuation6">
    <w:name w:val="List Table 3 Accent 6"/>
    <w:basedOn w:val="TableauNormal"/>
    <w:uiPriority w:val="48"/>
    <w:rsid w:val="00AE5D15"/>
    <w:pPr>
      <w:spacing w:after="0"/>
    </w:pPr>
    <w:tblPr>
      <w:tblStyleRowBandSize w:val="1"/>
      <w:tblStyleColBandSize w:val="1"/>
      <w:tblBorders>
        <w:top w:val="single" w:sz="4" w:space="0" w:color="A98899" w:themeColor="accent6"/>
        <w:left w:val="single" w:sz="4" w:space="0" w:color="A98899" w:themeColor="accent6"/>
        <w:bottom w:val="single" w:sz="4" w:space="0" w:color="A98899" w:themeColor="accent6"/>
        <w:right w:val="single" w:sz="4" w:space="0" w:color="A98899" w:themeColor="accent6"/>
      </w:tblBorders>
    </w:tblPr>
    <w:tblStylePr w:type="firstRow">
      <w:rPr>
        <w:b/>
        <w:bCs/>
        <w:color w:val="FFFFFF" w:themeColor="background1"/>
      </w:rPr>
      <w:tblPr/>
      <w:tcPr>
        <w:shd w:val="clear" w:color="auto" w:fill="A98899" w:themeFill="accent6"/>
      </w:tcPr>
    </w:tblStylePr>
    <w:tblStylePr w:type="lastRow">
      <w:rPr>
        <w:b/>
        <w:bCs/>
      </w:rPr>
      <w:tblPr/>
      <w:tcPr>
        <w:tcBorders>
          <w:top w:val="double" w:sz="4" w:space="0" w:color="A98899" w:themeColor="accent6"/>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shd w:val="clear" w:color="auto" w:fill="FFFFFF" w:themeFill="background1"/>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98899" w:themeColor="accent6"/>
          <w:left w:val="nil"/>
        </w:tcBorders>
      </w:tcPr>
    </w:tblStylePr>
    <w:tblStylePr w:type="swCell">
      <w:tblPr/>
      <w:tcPr>
        <w:tcBorders>
          <w:top w:val="double" w:sz="4" w:space="0" w:color="A98899" w:themeColor="accent6"/>
          <w:right w:val="nil"/>
        </w:tcBorders>
      </w:tcPr>
    </w:tblStylePr>
  </w:style>
  <w:style w:type="table" w:styleId="TableauListe3-Accentuation5">
    <w:name w:val="List Table 3 Accent 5"/>
    <w:basedOn w:val="TableauNormal"/>
    <w:uiPriority w:val="48"/>
    <w:rsid w:val="0020467E"/>
    <w:pPr>
      <w:spacing w:after="0"/>
    </w:pPr>
    <w:tblPr>
      <w:tblStyleRowBandSize w:val="1"/>
      <w:tblStyleColBandSize w:val="1"/>
      <w:tblBorders>
        <w:top w:val="single" w:sz="4" w:space="0" w:color="5F9FBC" w:themeColor="accent5"/>
        <w:left w:val="single" w:sz="4" w:space="0" w:color="5F9FBC" w:themeColor="accent5"/>
        <w:bottom w:val="single" w:sz="4" w:space="0" w:color="5F9FBC" w:themeColor="accent5"/>
        <w:right w:val="single" w:sz="4" w:space="0" w:color="5F9FBC" w:themeColor="accent5"/>
      </w:tblBorders>
    </w:tblPr>
    <w:tblStylePr w:type="firstRow">
      <w:rPr>
        <w:b/>
        <w:bCs/>
        <w:color w:val="FFFFFF" w:themeColor="background1"/>
      </w:rPr>
      <w:tblPr/>
      <w:tcPr>
        <w:shd w:val="clear" w:color="auto" w:fill="5F9FBC" w:themeFill="accent5"/>
      </w:tcPr>
    </w:tblStylePr>
    <w:tblStylePr w:type="lastRow">
      <w:rPr>
        <w:b/>
        <w:bCs/>
      </w:rPr>
      <w:tblPr/>
      <w:tcPr>
        <w:tcBorders>
          <w:top w:val="double" w:sz="4" w:space="0" w:color="5F9FBC" w:themeColor="accent5"/>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5F9FBC" w:themeColor="accent5"/>
          <w:right w:val="single" w:sz="4" w:space="0" w:color="5F9FBC" w:themeColor="accent5"/>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9FBC" w:themeColor="accent5"/>
          <w:left w:val="nil"/>
        </w:tcBorders>
      </w:tcPr>
    </w:tblStylePr>
    <w:tblStylePr w:type="swCell">
      <w:tblPr/>
      <w:tcPr>
        <w:tcBorders>
          <w:top w:val="double" w:sz="4" w:space="0" w:color="5F9FBC" w:themeColor="accent5"/>
          <w:right w:val="nil"/>
        </w:tcBorders>
      </w:tcPr>
    </w:tblStylePr>
  </w:style>
  <w:style w:type="table" w:styleId="TableauListe3-Accentuation3">
    <w:name w:val="List Table 3 Accent 3"/>
    <w:basedOn w:val="TableauNormal"/>
    <w:uiPriority w:val="48"/>
    <w:rsid w:val="0020467E"/>
    <w:pPr>
      <w:spacing w:after="0"/>
    </w:pPr>
    <w:tblPr>
      <w:tblStyleRowBandSize w:val="1"/>
      <w:tblStyleColBandSize w:val="1"/>
      <w:tblBorders>
        <w:top w:val="single" w:sz="4" w:space="0" w:color="C7CF1C" w:themeColor="accent3"/>
        <w:left w:val="single" w:sz="4" w:space="0" w:color="C7CF1C" w:themeColor="accent3"/>
        <w:bottom w:val="single" w:sz="4" w:space="0" w:color="C7CF1C" w:themeColor="accent3"/>
        <w:right w:val="single" w:sz="4" w:space="0" w:color="C7CF1C" w:themeColor="accent3"/>
      </w:tblBorders>
    </w:tblPr>
    <w:tblStylePr w:type="firstRow">
      <w:rPr>
        <w:b/>
        <w:bCs/>
        <w:color w:val="FFFFFF" w:themeColor="background1"/>
      </w:rPr>
      <w:tblPr/>
      <w:tcPr>
        <w:shd w:val="clear" w:color="auto" w:fill="C7CF1C" w:themeFill="accent3"/>
      </w:tcPr>
    </w:tblStylePr>
    <w:tblStylePr w:type="lastRow">
      <w:rPr>
        <w:b/>
        <w:bCs/>
      </w:rPr>
      <w:tblPr/>
      <w:tcPr>
        <w:tcBorders>
          <w:top w:val="double" w:sz="4" w:space="0" w:color="C7CF1C" w:themeColor="accent3"/>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C7CF1C" w:themeColor="accent3"/>
          <w:right w:val="single" w:sz="4" w:space="0" w:color="C7CF1C" w:themeColor="accent3"/>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F1C" w:themeColor="accent3"/>
          <w:left w:val="nil"/>
        </w:tcBorders>
      </w:tcPr>
    </w:tblStylePr>
    <w:tblStylePr w:type="swCell">
      <w:tblPr/>
      <w:tcPr>
        <w:tcBorders>
          <w:top w:val="double" w:sz="4" w:space="0" w:color="C7CF1C" w:themeColor="accent3"/>
          <w:right w:val="nil"/>
        </w:tcBorders>
      </w:tcPr>
    </w:tblStylePr>
  </w:style>
  <w:style w:type="table" w:styleId="TableauListe3-Accentuation2">
    <w:name w:val="List Table 3 Accent 2"/>
    <w:basedOn w:val="TableauNormal"/>
    <w:uiPriority w:val="48"/>
    <w:rsid w:val="0020467E"/>
    <w:pPr>
      <w:spacing w:after="0"/>
    </w:pPr>
    <w:tblPr>
      <w:tblStyleRowBandSize w:val="1"/>
      <w:tblStyleColBandSize w:val="1"/>
      <w:tblBorders>
        <w:top w:val="single" w:sz="4" w:space="0" w:color="EB5E51" w:themeColor="accent2"/>
        <w:left w:val="single" w:sz="4" w:space="0" w:color="EB5E51" w:themeColor="accent2"/>
        <w:bottom w:val="single" w:sz="4" w:space="0" w:color="EB5E51" w:themeColor="accent2"/>
        <w:right w:val="single" w:sz="4" w:space="0" w:color="EB5E51" w:themeColor="accent2"/>
      </w:tblBorders>
    </w:tblPr>
    <w:tblStylePr w:type="firstRow">
      <w:rPr>
        <w:b/>
        <w:bCs/>
        <w:color w:val="FFFFFF" w:themeColor="background1"/>
      </w:rPr>
      <w:tblPr/>
      <w:tcPr>
        <w:shd w:val="clear" w:color="auto" w:fill="EB5E51" w:themeFill="accent2"/>
      </w:tcPr>
    </w:tblStylePr>
    <w:tblStylePr w:type="lastRow">
      <w:rPr>
        <w:b/>
        <w:bCs/>
      </w:rPr>
      <w:tblPr/>
      <w:tcPr>
        <w:tcBorders>
          <w:top w:val="double" w:sz="4" w:space="0" w:color="EB5E51" w:themeColor="accent2"/>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EB5E51" w:themeColor="accent2"/>
          <w:right w:val="single" w:sz="4" w:space="0" w:color="EB5E51" w:themeColor="accent2"/>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B5E51" w:themeColor="accent2"/>
          <w:left w:val="nil"/>
        </w:tcBorders>
      </w:tcPr>
    </w:tblStylePr>
    <w:tblStylePr w:type="swCell">
      <w:tblPr/>
      <w:tcPr>
        <w:tcBorders>
          <w:top w:val="double" w:sz="4" w:space="0" w:color="EB5E51" w:themeColor="accent2"/>
          <w:right w:val="nil"/>
        </w:tcBorders>
      </w:tcPr>
    </w:tblStylePr>
  </w:style>
  <w:style w:type="table" w:styleId="TableauListe3-Accentuation1">
    <w:name w:val="List Table 3 Accent 1"/>
    <w:basedOn w:val="TableauNormal"/>
    <w:uiPriority w:val="48"/>
    <w:rsid w:val="00467E46"/>
    <w:pPr>
      <w:spacing w:after="0"/>
    </w:pPr>
    <w:tblPr>
      <w:tblStyleRowBandSize w:val="1"/>
      <w:tblStyleColBandSize w:val="1"/>
      <w:tblBorders>
        <w:top w:val="single" w:sz="4" w:space="0" w:color="D31932" w:themeColor="accent1"/>
        <w:left w:val="single" w:sz="4" w:space="0" w:color="D31932" w:themeColor="accent1"/>
        <w:bottom w:val="single" w:sz="4" w:space="0" w:color="D31932" w:themeColor="accent1"/>
        <w:right w:val="single" w:sz="4" w:space="0" w:color="D31932" w:themeColor="accent1"/>
      </w:tblBorders>
    </w:tblPr>
    <w:tblStylePr w:type="firstRow">
      <w:rPr>
        <w:b/>
        <w:bCs/>
        <w:color w:val="FFFFFF" w:themeColor="background1"/>
      </w:rPr>
      <w:tblPr/>
      <w:tcPr>
        <w:shd w:val="clear" w:color="auto" w:fill="D31932" w:themeFill="accent1"/>
      </w:tcPr>
    </w:tblStylePr>
    <w:tblStylePr w:type="lastRow">
      <w:rPr>
        <w:b/>
        <w:bCs/>
      </w:rPr>
      <w:tblPr/>
      <w:tcPr>
        <w:tcBorders>
          <w:top w:val="double" w:sz="4" w:space="0" w:color="D31932" w:themeColor="accent1"/>
        </w:tcBorders>
        <w:shd w:val="clear" w:color="auto" w:fill="FFFFFF" w:themeFill="background1"/>
      </w:tcPr>
    </w:tblStylePr>
    <w:tblStylePr w:type="firstCol">
      <w:rPr>
        <w:b/>
        <w:bCs/>
      </w:rPr>
    </w:tblStylePr>
    <w:tblStylePr w:type="lastCol">
      <w:rPr>
        <w:b/>
        <w:bCs/>
      </w:rPr>
      <w:tblPr/>
      <w:tcPr>
        <w:tcBorders>
          <w:left w:val="nil"/>
        </w:tcBorders>
        <w:shd w:val="clear" w:color="auto" w:fill="FFFFFF" w:themeFill="background1"/>
      </w:tcPr>
    </w:tblStylePr>
    <w:tblStylePr w:type="band1Vert">
      <w:tblPr/>
      <w:tcPr>
        <w:tcBorders>
          <w:left w:val="single" w:sz="4" w:space="0" w:color="D31932" w:themeColor="accent1"/>
          <w:right w:val="single" w:sz="4" w:space="0" w:color="D31932" w:themeColor="accent1"/>
        </w:tcBorders>
      </w:tcPr>
    </w:tblStylePr>
    <w:tblStylePr w:type="band1Horz">
      <w:tblPr/>
      <w:tcPr>
        <w:shd w:val="clear" w:color="auto" w:fill="F2F2F2" w:themeFill="background1" w:themeFillShade="F2"/>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31932" w:themeColor="accent1"/>
          <w:left w:val="nil"/>
        </w:tcBorders>
      </w:tcPr>
    </w:tblStylePr>
    <w:tblStylePr w:type="swCell">
      <w:tblPr/>
      <w:tcPr>
        <w:tcBorders>
          <w:top w:val="double" w:sz="4" w:space="0" w:color="D31932" w:themeColor="accent1"/>
          <w:right w:val="nil"/>
        </w:tcBorders>
      </w:tcPr>
    </w:tblStylePr>
  </w:style>
  <w:style w:type="table" w:styleId="TableauListe4">
    <w:name w:val="List Table 4"/>
    <w:basedOn w:val="TableauNormal"/>
    <w:uiPriority w:val="49"/>
    <w:rsid w:val="006411DE"/>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3">
    <w:name w:val="List Table 3"/>
    <w:basedOn w:val="TableauNormal"/>
    <w:uiPriority w:val="48"/>
    <w:rsid w:val="006411DE"/>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styleId="Rvision">
    <w:name w:val="Revision"/>
    <w:hidden/>
    <w:semiHidden/>
    <w:rsid w:val="003F29DB"/>
    <w:pPr>
      <w:spacing w:after="0"/>
    </w:pPr>
    <w:rPr>
      <w:lang w:val="fr-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211034">
      <w:bodyDiv w:val="1"/>
      <w:marLeft w:val="0"/>
      <w:marRight w:val="0"/>
      <w:marTop w:val="0"/>
      <w:marBottom w:val="0"/>
      <w:divBdr>
        <w:top w:val="none" w:sz="0" w:space="0" w:color="auto"/>
        <w:left w:val="none" w:sz="0" w:space="0" w:color="auto"/>
        <w:bottom w:val="none" w:sz="0" w:space="0" w:color="auto"/>
        <w:right w:val="none" w:sz="0" w:space="0" w:color="auto"/>
      </w:divBdr>
    </w:div>
    <w:div w:id="695741060">
      <w:bodyDiv w:val="1"/>
      <w:marLeft w:val="0"/>
      <w:marRight w:val="0"/>
      <w:marTop w:val="0"/>
      <w:marBottom w:val="0"/>
      <w:divBdr>
        <w:top w:val="none" w:sz="0" w:space="0" w:color="auto"/>
        <w:left w:val="none" w:sz="0" w:space="0" w:color="auto"/>
        <w:bottom w:val="none" w:sz="0" w:space="0" w:color="auto"/>
        <w:right w:val="none" w:sz="0" w:space="0" w:color="auto"/>
      </w:divBdr>
    </w:div>
    <w:div w:id="1218737597">
      <w:bodyDiv w:val="1"/>
      <w:marLeft w:val="0"/>
      <w:marRight w:val="0"/>
      <w:marTop w:val="0"/>
      <w:marBottom w:val="0"/>
      <w:divBdr>
        <w:top w:val="none" w:sz="0" w:space="0" w:color="auto"/>
        <w:left w:val="none" w:sz="0" w:space="0" w:color="auto"/>
        <w:bottom w:val="none" w:sz="0" w:space="0" w:color="auto"/>
        <w:right w:val="none" w:sz="0" w:space="0" w:color="auto"/>
      </w:divBdr>
    </w:div>
    <w:div w:id="1460491572">
      <w:bodyDiv w:val="1"/>
      <w:marLeft w:val="0"/>
      <w:marRight w:val="0"/>
      <w:marTop w:val="0"/>
      <w:marBottom w:val="0"/>
      <w:divBdr>
        <w:top w:val="none" w:sz="0" w:space="0" w:color="auto"/>
        <w:left w:val="none" w:sz="0" w:space="0" w:color="auto"/>
        <w:bottom w:val="none" w:sz="0" w:space="0" w:color="auto"/>
        <w:right w:val="none" w:sz="0" w:space="0" w:color="auto"/>
      </w:divBdr>
    </w:div>
    <w:div w:id="1484810821">
      <w:bodyDiv w:val="1"/>
      <w:marLeft w:val="0"/>
      <w:marRight w:val="0"/>
      <w:marTop w:val="0"/>
      <w:marBottom w:val="0"/>
      <w:divBdr>
        <w:top w:val="none" w:sz="0" w:space="0" w:color="auto"/>
        <w:left w:val="none" w:sz="0" w:space="0" w:color="auto"/>
        <w:bottom w:val="none" w:sz="0" w:space="0" w:color="auto"/>
        <w:right w:val="none" w:sz="0" w:space="0" w:color="auto"/>
      </w:divBdr>
    </w:div>
    <w:div w:id="20530002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hyperlink" Target="https://backend.sbfi.admin.ch/fileservice/sdweb-docs-prod-sbfitestch-files/files/2025/05/23/7588fc12-000c-4569-857e-b528443dc05b.pdf" TargetMode="External"/><Relationship Id="rId26" Type="http://schemas.openxmlformats.org/officeDocument/2006/relationships/hyperlink" Target="https://search.bger.ch/ext/eurospider/live/fr/php/clir/http/index.php?highlight_docid=atf%3A%2F%2F147-I-73%3Afr&amp;lang=fr&amp;zoom=&amp;type=show_document" TargetMode="External"/><Relationship Id="rId3" Type="http://schemas.openxmlformats.org/officeDocument/2006/relationships/customXml" Target="../customXml/item3.xml"/><Relationship Id="rId21" Type="http://schemas.openxmlformats.org/officeDocument/2006/relationships/hyperlink" Target="https://www.fedlex.admin.ch/eli/cc/2014/245/fr"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fr.ch/sites/default/files/2025-04/directives-csm-concernant-l-harmonisation-des-mesures-de-compensation-des-desavantages-dans-le-domaine-de-la-maturite-gymnasiale.pdf" TargetMode="External"/><Relationship Id="rId25" Type="http://schemas.openxmlformats.org/officeDocument/2006/relationships/hyperlink" Target="https://publicationtc.fr.ch/tribunavtplus/ServletDownload/601_2024_138_fdcabeb483dc4a9791eb89de3c5106bb.pdf?path=f18a529ee8848b75abde07209eae3fd7a9c7a11cf75c501d10a9f97e42c6b64128f85999014e8c946fa1076a1920361453b869f002996cf50a10d2c8c46bed92edd067ae0c746b314a97ccda74cd4f8c&amp;pathIsEncrypted=1&amp;dossiernummer=601_2024_138"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fedlex.admin.ch/eli/cc/2023/378/fr" TargetMode="External"/><Relationship Id="rId20" Type="http://schemas.openxmlformats.org/officeDocument/2006/relationships/hyperlink" Target="https://www.fedlex.admin.ch/eli/cc/2014/245/fr" TargetMode="External"/><Relationship Id="rId29" Type="http://schemas.openxmlformats.org/officeDocument/2006/relationships/hyperlink" Target="https://bdlf.fr.ch/app/fr/texts_of_law/150.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57161/r2025-03-07" TargetMode="External"/><Relationship Id="rId24" Type="http://schemas.openxmlformats.org/officeDocument/2006/relationships/hyperlink" Target="https://www.fr.ch/sites/default/files/contens/dics/_www/files/pdf94/directives-de-la-dfac-concernant-l-octroi-de-mesures-de-compensation-des-desavantages-cdd.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fedlex.admin.ch/eli/cc/2023/378/fr" TargetMode="External"/><Relationship Id="rId23" Type="http://schemas.openxmlformats.org/officeDocument/2006/relationships/hyperlink" Target="https://www.ge.ch/document/directive-amenagements-formels-compensation-desavantages-eleves-besoins-educatifs-particuliers" TargetMode="External"/><Relationship Id="rId28" Type="http://schemas.openxmlformats.org/officeDocument/2006/relationships/hyperlink" Target="https://publicationtc.fr.ch/tribunavtplus/ServletDownload/601_2024_138_fdcabeb483dc4a9791eb89de3c5106bb.pdf?path=f18a529ee8848b75abde07209eae3fd7a9c7a11cf75c501d10a9f97e42c6b64128f85999014e8c946fa1076a1920361453b869f002996cf50a10d2c8c46bed92edd067ae0c746b314a97ccda74cd4f8c&amp;pathIsEncrypted=1&amp;dossiernummer=601_2024_138" TargetMode="External"/><Relationship Id="rId10" Type="http://schemas.openxmlformats.org/officeDocument/2006/relationships/endnotes" Target="endnotes.xml"/><Relationship Id="rId19" Type="http://schemas.openxmlformats.org/officeDocument/2006/relationships/hyperlink" Target="https://www.fr.ch/sites/default/files/2023-11/csm-recommandation_harmonisation_comp._desav._examens_finaux.pdf" TargetMode="External"/><Relationship Id="rId31" Type="http://schemas.openxmlformats.org/officeDocument/2006/relationships/hyperlink" Target="mailto:arun.bolkensteyn@inclusion-handicap.ch"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edlex.admin.ch/eli/oc/2024/353/fr" TargetMode="External"/><Relationship Id="rId22" Type="http://schemas.openxmlformats.org/officeDocument/2006/relationships/hyperlink" Target="https://www.parlament.ch/fr/ratsbetrieb/suche-curia-vista/geschaeft?AffairId=20243100" TargetMode="External"/><Relationship Id="rId27" Type="http://schemas.openxmlformats.org/officeDocument/2006/relationships/hyperlink" Target="https://search.bger.ch/ext/eurospider/live/fr/php/aza/http/index.php?lang=fr&amp;type=highlight_simple_query&amp;page=1&amp;from_date=&amp;to_date=&amp;sort=relevance&amp;insertion_date=&amp;top_subcollection_aza=all&amp;query_words=2c_299%2F2023&amp;rank=1&amp;azaclir=aza&amp;highlight_docid=aza%3A%2F%2F07-05-2024-2C_299-2023&amp;number_of_ranks=100"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odieSiffert\SZH%20CSPS\Daten_Allgemein%20-%20General\2_Produkte\52_Revue\RV02_Redaction\Revue_2025\03_Secondaire%20II\Layout_03_2025.dotx" TargetMode="External"/></Relationships>
</file>

<file path=word/theme/theme1.xml><?xml version="1.0" encoding="utf-8"?>
<a:theme xmlns:a="http://schemas.openxmlformats.org/drawingml/2006/main" name="Office Theme">
  <a:themeElements>
    <a:clrScheme name="SZH/CSPS">
      <a:dk1>
        <a:sysClr val="windowText" lastClr="000000"/>
      </a:dk1>
      <a:lt1>
        <a:sysClr val="window" lastClr="FFFFFF"/>
      </a:lt1>
      <a:dk2>
        <a:srgbClr val="252B46"/>
      </a:dk2>
      <a:lt2>
        <a:srgbClr val="FFFFFF"/>
      </a:lt2>
      <a:accent1>
        <a:srgbClr val="D31932"/>
      </a:accent1>
      <a:accent2>
        <a:srgbClr val="EB5E51"/>
      </a:accent2>
      <a:accent3>
        <a:srgbClr val="C7CF1C"/>
      </a:accent3>
      <a:accent4>
        <a:srgbClr val="51A66D"/>
      </a:accent4>
      <a:accent5>
        <a:srgbClr val="5F9FBC"/>
      </a:accent5>
      <a:accent6>
        <a:srgbClr val="A98899"/>
      </a:accent6>
      <a:hlink>
        <a:srgbClr val="D31932"/>
      </a:hlink>
      <a:folHlink>
        <a:srgbClr val="252B46"/>
      </a:folHlink>
    </a:clrScheme>
    <a:fontScheme name="Personnalisé 1">
      <a:majorFont>
        <a:latin typeface="Open Sans SemiCondensed"/>
        <a:ea typeface=""/>
        <a:cs typeface=""/>
      </a:majorFont>
      <a:minorFont>
        <a:latin typeface="Open Sans SemiCondense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7681858B7D484080A6C8E6830BC98C" ma:contentTypeVersion="19" ma:contentTypeDescription="Crée un document." ma:contentTypeScope="" ma:versionID="243fb023e4ddb608d117a77b56c3fbd3">
  <xsd:schema xmlns:xsd="http://www.w3.org/2001/XMLSchema" xmlns:xs="http://www.w3.org/2001/XMLSchema" xmlns:p="http://schemas.microsoft.com/office/2006/metadata/properties" xmlns:ns2="76555f21-dda2-40b2-9e67-0c5126acc9bb" xmlns:ns3="4fd9addd-010e-4f5f-8f1c-4194eaaa354f" targetNamespace="http://schemas.microsoft.com/office/2006/metadata/properties" ma:root="true" ma:fieldsID="6fbe3316efade40d4e1c5b3edc4dc08a" ns2:_="" ns3:_="">
    <xsd:import namespace="76555f21-dda2-40b2-9e67-0c5126acc9bb"/>
    <xsd:import namespace="4fd9addd-010e-4f5f-8f1c-4194eaaa35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555f21-dda2-40b2-9e67-0c5126acc9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8ca9b99-a138-4061-96ae-ccea63f4814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fd9addd-010e-4f5f-8f1c-4194eaaa354f" elementFormDefault="qualified">
    <xsd:import namespace="http://schemas.microsoft.com/office/2006/documentManagement/types"/>
    <xsd:import namespace="http://schemas.microsoft.com/office/infopath/2007/PartnerControls"/>
    <xsd:element name="SharedWithUsers" ma:index="1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8d73401d-95f3-4a64-be7b-bef45ce11d4d}" ma:internalName="TaxCatchAll" ma:showField="CatchAllData" ma:web="4fd9addd-010e-4f5f-8f1c-4194eaaa35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fd9addd-010e-4f5f-8f1c-4194eaaa354f" xsi:nil="true"/>
    <lcf76f155ced4ddcb4097134ff3c332f xmlns="76555f21-dda2-40b2-9e67-0c5126acc9b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6F7A1F1-9340-463B-9E6C-7F5F5F30B20A}"/>
</file>

<file path=customXml/itemProps2.xml><?xml version="1.0" encoding="utf-8"?>
<ds:datastoreItem xmlns:ds="http://schemas.openxmlformats.org/officeDocument/2006/customXml" ds:itemID="{E47EC88C-8D21-434D-9DE7-8252E3B8ED27}">
  <ds:schemaRefs>
    <ds:schemaRef ds:uri="http://schemas.microsoft.com/sharepoint/v3/contenttype/forms"/>
  </ds:schemaRefs>
</ds:datastoreItem>
</file>

<file path=customXml/itemProps3.xml><?xml version="1.0" encoding="utf-8"?>
<ds:datastoreItem xmlns:ds="http://schemas.openxmlformats.org/officeDocument/2006/customXml" ds:itemID="{14A644E3-04CA-494A-AE18-74A0A7989E17}">
  <ds:schemaRefs>
    <ds:schemaRef ds:uri="http://schemas.openxmlformats.org/officeDocument/2006/bibliography"/>
  </ds:schemaRefs>
</ds:datastoreItem>
</file>

<file path=customXml/itemProps4.xml><?xml version="1.0" encoding="utf-8"?>
<ds:datastoreItem xmlns:ds="http://schemas.openxmlformats.org/officeDocument/2006/customXml" ds:itemID="{E3F9FDA9-7FB6-4D8D-862D-895C44714D11}">
  <ds:schemaRefs>
    <ds:schemaRef ds:uri="http://schemas.microsoft.com/office/2006/metadata/properties"/>
    <ds:schemaRef ds:uri="http://schemas.microsoft.com/office/infopath/2007/PartnerControls"/>
    <ds:schemaRef ds:uri="4fd9addd-010e-4f5f-8f1c-4194eaaa354f"/>
    <ds:schemaRef ds:uri="76555f21-dda2-40b2-9e67-0c5126acc9bb"/>
  </ds:schemaRefs>
</ds:datastoreItem>
</file>

<file path=docProps/app.xml><?xml version="1.0" encoding="utf-8"?>
<Properties xmlns="http://schemas.openxmlformats.org/officeDocument/2006/extended-properties" xmlns:vt="http://schemas.openxmlformats.org/officeDocument/2006/docPropsVTypes">
  <Template>Layout_03_2025</Template>
  <TotalTime>0</TotalTime>
  <Pages>2</Pages>
  <Words>1281</Words>
  <Characters>8073</Characters>
  <Application>Microsoft Office Word</Application>
  <DocSecurity>0</DocSecurity>
  <Lines>67</Lines>
  <Paragraphs>18</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Title</vt:lpstr>
      <vt:lpstr>Title</vt:lpstr>
    </vt:vector>
  </TitlesOfParts>
  <Company/>
  <LinksUpToDate>false</LinksUpToDate>
  <CharactersWithSpaces>9336</CharactersWithSpaces>
  <SharedDoc>false</SharedDoc>
  <HLinks>
    <vt:vector size="36" baseType="variant">
      <vt:variant>
        <vt:i4>3735581</vt:i4>
      </vt:variant>
      <vt:variant>
        <vt:i4>9</vt:i4>
      </vt:variant>
      <vt:variant>
        <vt:i4>0</vt:i4>
      </vt:variant>
      <vt:variant>
        <vt:i4>5</vt:i4>
      </vt:variant>
      <vt:variant>
        <vt:lpwstr>mailto:arun.bolkensteyn@inclusion-handicap.ch</vt:lpwstr>
      </vt:variant>
      <vt:variant>
        <vt:lpwstr/>
      </vt:variant>
      <vt:variant>
        <vt:i4>7471212</vt:i4>
      </vt:variant>
      <vt:variant>
        <vt:i4>6</vt:i4>
      </vt:variant>
      <vt:variant>
        <vt:i4>0</vt:i4>
      </vt:variant>
      <vt:variant>
        <vt:i4>5</vt:i4>
      </vt:variant>
      <vt:variant>
        <vt:lpwstr>https://www.fedlex.admin.ch/eli/cc/2023/378/fr</vt:lpwstr>
      </vt:variant>
      <vt:variant>
        <vt:lpwstr/>
      </vt:variant>
      <vt:variant>
        <vt:i4>7340140</vt:i4>
      </vt:variant>
      <vt:variant>
        <vt:i4>3</vt:i4>
      </vt:variant>
      <vt:variant>
        <vt:i4>0</vt:i4>
      </vt:variant>
      <vt:variant>
        <vt:i4>5</vt:i4>
      </vt:variant>
      <vt:variant>
        <vt:lpwstr>https://www.fedlex.admin.ch/eli/oc/2024/353/fr</vt:lpwstr>
      </vt:variant>
      <vt:variant>
        <vt:lpwstr/>
      </vt:variant>
      <vt:variant>
        <vt:i4>1704026</vt:i4>
      </vt:variant>
      <vt:variant>
        <vt:i4>0</vt:i4>
      </vt:variant>
      <vt:variant>
        <vt:i4>0</vt:i4>
      </vt:variant>
      <vt:variant>
        <vt:i4>5</vt:i4>
      </vt:variant>
      <vt:variant>
        <vt:lpwstr>https://doi.org/10.57161/r2025-03-0X</vt:lpwstr>
      </vt:variant>
      <vt:variant>
        <vt:lpwstr/>
      </vt:variant>
      <vt:variant>
        <vt:i4>7274521</vt:i4>
      </vt:variant>
      <vt:variant>
        <vt:i4>3</vt:i4>
      </vt:variant>
      <vt:variant>
        <vt:i4>0</vt:i4>
      </vt:variant>
      <vt:variant>
        <vt:i4>5</vt:i4>
      </vt:variant>
      <vt:variant>
        <vt:lpwstr>mailto:geraldine.ayer@szh.ch</vt:lpwstr>
      </vt:variant>
      <vt:variant>
        <vt:lpwstr/>
      </vt:variant>
      <vt:variant>
        <vt:i4>7274521</vt:i4>
      </vt:variant>
      <vt:variant>
        <vt:i4>0</vt:i4>
      </vt:variant>
      <vt:variant>
        <vt:i4>0</vt:i4>
      </vt:variant>
      <vt:variant>
        <vt:i4>5</vt:i4>
      </vt:variant>
      <vt:variant>
        <vt:lpwstr>mailto:geraldine.ayer@szh.ch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Directive de la Commission suisse de maturité sur les mesures de compensation des désavantages au gymnase</dc:title>
  <dc:creator>Arun Bolkensteyn</dc:creator>
  <cp:keywords/>
  <cp:lastModifiedBy>Ayer, Geraldine</cp:lastModifiedBy>
  <cp:revision>10</cp:revision>
  <cp:lastPrinted>2025-08-25T13:53:00Z</cp:lastPrinted>
  <dcterms:created xsi:type="dcterms:W3CDTF">2025-08-25T14:33:00Z</dcterms:created>
  <dcterms:modified xsi:type="dcterms:W3CDTF">2025-08-28T10:12:00Z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0x010100C27681858B7D484080A6C8E6830BC98C</vt:lpwstr>
  </property>
  <property fmtid="{D5CDD505-2E9C-101B-9397-08002B2CF9AE}" pid="3" name="MediaServiceImageTags">
    <vt:lpwstr/>
  </property>
  <property fmtid="{D5CDD505-2E9C-101B-9397-08002B2CF9AE}" pid="4" name="ZOTERO_PREF_1">
    <vt:lpwstr>&lt;data data-version="3" zotero-version="5.0.96.3"&gt;&lt;session id="QVTIewH6"/&gt;&lt;style id="http://www.zotero.org/styles/apa" locale="fr-FR" hasBibliography="1" bibliographyStyleHasBeenSet="1"/&gt;&lt;prefs&gt;&lt;pref name="fieldType" value="Bookmark"/&gt;&lt;pref name="automatic</vt:lpwstr>
  </property>
  <property fmtid="{D5CDD505-2E9C-101B-9397-08002B2CF9AE}" pid="5" name="ZOTERO_PREF_2">
    <vt:lpwstr>JournalAbbreviations" value="true"/&gt;&lt;/prefs&gt;&lt;/data&gt;</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 11th edition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7th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 6th edition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http://www.zotero.org/styles/modern-language-association</vt:lpwstr>
  </property>
  <property fmtid="{D5CDD505-2E9C-101B-9397-08002B2CF9AE}" pid="23" name="Mendeley Recent Style Name 8_1">
    <vt:lpwstr>Modern Language Association 8th edition</vt:lpwstr>
  </property>
  <property fmtid="{D5CDD505-2E9C-101B-9397-08002B2CF9AE}" pid="24" name="Mendeley Recent Style Id 9_1">
    <vt:lpwstr>http://www.zotero.org/styles/nature</vt:lpwstr>
  </property>
  <property fmtid="{D5CDD505-2E9C-101B-9397-08002B2CF9AE}" pid="25" name="Mendeley Recent Style Name 9_1">
    <vt:lpwstr>Nature</vt:lpwstr>
  </property>
  <property fmtid="{D5CDD505-2E9C-101B-9397-08002B2CF9AE}" pid="26" name="ZOTERO_BREF_LJpYRCftHTcs_1">
    <vt:lpwstr>ZOTERO_ITEM CSL_CITATION {"citationID":"UR6fXmLH","properties":{"formattedCitation":"(Bourke-Taylor et al., 2010)","plainCitation":"(Bourke-Taylor et al., 2010)","noteIndex":0},"citationItems":[{"id":2,"uris":["http://zotero.org/users/local/VFQK57b2/items</vt:lpwstr>
  </property>
  <property fmtid="{D5CDD505-2E9C-101B-9397-08002B2CF9AE}" pid="27" name="ZOTERO_BREF_LJpYRCftHTcs_2">
    <vt:lpwstr>/ELZKDGJZ"],"uri":["http://zotero.org/users/local/VFQK57b2/items/ELZKDGJZ"],"itemData":{"id":2,"type":"article-journal","container-title":"Australian Occupational Therapy Journal","DOI":"10.1111/j.1440-1630.2009.00817.x","issue":"2","language":"en","page"</vt:lpwstr>
  </property>
  <property fmtid="{D5CDD505-2E9C-101B-9397-08002B2CF9AE}" pid="28" name="ZOTERO_BREF_LJpYRCftHTcs_3">
    <vt:lpwstr>:"127–36","title":"Impact of caring for a school-aged child with a disability: understanding mothers' perspectives","volume":"57","author":[{"family":"Bourke-Taylor","given":"H."},{"family":"Howie","given":"L."},{"family":"Law","given":"M."}],"issued":{"d</vt:lpwstr>
  </property>
  <property fmtid="{D5CDD505-2E9C-101B-9397-08002B2CF9AE}" pid="29" name="ZOTERO_BREF_LJpYRCftHTcs_4">
    <vt:lpwstr>ate-parts":[["2010"]]},"citation-key":"bourke-taylorImpactCaringSchoolaged2010"}}],"schema":"https://github.com/citation-style-language/schema/raw/master/csl-citation.json"}</vt:lpwstr>
  </property>
  <property fmtid="{D5CDD505-2E9C-101B-9397-08002B2CF9AE}" pid="30" name="ZOTERO_BREF_0lLwaBULNIz3_1">
    <vt:lpwstr>ZOTERO_BIBL {"uncited":[],"omitted":[],"custom":[]} CSL_BIBLIOGRAPHY</vt:lpwstr>
  </property>
</Properties>
</file>