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42422" w14:textId="469BA754" w:rsidR="001114E2" w:rsidRPr="005C143E" w:rsidRDefault="000E3081" w:rsidP="004913FB">
      <w:pPr>
        <w:pStyle w:val="Titel"/>
        <w:rPr>
          <w:lang w:val="fr-CH"/>
        </w:rPr>
      </w:pPr>
      <w:r w:rsidRPr="005C143E">
        <w:rPr>
          <w:lang w:val="fr-CH"/>
        </w:rPr>
        <w:t>De l’école à l’emploi</w:t>
      </w:r>
    </w:p>
    <w:p w14:paraId="77BB0B22" w14:textId="493D3BC2" w:rsidR="001114E2" w:rsidRPr="005C143E" w:rsidRDefault="000E3081" w:rsidP="005A2ED3">
      <w:pPr>
        <w:pStyle w:val="Untertitel"/>
        <w:rPr>
          <w:lang w:val="fr-CH"/>
        </w:rPr>
      </w:pPr>
      <w:r w:rsidRPr="005C143E">
        <w:rPr>
          <w:lang w:val="fr-CH"/>
        </w:rPr>
        <w:t xml:space="preserve">Enjeux pour la qualité de </w:t>
      </w:r>
      <w:r w:rsidRPr="00D22711">
        <w:rPr>
          <w:lang w:val="fr-CH"/>
        </w:rPr>
        <w:t>vie</w:t>
      </w:r>
      <w:r w:rsidRPr="005C143E">
        <w:rPr>
          <w:lang w:val="fr-CH"/>
        </w:rPr>
        <w:t xml:space="preserve"> des jeunes en situation de handicap</w:t>
      </w:r>
    </w:p>
    <w:p w14:paraId="5DA70EF0" w14:textId="30AC2ABB" w:rsidR="001114E2" w:rsidRPr="005B58DE" w:rsidRDefault="00F721E1" w:rsidP="006C2B84">
      <w:pPr>
        <w:pStyle w:val="Author"/>
        <w:rPr>
          <w:rFonts w:cs="Open Sans SemiCondensed"/>
        </w:rPr>
      </w:pPr>
      <w:r w:rsidRPr="005B58DE">
        <w:rPr>
          <w:rFonts w:cs="Open Sans SemiCondensed"/>
        </w:rPr>
        <w:t>Elisa</w:t>
      </w:r>
      <w:r w:rsidR="00182789">
        <w:rPr>
          <w:rFonts w:cs="Open Sans SemiCondensed"/>
        </w:rPr>
        <w:t> </w:t>
      </w:r>
      <w:proofErr w:type="spellStart"/>
      <w:r w:rsidRPr="005B58DE">
        <w:rPr>
          <w:rFonts w:cs="Open Sans SemiCondensed"/>
        </w:rPr>
        <w:t>Gero</w:t>
      </w:r>
      <w:r w:rsidR="005B58DE">
        <w:rPr>
          <w:rFonts w:cs="Open Sans SemiCondensed"/>
        </w:rPr>
        <w:t>n</w:t>
      </w:r>
      <w:r w:rsidRPr="005B58DE">
        <w:rPr>
          <w:rFonts w:cs="Open Sans SemiCondensed"/>
        </w:rPr>
        <w:t>i</w:t>
      </w:r>
      <w:r w:rsidR="005B58DE">
        <w:rPr>
          <w:rFonts w:cs="Open Sans SemiCondensed"/>
        </w:rPr>
        <w:t>m</w:t>
      </w:r>
      <w:r w:rsidRPr="005B58DE">
        <w:rPr>
          <w:rFonts w:cs="Open Sans SemiCondensed"/>
        </w:rPr>
        <w:t>i</w:t>
      </w:r>
      <w:proofErr w:type="spellEnd"/>
      <w:r w:rsidRPr="005B58DE">
        <w:rPr>
          <w:rFonts w:cs="Open Sans SemiCondensed"/>
        </w:rPr>
        <w:t xml:space="preserve"> et Gregorio Avilés</w:t>
      </w:r>
      <w:r w:rsidR="00386CFF" w:rsidRPr="005B58DE">
        <w:rPr>
          <w:rFonts w:cs="Open Sans SemiCondensed"/>
        </w:rPr>
        <w:t xml:space="preserve"> </w:t>
      </w:r>
    </w:p>
    <w:p w14:paraId="6CF4E321" w14:textId="28358135" w:rsidR="000352CE" w:rsidRPr="00153133" w:rsidRDefault="004C13EB" w:rsidP="000352CE">
      <w:pPr>
        <w:pStyle w:val="Abstract"/>
        <w:rPr>
          <w:rFonts w:cs="Open Sans SemiCondensed"/>
          <w:lang w:val="fr-CH"/>
        </w:rPr>
      </w:pPr>
      <w:r w:rsidRPr="005C143E">
        <w:rPr>
          <w:rFonts w:cs="Open Sans SemiCondensed"/>
          <w:lang w:val="fr-CH"/>
        </w:rPr>
        <w:t>Résumé</w:t>
      </w:r>
      <w:r w:rsidR="000352CE" w:rsidRPr="005C143E">
        <w:rPr>
          <w:rFonts w:cs="Open Sans SemiCondensed"/>
          <w:lang w:val="fr-CH"/>
        </w:rPr>
        <w:br/>
      </w:r>
      <w:r w:rsidR="000E3081" w:rsidRPr="005C143E">
        <w:rPr>
          <w:lang w:val="fr-CH"/>
        </w:rPr>
        <w:t>Cet article traite des bénéfices que le travail peut apporter à la qualité de vie des personnes en situation de handicap, notamment celles ayant une déficience intellectuelle, qui sont parmi les plus stigmatisées dans l’accès à l’emploi. L’accent est mis sur les apports de la littérature scientifique concernant les jeunes en phase de transition entre l</w:t>
      </w:r>
      <w:r w:rsidR="00FA65F0">
        <w:rPr>
          <w:lang w:val="fr-CH"/>
        </w:rPr>
        <w:t>’</w:t>
      </w:r>
      <w:r w:rsidR="000E3081" w:rsidRPr="005C143E">
        <w:rPr>
          <w:lang w:val="fr-CH"/>
        </w:rPr>
        <w:t>école et le monde du travail. Pour garantir une transition de qualité, plusieurs bonnes</w:t>
      </w:r>
      <w:r w:rsidR="000E3081" w:rsidRPr="00D449A1">
        <w:rPr>
          <w:lang w:val="fr-FR"/>
        </w:rPr>
        <w:t xml:space="preserve"> pratiques sont recommandées, telles que l</w:t>
      </w:r>
      <w:r w:rsidR="00FA65F0">
        <w:rPr>
          <w:lang w:val="fr-FR"/>
        </w:rPr>
        <w:t>’</w:t>
      </w:r>
      <w:r w:rsidR="000E3081" w:rsidRPr="00D449A1">
        <w:rPr>
          <w:lang w:val="fr-FR"/>
        </w:rPr>
        <w:t>implication de la famille, l</w:t>
      </w:r>
      <w:r w:rsidR="00FA65F0">
        <w:rPr>
          <w:lang w:val="fr-FR"/>
        </w:rPr>
        <w:t>’</w:t>
      </w:r>
      <w:r w:rsidR="000E3081" w:rsidRPr="00D449A1">
        <w:rPr>
          <w:lang w:val="fr-FR"/>
        </w:rPr>
        <w:t>apprentissage basé sur le travail et la collaboration avec les entreprises</w:t>
      </w:r>
      <w:r w:rsidR="000E3081">
        <w:rPr>
          <w:lang w:val="fr-FR"/>
        </w:rPr>
        <w:t>.</w:t>
      </w:r>
      <w:r w:rsidR="00D02DE1" w:rsidRPr="00153133">
        <w:rPr>
          <w:rFonts w:cs="Open Sans SemiCondensed"/>
          <w:lang w:val="fr-CH"/>
        </w:rPr>
        <w:t xml:space="preserve"> </w:t>
      </w:r>
    </w:p>
    <w:p w14:paraId="09BA4FF2" w14:textId="735DD23B" w:rsidR="001114E2" w:rsidRPr="00F721E1" w:rsidRDefault="00985126" w:rsidP="00F721E1">
      <w:pPr>
        <w:pStyle w:val="Abstract"/>
        <w:rPr>
          <w:rFonts w:cs="Open Sans SemiCondensed"/>
          <w:lang w:val="de-DE"/>
        </w:rPr>
      </w:pPr>
      <w:r w:rsidRPr="00F721E1">
        <w:rPr>
          <w:rFonts w:cs="Open Sans SemiCondensed"/>
          <w:lang w:val="de-DE"/>
        </w:rPr>
        <w:t>Zusammenfassung</w:t>
      </w:r>
      <w:r w:rsidR="00E7780E" w:rsidRPr="00F721E1">
        <w:rPr>
          <w:rFonts w:cs="Open Sans SemiCondensed"/>
          <w:lang w:val="de-DE"/>
        </w:rPr>
        <w:br/>
      </w:r>
      <w:r w:rsidR="00F721E1" w:rsidRPr="00F721E1">
        <w:rPr>
          <w:rFonts w:cs="Open Sans SemiCondensed"/>
          <w:lang w:val="de-DE"/>
        </w:rPr>
        <w:t>Dieser Artikel befasst sich mit den Vorteilen, die Arbeit für die Lebensqualität von Menschen mit Behinderungen bieten kann</w:t>
      </w:r>
      <w:r w:rsidR="00976031">
        <w:rPr>
          <w:rFonts w:cs="Open Sans SemiCondensed"/>
          <w:lang w:val="de-DE"/>
        </w:rPr>
        <w:t xml:space="preserve">. Es geht </w:t>
      </w:r>
      <w:r w:rsidR="00F721E1" w:rsidRPr="00F721E1">
        <w:rPr>
          <w:rFonts w:cs="Open Sans SemiCondensed"/>
          <w:lang w:val="de-DE"/>
        </w:rPr>
        <w:t xml:space="preserve">insbesondere </w:t>
      </w:r>
      <w:r w:rsidR="00976031">
        <w:rPr>
          <w:rFonts w:cs="Open Sans SemiCondensed"/>
          <w:lang w:val="de-DE"/>
        </w:rPr>
        <w:t>um</w:t>
      </w:r>
      <w:r w:rsidR="00F721E1" w:rsidRPr="00F721E1">
        <w:rPr>
          <w:rFonts w:cs="Open Sans SemiCondensed"/>
          <w:lang w:val="de-DE"/>
        </w:rPr>
        <w:t xml:space="preserve"> Menschen mit </w:t>
      </w:r>
      <w:r w:rsidR="00111BF2">
        <w:rPr>
          <w:rFonts w:cs="Open Sans SemiCondensed"/>
          <w:lang w:val="de-DE"/>
        </w:rPr>
        <w:t>kognitiver</w:t>
      </w:r>
      <w:r w:rsidR="00F721E1" w:rsidRPr="00F721E1">
        <w:rPr>
          <w:rFonts w:cs="Open Sans SemiCondensed"/>
          <w:lang w:val="de-DE"/>
        </w:rPr>
        <w:t xml:space="preserve"> B</w:t>
      </w:r>
      <w:r w:rsidR="00111BF2">
        <w:rPr>
          <w:rFonts w:cs="Open Sans SemiCondensed"/>
          <w:lang w:val="de-DE"/>
        </w:rPr>
        <w:t>eeinträchtigung</w:t>
      </w:r>
      <w:r w:rsidR="00F721E1" w:rsidRPr="00F721E1">
        <w:rPr>
          <w:rFonts w:cs="Open Sans SemiCondensed"/>
          <w:lang w:val="de-DE"/>
        </w:rPr>
        <w:t xml:space="preserve">, die beim Zugang zur Beschäftigung zu den am stärksten stigmatisierten Gruppen gehören. Der </w:t>
      </w:r>
      <w:r w:rsidR="00190034">
        <w:rPr>
          <w:rFonts w:cs="Open Sans SemiCondensed"/>
          <w:lang w:val="de-DE"/>
        </w:rPr>
        <w:t>Fokus</w:t>
      </w:r>
      <w:r w:rsidR="00F721E1" w:rsidRPr="00F721E1">
        <w:rPr>
          <w:rFonts w:cs="Open Sans SemiCondensed"/>
          <w:lang w:val="de-DE"/>
        </w:rPr>
        <w:t xml:space="preserve"> liegt auf </w:t>
      </w:r>
      <w:r w:rsidR="002A7D10">
        <w:rPr>
          <w:rFonts w:cs="Open Sans SemiCondensed"/>
          <w:lang w:val="de-DE"/>
        </w:rPr>
        <w:t>der Forschung über</w:t>
      </w:r>
      <w:r w:rsidR="00F721E1" w:rsidRPr="00F721E1">
        <w:rPr>
          <w:rFonts w:cs="Open Sans SemiCondensed"/>
          <w:lang w:val="de-DE"/>
        </w:rPr>
        <w:t xml:space="preserve"> Jugendliche</w:t>
      </w:r>
      <w:r w:rsidR="002A7D10">
        <w:rPr>
          <w:rFonts w:cs="Open Sans SemiCondensed"/>
          <w:lang w:val="de-DE"/>
        </w:rPr>
        <w:t xml:space="preserve"> beim Übergang von der </w:t>
      </w:r>
      <w:r w:rsidR="00F721E1" w:rsidRPr="00F721E1">
        <w:rPr>
          <w:rFonts w:cs="Open Sans SemiCondensed"/>
          <w:lang w:val="de-DE"/>
        </w:rPr>
        <w:t>Schule in die Arbeitswelt. Um einen</w:t>
      </w:r>
      <w:r w:rsidR="00520BF2">
        <w:rPr>
          <w:rFonts w:cs="Open Sans SemiCondensed"/>
          <w:lang w:val="de-DE"/>
        </w:rPr>
        <w:t xml:space="preserve"> guten</w:t>
      </w:r>
      <w:r w:rsidR="00F721E1" w:rsidRPr="00F721E1">
        <w:rPr>
          <w:rFonts w:cs="Open Sans SemiCondensed"/>
          <w:lang w:val="de-DE"/>
        </w:rPr>
        <w:t xml:space="preserve"> Übergang zu gewährleisten, werden verschiedene bewährte Verfahren empfohlen, wie </w:t>
      </w:r>
      <w:r w:rsidR="00435008">
        <w:rPr>
          <w:rFonts w:cs="Open Sans SemiCondensed"/>
          <w:lang w:val="de-DE"/>
        </w:rPr>
        <w:t>der</w:t>
      </w:r>
      <w:r w:rsidR="00F721E1" w:rsidRPr="00F721E1">
        <w:rPr>
          <w:rFonts w:cs="Open Sans SemiCondensed"/>
          <w:lang w:val="de-DE"/>
        </w:rPr>
        <w:t xml:space="preserve"> Einbez</w:t>
      </w:r>
      <w:r w:rsidR="00435008">
        <w:rPr>
          <w:rFonts w:cs="Open Sans SemiCondensed"/>
          <w:lang w:val="de-DE"/>
        </w:rPr>
        <w:t>ug</w:t>
      </w:r>
      <w:r w:rsidR="00F721E1" w:rsidRPr="00F721E1">
        <w:rPr>
          <w:rFonts w:cs="Open Sans SemiCondensed"/>
          <w:lang w:val="de-DE"/>
        </w:rPr>
        <w:t xml:space="preserve"> der Familie, </w:t>
      </w:r>
      <w:r w:rsidR="007A4394">
        <w:rPr>
          <w:rFonts w:cs="Open Sans SemiCondensed"/>
          <w:lang w:val="de-DE"/>
        </w:rPr>
        <w:t xml:space="preserve">die </w:t>
      </w:r>
      <w:r w:rsidR="00520BF2">
        <w:rPr>
          <w:rFonts w:cs="Open Sans SemiCondensed"/>
          <w:lang w:val="de-DE"/>
        </w:rPr>
        <w:t xml:space="preserve">praxisnahe Ausbildung </w:t>
      </w:r>
      <w:r w:rsidR="00F721E1" w:rsidRPr="00F721E1">
        <w:rPr>
          <w:rFonts w:cs="Open Sans SemiCondensed"/>
          <w:lang w:val="de-DE"/>
        </w:rPr>
        <w:t>und die Zusammenarbeit mit Unternehmen.</w:t>
      </w:r>
    </w:p>
    <w:p w14:paraId="4B999A34" w14:textId="47079844" w:rsidR="00EA4676" w:rsidRPr="00036BCC" w:rsidRDefault="00EA4676" w:rsidP="00C24833">
      <w:pPr>
        <w:pStyle w:val="Textkrper3"/>
        <w:rPr>
          <w:lang w:val="de-DE"/>
        </w:rPr>
      </w:pPr>
      <w:r w:rsidRPr="00036BCC">
        <w:rPr>
          <w:rStyle w:val="Fett"/>
          <w:rFonts w:cs="Open Sans SemiCondensed"/>
          <w:lang w:val="de-DE"/>
        </w:rPr>
        <w:t>Keywords</w:t>
      </w:r>
      <w:r w:rsidRPr="00036BCC">
        <w:rPr>
          <w:lang w:val="de-DE"/>
        </w:rPr>
        <w:t xml:space="preserve">: </w:t>
      </w:r>
      <w:proofErr w:type="spellStart"/>
      <w:r w:rsidR="001E4289">
        <w:rPr>
          <w:lang w:val="de-DE"/>
        </w:rPr>
        <w:t>emploi</w:t>
      </w:r>
      <w:proofErr w:type="spellEnd"/>
      <w:r w:rsidR="001E4289">
        <w:rPr>
          <w:lang w:val="de-DE"/>
        </w:rPr>
        <w:t>, handicap</w:t>
      </w:r>
      <w:r w:rsidR="00AD394E">
        <w:rPr>
          <w:lang w:val="de-DE"/>
        </w:rPr>
        <w:t>,</w:t>
      </w:r>
      <w:r w:rsidR="001E4289">
        <w:rPr>
          <w:lang w:val="de-DE"/>
        </w:rPr>
        <w:t xml:space="preserve"> </w:t>
      </w:r>
      <w:proofErr w:type="spellStart"/>
      <w:r w:rsidR="0032223E">
        <w:rPr>
          <w:lang w:val="de-DE"/>
        </w:rPr>
        <w:t>qualité</w:t>
      </w:r>
      <w:proofErr w:type="spellEnd"/>
      <w:r w:rsidR="0032223E">
        <w:rPr>
          <w:lang w:val="de-DE"/>
        </w:rPr>
        <w:t xml:space="preserve"> de </w:t>
      </w:r>
      <w:proofErr w:type="spellStart"/>
      <w:r w:rsidR="0032223E">
        <w:rPr>
          <w:lang w:val="de-DE"/>
        </w:rPr>
        <w:t>vie</w:t>
      </w:r>
      <w:proofErr w:type="spellEnd"/>
      <w:r w:rsidR="0032223E">
        <w:rPr>
          <w:lang w:val="de-DE"/>
        </w:rPr>
        <w:t>,</w:t>
      </w:r>
      <w:r w:rsidR="00B30CDC">
        <w:rPr>
          <w:lang w:val="de-DE"/>
        </w:rPr>
        <w:t xml:space="preserve"> </w:t>
      </w:r>
      <w:proofErr w:type="spellStart"/>
      <w:r w:rsidR="00B30CDC">
        <w:rPr>
          <w:lang w:val="de-DE"/>
        </w:rPr>
        <w:t>jeune</w:t>
      </w:r>
      <w:proofErr w:type="spellEnd"/>
      <w:r w:rsidR="00B30CDC">
        <w:rPr>
          <w:lang w:val="de-DE"/>
        </w:rPr>
        <w:t xml:space="preserve"> adulte</w:t>
      </w:r>
      <w:r w:rsidR="006B1B28">
        <w:rPr>
          <w:lang w:val="de-DE"/>
        </w:rPr>
        <w:t xml:space="preserve">, </w:t>
      </w:r>
      <w:proofErr w:type="spellStart"/>
      <w:r w:rsidR="00D225A6">
        <w:rPr>
          <w:lang w:val="de-DE"/>
        </w:rPr>
        <w:t>passage</w:t>
      </w:r>
      <w:proofErr w:type="spellEnd"/>
      <w:r w:rsidR="00D225A6">
        <w:rPr>
          <w:lang w:val="de-DE"/>
        </w:rPr>
        <w:t xml:space="preserve"> à la </w:t>
      </w:r>
      <w:proofErr w:type="spellStart"/>
      <w:r w:rsidR="00D225A6">
        <w:rPr>
          <w:lang w:val="de-DE"/>
        </w:rPr>
        <w:t>vie</w:t>
      </w:r>
      <w:proofErr w:type="spellEnd"/>
      <w:r w:rsidR="00D225A6">
        <w:rPr>
          <w:lang w:val="de-DE"/>
        </w:rPr>
        <w:t xml:space="preserve"> </w:t>
      </w:r>
      <w:proofErr w:type="spellStart"/>
      <w:r w:rsidR="00D225A6">
        <w:rPr>
          <w:lang w:val="de-DE"/>
        </w:rPr>
        <w:t>active</w:t>
      </w:r>
      <w:proofErr w:type="spellEnd"/>
      <w:r w:rsidR="00D225A6">
        <w:rPr>
          <w:lang w:val="de-DE"/>
        </w:rPr>
        <w:t>,</w:t>
      </w:r>
      <w:r w:rsidR="006B1B28">
        <w:rPr>
          <w:lang w:val="de-DE"/>
        </w:rPr>
        <w:t xml:space="preserve"> </w:t>
      </w:r>
      <w:r w:rsidR="00037AE3" w:rsidRPr="00036BCC">
        <w:rPr>
          <w:lang w:val="de-DE"/>
        </w:rPr>
        <w:t xml:space="preserve">/ </w:t>
      </w:r>
      <w:r w:rsidR="003A0367">
        <w:rPr>
          <w:lang w:val="de-DE"/>
        </w:rPr>
        <w:t xml:space="preserve">Behinderung, Beschäftigung, junge Erwachsene, </w:t>
      </w:r>
      <w:r w:rsidR="0032223E">
        <w:rPr>
          <w:lang w:val="de-DE"/>
        </w:rPr>
        <w:t xml:space="preserve">Lebensqualität, </w:t>
      </w:r>
      <w:r w:rsidR="00DF6EF3">
        <w:rPr>
          <w:lang w:val="de-DE"/>
        </w:rPr>
        <w:t>Übergang zur Arbeitswelt</w:t>
      </w:r>
    </w:p>
    <w:p w14:paraId="5EBDABEF" w14:textId="5F7902B6" w:rsidR="001D3BFB" w:rsidRPr="00D22711" w:rsidRDefault="00EA4676" w:rsidP="00C24833">
      <w:pPr>
        <w:pStyle w:val="Textkrper3"/>
        <w:rPr>
          <w:rFonts w:cs="Open Sans SemiCondensed"/>
          <w:bCs/>
          <w:iCs/>
          <w:color w:val="CF3649"/>
          <w:lang w:val="fr-FR"/>
        </w:rPr>
      </w:pPr>
      <w:proofErr w:type="gramStart"/>
      <w:r w:rsidRPr="00153133">
        <w:rPr>
          <w:rStyle w:val="Fett"/>
          <w:rFonts w:cs="Open Sans SemiCondensed"/>
          <w:lang w:val="fr-CH"/>
        </w:rPr>
        <w:t>DOI</w:t>
      </w:r>
      <w:r w:rsidRPr="00153133">
        <w:rPr>
          <w:rFonts w:cs="Open Sans SemiCondensed"/>
          <w:lang w:val="fr-CH"/>
        </w:rPr>
        <w:t>:</w:t>
      </w:r>
      <w:proofErr w:type="gramEnd"/>
      <w:r w:rsidRPr="00153133">
        <w:rPr>
          <w:rFonts w:cs="Open Sans SemiCondensed"/>
          <w:lang w:val="fr-CH"/>
        </w:rPr>
        <w:t xml:space="preserve"> </w:t>
      </w:r>
      <w:hyperlink r:id="rId11" w:history="1">
        <w:r w:rsidR="00D22711" w:rsidRPr="00AB2FB4">
          <w:rPr>
            <w:rStyle w:val="Hyperlink"/>
            <w:rFonts w:cs="Open Sans SemiCondensed"/>
            <w:lang w:val="fr-FR"/>
          </w:rPr>
          <w:t>https://doi.org/10.57161/r2025-02-06</w:t>
        </w:r>
      </w:hyperlink>
      <w:r w:rsidR="00D22711">
        <w:rPr>
          <w:lang w:val="fr-FR"/>
        </w:rPr>
        <w:t xml:space="preserve"> </w:t>
      </w:r>
    </w:p>
    <w:p w14:paraId="2D79D102" w14:textId="61117448" w:rsidR="00EA4676" w:rsidRPr="00036BCC" w:rsidRDefault="00EA4676" w:rsidP="00C24833">
      <w:pPr>
        <w:pStyle w:val="Textkrper3"/>
        <w:rPr>
          <w:lang w:val="fr-FR"/>
        </w:rPr>
      </w:pPr>
      <w:r w:rsidRPr="00036BCC">
        <w:rPr>
          <w:lang w:val="fr-FR"/>
        </w:rPr>
        <w:t>Revue Suisse de Pédagogie Spécialisée, Vol.</w:t>
      </w:r>
      <w:r w:rsidR="00182789">
        <w:rPr>
          <w:lang w:val="fr-FR"/>
        </w:rPr>
        <w:t> </w:t>
      </w:r>
      <w:r w:rsidR="00037AE3" w:rsidRPr="00036BCC">
        <w:rPr>
          <w:lang w:val="fr-FR"/>
        </w:rPr>
        <w:t>1</w:t>
      </w:r>
      <w:r w:rsidR="0022028B" w:rsidRPr="00036BCC">
        <w:rPr>
          <w:lang w:val="fr-FR"/>
        </w:rPr>
        <w:t>5</w:t>
      </w:r>
      <w:r w:rsidRPr="00036BCC">
        <w:rPr>
          <w:lang w:val="fr-FR"/>
        </w:rPr>
        <w:t xml:space="preserve">, </w:t>
      </w:r>
      <w:r w:rsidR="000E3081" w:rsidRPr="00036BCC">
        <w:rPr>
          <w:lang w:val="fr-FR"/>
        </w:rPr>
        <w:t>02</w:t>
      </w:r>
      <w:r w:rsidRPr="00036BCC">
        <w:rPr>
          <w:lang w:val="fr-FR"/>
        </w:rPr>
        <w:t>/</w:t>
      </w:r>
      <w:r w:rsidR="00037AE3" w:rsidRPr="00036BCC">
        <w:rPr>
          <w:lang w:val="fr-FR"/>
        </w:rPr>
        <w:t>202</w:t>
      </w:r>
      <w:r w:rsidR="0022028B" w:rsidRPr="00036BCC">
        <w:rPr>
          <w:lang w:val="fr-FR"/>
        </w:rPr>
        <w:t>5</w:t>
      </w:r>
    </w:p>
    <w:p w14:paraId="355403C2" w14:textId="77777777" w:rsidR="000E6A66" w:rsidRPr="00153133" w:rsidRDefault="000E6A66" w:rsidP="00C24833">
      <w:pPr>
        <w:pStyle w:val="Textkrper3"/>
        <w:rPr>
          <w:lang w:val="fr-CH"/>
        </w:rPr>
      </w:pPr>
      <w:r w:rsidRPr="00153133">
        <w:rPr>
          <w:noProof/>
        </w:rPr>
        <w:drawing>
          <wp:inline distT="0" distB="0" distL="0" distR="0" wp14:anchorId="292F8184" wp14:editId="1E88743B">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p>
    <w:p w14:paraId="0E806D89" w14:textId="77777777" w:rsidR="000E3081" w:rsidRPr="000E3081" w:rsidRDefault="000E3081" w:rsidP="00855097">
      <w:pPr>
        <w:pStyle w:val="berschrift1"/>
        <w:rPr>
          <w:lang w:val="fr-CH"/>
        </w:rPr>
      </w:pPr>
      <w:bookmarkStart w:id="0" w:name="heading-1"/>
      <w:r w:rsidRPr="000E3081">
        <w:rPr>
          <w:lang w:val="fr-CH"/>
        </w:rPr>
        <w:t>Qualité de vie et handicap</w:t>
      </w:r>
    </w:p>
    <w:p w14:paraId="1D083DD1" w14:textId="2D84FBBF" w:rsidR="000E3081" w:rsidRPr="000E3081" w:rsidRDefault="000E3081" w:rsidP="000E3081">
      <w:pPr>
        <w:pStyle w:val="Textkrper"/>
        <w:rPr>
          <w:lang w:val="fr-CH"/>
        </w:rPr>
      </w:pPr>
      <w:r w:rsidRPr="000E3081">
        <w:rPr>
          <w:lang w:val="fr-CH"/>
        </w:rPr>
        <w:t>Le concept de qualité de vie n</w:t>
      </w:r>
      <w:r w:rsidR="00FA65F0">
        <w:rPr>
          <w:lang w:val="fr-CH"/>
        </w:rPr>
        <w:t>’</w:t>
      </w:r>
      <w:r w:rsidRPr="000E3081">
        <w:rPr>
          <w:lang w:val="fr-CH"/>
        </w:rPr>
        <w:t>est pas facile à définir et a interrogé les êtres humains depuis l</w:t>
      </w:r>
      <w:r w:rsidR="00FA65F0">
        <w:rPr>
          <w:lang w:val="fr-CH"/>
        </w:rPr>
        <w:t>’</w:t>
      </w:r>
      <w:r w:rsidRPr="000E3081">
        <w:rPr>
          <w:lang w:val="fr-CH"/>
        </w:rPr>
        <w:t>Antiquité (Inserm, 2016). C</w:t>
      </w:r>
      <w:r w:rsidR="00FA65F0">
        <w:rPr>
          <w:lang w:val="fr-CH"/>
        </w:rPr>
        <w:t>’</w:t>
      </w:r>
      <w:r w:rsidRPr="000E3081">
        <w:rPr>
          <w:lang w:val="fr-CH"/>
        </w:rPr>
        <w:t>est à partir des années 1960 et 1970 que ce concept devient plus présent dans la littérature scientifique, et c’est seulement depuis les années 1980 qu’il a commencé à être appliqué également aux personnes ayant une déficience intellectuelle (DI) (</w:t>
      </w:r>
      <w:proofErr w:type="spellStart"/>
      <w:r w:rsidRPr="000E3081">
        <w:rPr>
          <w:lang w:val="fr-CH"/>
        </w:rPr>
        <w:t>Schalock</w:t>
      </w:r>
      <w:proofErr w:type="spellEnd"/>
      <w:r w:rsidRPr="000E3081">
        <w:rPr>
          <w:lang w:val="fr-CH"/>
        </w:rPr>
        <w:t xml:space="preserve"> et al., 2010), ainsi qu’à d’autres personnes en situation de handicap. L</w:t>
      </w:r>
      <w:r w:rsidR="00FA65F0">
        <w:rPr>
          <w:lang w:val="fr-CH"/>
        </w:rPr>
        <w:t>’</w:t>
      </w:r>
      <w:r w:rsidRPr="000E3081">
        <w:rPr>
          <w:lang w:val="fr-CH"/>
        </w:rPr>
        <w:t>augmentation de l</w:t>
      </w:r>
      <w:r w:rsidR="00FA65F0">
        <w:rPr>
          <w:lang w:val="fr-CH"/>
        </w:rPr>
        <w:t>’</w:t>
      </w:r>
      <w:r w:rsidRPr="000E3081">
        <w:rPr>
          <w:lang w:val="fr-CH"/>
        </w:rPr>
        <w:t>intérêt pour la qualité de vie a conduit beaucoup de chercheuses et chercheurs à s</w:t>
      </w:r>
      <w:r w:rsidR="00FA65F0">
        <w:rPr>
          <w:lang w:val="fr-CH"/>
        </w:rPr>
        <w:t>’</w:t>
      </w:r>
      <w:r w:rsidRPr="000E3081">
        <w:rPr>
          <w:lang w:val="fr-CH"/>
        </w:rPr>
        <w:t>interroger sur les domaines qui la composent, son aspect multidimensionnel étant apparu dès le début.</w:t>
      </w:r>
    </w:p>
    <w:p w14:paraId="60382F00" w14:textId="7139801A" w:rsidR="000E3081" w:rsidRPr="000E3081" w:rsidRDefault="000E3081" w:rsidP="000E3081">
      <w:pPr>
        <w:pStyle w:val="Textkrper"/>
        <w:rPr>
          <w:lang w:val="fr-CH"/>
        </w:rPr>
      </w:pPr>
      <w:proofErr w:type="spellStart"/>
      <w:r w:rsidRPr="000E3081">
        <w:rPr>
          <w:lang w:val="fr-CH"/>
        </w:rPr>
        <w:t>Schalock</w:t>
      </w:r>
      <w:proofErr w:type="spellEnd"/>
      <w:r w:rsidRPr="000E3081">
        <w:rPr>
          <w:lang w:val="fr-CH"/>
        </w:rPr>
        <w:t xml:space="preserve"> et </w:t>
      </w:r>
      <w:proofErr w:type="spellStart"/>
      <w:r w:rsidRPr="000E3081">
        <w:rPr>
          <w:lang w:val="fr-CH"/>
        </w:rPr>
        <w:t>Verdugo</w:t>
      </w:r>
      <w:proofErr w:type="spellEnd"/>
      <w:r w:rsidRPr="000E3081">
        <w:rPr>
          <w:lang w:val="fr-CH"/>
        </w:rPr>
        <w:t xml:space="preserve"> (2002) ont analysé plusieurs modèles de qualité de vie : par exemple, ceux de Flanagan (1982), de l</w:t>
      </w:r>
      <w:r w:rsidR="00FA65F0">
        <w:rPr>
          <w:lang w:val="fr-CH"/>
        </w:rPr>
        <w:t>’</w:t>
      </w:r>
      <w:r w:rsidRPr="000E3081">
        <w:rPr>
          <w:lang w:val="fr-CH"/>
        </w:rPr>
        <w:t xml:space="preserve">Organisation </w:t>
      </w:r>
      <w:r w:rsidR="00AF0772">
        <w:rPr>
          <w:lang w:val="fr-CH"/>
        </w:rPr>
        <w:t xml:space="preserve">mondiale de la </w:t>
      </w:r>
      <w:r w:rsidR="00296914">
        <w:rPr>
          <w:lang w:val="fr-CH"/>
        </w:rPr>
        <w:t>S</w:t>
      </w:r>
      <w:r w:rsidRPr="000E3081">
        <w:rPr>
          <w:lang w:val="fr-CH"/>
        </w:rPr>
        <w:t xml:space="preserve">anté (OMS, 1997), de Cummins (1996), de </w:t>
      </w:r>
      <w:proofErr w:type="spellStart"/>
      <w:r w:rsidRPr="000E3081">
        <w:rPr>
          <w:lang w:val="fr-CH"/>
        </w:rPr>
        <w:t>Felce</w:t>
      </w:r>
      <w:proofErr w:type="spellEnd"/>
      <w:r w:rsidRPr="000E3081">
        <w:rPr>
          <w:lang w:val="fr-CH"/>
        </w:rPr>
        <w:t xml:space="preserve"> (1997) et de </w:t>
      </w:r>
      <w:proofErr w:type="spellStart"/>
      <w:r w:rsidRPr="000E3081">
        <w:rPr>
          <w:lang w:val="fr-CH"/>
        </w:rPr>
        <w:t>Schalock</w:t>
      </w:r>
      <w:proofErr w:type="spellEnd"/>
      <w:r w:rsidRPr="000E3081">
        <w:rPr>
          <w:lang w:val="fr-CH"/>
        </w:rPr>
        <w:t xml:space="preserve"> (1996). À partir de cette analyse, ils ont développé leur propre modèle, composé des huit domaines suivants : (1) développement personnel,</w:t>
      </w:r>
      <w:r w:rsidR="005A2ED3">
        <w:rPr>
          <w:lang w:val="fr-CH"/>
        </w:rPr>
        <w:t xml:space="preserve"> </w:t>
      </w:r>
      <w:r w:rsidRPr="000E3081">
        <w:rPr>
          <w:lang w:val="fr-CH"/>
        </w:rPr>
        <w:t>(2) autodétermination, (3) relations interpersonnelles, (4) inclusion sociale, (5) bienêtre émotionnel, (6) bienêtre physique, (7) bienêtre matériel et (8) droits. Ce modèle est, aujourd</w:t>
      </w:r>
      <w:r w:rsidR="00FA65F0">
        <w:rPr>
          <w:lang w:val="fr-CH"/>
        </w:rPr>
        <w:t>’</w:t>
      </w:r>
      <w:r w:rsidRPr="000E3081">
        <w:rPr>
          <w:lang w:val="fr-CH"/>
        </w:rPr>
        <w:t>hui encore, celui qui fait le plus consensus au niveau international, en particulier dans le domaine de la DI (Inserm, 2016).</w:t>
      </w:r>
    </w:p>
    <w:p w14:paraId="5DB25C0C" w14:textId="745A5CD5" w:rsidR="000E3081" w:rsidRPr="000E3081" w:rsidRDefault="000E3081" w:rsidP="000E3081">
      <w:pPr>
        <w:pStyle w:val="Textkrper"/>
        <w:rPr>
          <w:lang w:val="fr-CH"/>
        </w:rPr>
      </w:pPr>
      <w:proofErr w:type="spellStart"/>
      <w:r w:rsidRPr="000E3081">
        <w:rPr>
          <w:lang w:val="fr-CH"/>
        </w:rPr>
        <w:t>Schalock</w:t>
      </w:r>
      <w:proofErr w:type="spellEnd"/>
      <w:r w:rsidRPr="000E3081">
        <w:rPr>
          <w:lang w:val="fr-CH"/>
        </w:rPr>
        <w:t xml:space="preserve"> et </w:t>
      </w:r>
      <w:proofErr w:type="spellStart"/>
      <w:r w:rsidRPr="000E3081">
        <w:rPr>
          <w:lang w:val="fr-CH"/>
        </w:rPr>
        <w:t>Verdugo</w:t>
      </w:r>
      <w:proofErr w:type="spellEnd"/>
      <w:r w:rsidRPr="000E3081">
        <w:rPr>
          <w:lang w:val="fr-CH"/>
        </w:rPr>
        <w:t xml:space="preserve"> (2002) soulignent que la qualité de vie peut être influencée, positivement ou négativement, par des facteurs personnels et environnementaux. Cela signifie qu</w:t>
      </w:r>
      <w:r w:rsidR="00FA65F0">
        <w:rPr>
          <w:lang w:val="fr-CH"/>
        </w:rPr>
        <w:t>’</w:t>
      </w:r>
      <w:r w:rsidRPr="000E3081">
        <w:rPr>
          <w:lang w:val="fr-CH"/>
        </w:rPr>
        <w:t>en modifiant l</w:t>
      </w:r>
      <w:r w:rsidR="00FA65F0">
        <w:rPr>
          <w:lang w:val="fr-CH"/>
        </w:rPr>
        <w:t>’</w:t>
      </w:r>
      <w:r w:rsidRPr="000E3081">
        <w:rPr>
          <w:lang w:val="fr-CH"/>
        </w:rPr>
        <w:t>environnement, et avec des stratégies adéquates, il est possible d</w:t>
      </w:r>
      <w:r w:rsidR="00FA65F0">
        <w:rPr>
          <w:lang w:val="fr-CH"/>
        </w:rPr>
        <w:t>’</w:t>
      </w:r>
      <w:r w:rsidRPr="000E3081">
        <w:rPr>
          <w:lang w:val="fr-CH"/>
        </w:rPr>
        <w:t>exercer une action positive sur la qualité de vie. Parmi les principaux facteurs environnementaux ayant un effet sur la qualité de vie, il y a certainement le travail sous ses différentes formes.</w:t>
      </w:r>
    </w:p>
    <w:p w14:paraId="0AF552E6" w14:textId="77777777" w:rsidR="000E3081" w:rsidRPr="000E3081" w:rsidRDefault="000E3081" w:rsidP="000E3081">
      <w:pPr>
        <w:pStyle w:val="berschrift1"/>
        <w:rPr>
          <w:lang w:val="fr-CH"/>
        </w:rPr>
      </w:pPr>
      <w:r w:rsidRPr="000E3081">
        <w:rPr>
          <w:lang w:val="fr-CH"/>
        </w:rPr>
        <w:lastRenderedPageBreak/>
        <w:t>L’impact du travail sur la qualité de vie</w:t>
      </w:r>
    </w:p>
    <w:p w14:paraId="22486A1B" w14:textId="30BE0317" w:rsidR="000E3081" w:rsidRPr="000E3081" w:rsidRDefault="000E3081" w:rsidP="000E3081">
      <w:pPr>
        <w:pStyle w:val="Textkrper"/>
        <w:rPr>
          <w:lang w:val="fr-CH"/>
        </w:rPr>
      </w:pPr>
      <w:r w:rsidRPr="000E3081">
        <w:rPr>
          <w:lang w:val="fr-CH"/>
        </w:rPr>
        <w:t>Plusieurs études scientifiques ont montré l</w:t>
      </w:r>
      <w:r w:rsidR="00FA65F0">
        <w:rPr>
          <w:lang w:val="fr-CH"/>
        </w:rPr>
        <w:t>’</w:t>
      </w:r>
      <w:r w:rsidRPr="000E3081">
        <w:rPr>
          <w:lang w:val="fr-CH"/>
        </w:rPr>
        <w:t>existence d</w:t>
      </w:r>
      <w:r w:rsidR="00FA65F0">
        <w:rPr>
          <w:lang w:val="fr-CH"/>
        </w:rPr>
        <w:t>’</w:t>
      </w:r>
      <w:r w:rsidRPr="000E3081">
        <w:rPr>
          <w:lang w:val="fr-CH"/>
        </w:rPr>
        <w:t xml:space="preserve">un lien positif entre le travail et la qualité de vie, tant pour les personnes qui ne sont pas en situation de handicap que pour celles avec une DI (Claes et al., 2012 ; </w:t>
      </w:r>
      <w:proofErr w:type="spellStart"/>
      <w:r w:rsidR="007670CD" w:rsidRPr="000E3081">
        <w:rPr>
          <w:lang w:val="fr-CH"/>
        </w:rPr>
        <w:t>Eggleton</w:t>
      </w:r>
      <w:proofErr w:type="spellEnd"/>
      <w:r w:rsidR="007670CD" w:rsidRPr="000E3081">
        <w:rPr>
          <w:lang w:val="fr-CH"/>
        </w:rPr>
        <w:t xml:space="preserve"> et al., 1999 ; </w:t>
      </w:r>
      <w:proofErr w:type="spellStart"/>
      <w:r w:rsidRPr="000E3081">
        <w:rPr>
          <w:lang w:val="fr-CH"/>
        </w:rPr>
        <w:t>Kocman</w:t>
      </w:r>
      <w:proofErr w:type="spellEnd"/>
      <w:r w:rsidRPr="000E3081">
        <w:rPr>
          <w:lang w:val="fr-CH"/>
        </w:rPr>
        <w:t> &amp; Weber, 2018). En effet, le travail est un déterminant social de la santé et, inversement, les risques de pauvreté, de santé et d</w:t>
      </w:r>
      <w:r w:rsidR="00FA65F0">
        <w:rPr>
          <w:lang w:val="fr-CH"/>
        </w:rPr>
        <w:t>’</w:t>
      </w:r>
      <w:r w:rsidRPr="000E3081">
        <w:rPr>
          <w:lang w:val="fr-CH"/>
        </w:rPr>
        <w:t xml:space="preserve">isolement social sont associés au chômage, au sous-emploi </w:t>
      </w:r>
      <w:r w:rsidR="00C82253">
        <w:rPr>
          <w:lang w:val="fr-CH"/>
        </w:rPr>
        <w:t>ainsi qu’</w:t>
      </w:r>
      <w:r w:rsidRPr="000E3081">
        <w:rPr>
          <w:lang w:val="fr-CH"/>
        </w:rPr>
        <w:t>à l</w:t>
      </w:r>
      <w:r w:rsidR="00FA65F0">
        <w:rPr>
          <w:lang w:val="fr-CH"/>
        </w:rPr>
        <w:t>’</w:t>
      </w:r>
      <w:r w:rsidRPr="000E3081">
        <w:rPr>
          <w:lang w:val="fr-CH"/>
        </w:rPr>
        <w:t>emploi précaire (Waddell &amp; Burton, 2006). Les bénéfices du travail pour les personnes en situation de handicap sont similaires à ceux prévalant pour le reste de la population et concernent le sentiment d</w:t>
      </w:r>
      <w:r w:rsidR="00FA65F0">
        <w:rPr>
          <w:lang w:val="fr-CH"/>
        </w:rPr>
        <w:t>’</w:t>
      </w:r>
      <w:r w:rsidRPr="000E3081">
        <w:rPr>
          <w:lang w:val="fr-CH"/>
        </w:rPr>
        <w:t>être occupé et productif, d</w:t>
      </w:r>
      <w:r w:rsidR="00FA65F0">
        <w:rPr>
          <w:lang w:val="fr-CH"/>
        </w:rPr>
        <w:t>’</w:t>
      </w:r>
      <w:r w:rsidRPr="000E3081">
        <w:rPr>
          <w:lang w:val="fr-CH"/>
        </w:rPr>
        <w:t>avoir des relations avec des collègues, de se sentir important, d</w:t>
      </w:r>
      <w:r w:rsidR="00FA65F0">
        <w:rPr>
          <w:lang w:val="fr-CH"/>
        </w:rPr>
        <w:t>’</w:t>
      </w:r>
      <w:r w:rsidRPr="000E3081">
        <w:rPr>
          <w:lang w:val="fr-CH"/>
        </w:rPr>
        <w:t>obtenir un revenu et de posséder des opportunités de développement personnel et de carrière. L</w:t>
      </w:r>
      <w:r w:rsidR="00FA65F0">
        <w:rPr>
          <w:lang w:val="fr-CH"/>
        </w:rPr>
        <w:t>’</w:t>
      </w:r>
      <w:r w:rsidRPr="000E3081">
        <w:rPr>
          <w:lang w:val="fr-CH"/>
        </w:rPr>
        <w:t>intégration dans des occupations productives génère une amélioration de la santé et du fonctionnement, de l</w:t>
      </w:r>
      <w:r w:rsidR="00FA65F0">
        <w:rPr>
          <w:lang w:val="fr-CH"/>
        </w:rPr>
        <w:t>’</w:t>
      </w:r>
      <w:r w:rsidRPr="000E3081">
        <w:rPr>
          <w:lang w:val="fr-CH"/>
        </w:rPr>
        <w:t>intégration sociale, de la satisfaction de vie et de la condition économique (</w:t>
      </w:r>
      <w:proofErr w:type="spellStart"/>
      <w:r w:rsidRPr="000E3081">
        <w:rPr>
          <w:lang w:val="fr-CH"/>
        </w:rPr>
        <w:t>Kirsh</w:t>
      </w:r>
      <w:proofErr w:type="spellEnd"/>
      <w:r w:rsidRPr="000E3081">
        <w:rPr>
          <w:lang w:val="fr-CH"/>
        </w:rPr>
        <w:t xml:space="preserve"> et al., 2009). D</w:t>
      </w:r>
      <w:r w:rsidR="00FA65F0">
        <w:rPr>
          <w:lang w:val="fr-CH"/>
        </w:rPr>
        <w:t>’</w:t>
      </w:r>
      <w:r w:rsidRPr="000E3081">
        <w:rPr>
          <w:lang w:val="fr-CH"/>
        </w:rPr>
        <w:t>autres études ont montré l</w:t>
      </w:r>
      <w:r w:rsidR="00FA65F0">
        <w:rPr>
          <w:lang w:val="fr-CH"/>
        </w:rPr>
        <w:t>’</w:t>
      </w:r>
      <w:r w:rsidRPr="000E3081">
        <w:rPr>
          <w:lang w:val="fr-CH"/>
        </w:rPr>
        <w:t>impact positif de l</w:t>
      </w:r>
      <w:r w:rsidR="00FA65F0">
        <w:rPr>
          <w:lang w:val="fr-CH"/>
        </w:rPr>
        <w:t>’</w:t>
      </w:r>
      <w:r w:rsidRPr="000E3081">
        <w:rPr>
          <w:lang w:val="fr-CH"/>
        </w:rPr>
        <w:t xml:space="preserve">emploi sur des dimensions spécifiques de la qualité de vie, en particulier sur le bienêtre </w:t>
      </w:r>
      <w:proofErr w:type="spellStart"/>
      <w:r w:rsidRPr="000E3081">
        <w:rPr>
          <w:lang w:val="fr-CH"/>
        </w:rPr>
        <w:t>socioémotionnel</w:t>
      </w:r>
      <w:proofErr w:type="spellEnd"/>
      <w:r w:rsidRPr="000E3081">
        <w:rPr>
          <w:lang w:val="fr-CH"/>
        </w:rPr>
        <w:t xml:space="preserve"> (</w:t>
      </w:r>
      <w:proofErr w:type="spellStart"/>
      <w:r w:rsidRPr="000E3081">
        <w:rPr>
          <w:lang w:val="fr-CH"/>
        </w:rPr>
        <w:t>Jahoda</w:t>
      </w:r>
      <w:proofErr w:type="spellEnd"/>
      <w:r w:rsidRPr="000E3081">
        <w:rPr>
          <w:lang w:val="fr-CH"/>
        </w:rPr>
        <w:t xml:space="preserve"> et al., 2008), la satisfaction au travail (</w:t>
      </w:r>
      <w:proofErr w:type="spellStart"/>
      <w:r w:rsidRPr="000E3081">
        <w:rPr>
          <w:lang w:val="fr-CH"/>
        </w:rPr>
        <w:t>Akkerman</w:t>
      </w:r>
      <w:proofErr w:type="spellEnd"/>
      <w:r w:rsidRPr="000E3081">
        <w:rPr>
          <w:lang w:val="fr-CH"/>
        </w:rPr>
        <w:t xml:space="preserve"> et al., 2016) et la santé physique et mentale (Dean et al., 2018 ; Robertson et al., 2019).</w:t>
      </w:r>
    </w:p>
    <w:p w14:paraId="4F1B45C8" w14:textId="0BA97C90" w:rsidR="000E3081" w:rsidRPr="000E3081" w:rsidRDefault="000E3081" w:rsidP="000E3081">
      <w:pPr>
        <w:pStyle w:val="Textkrper"/>
        <w:rPr>
          <w:lang w:val="fr-CH"/>
        </w:rPr>
      </w:pPr>
      <w:r w:rsidRPr="000E3081">
        <w:rPr>
          <w:lang w:val="fr-CH"/>
        </w:rPr>
        <w:t>Cependant, il est important de souligner que pour les personnes en situation de handicap, il existe, tant en Suisse qu</w:t>
      </w:r>
      <w:r w:rsidR="00FA65F0">
        <w:rPr>
          <w:lang w:val="fr-CH"/>
        </w:rPr>
        <w:t>’</w:t>
      </w:r>
      <w:r w:rsidRPr="000E3081">
        <w:rPr>
          <w:lang w:val="fr-CH"/>
        </w:rPr>
        <w:t>à l</w:t>
      </w:r>
      <w:r w:rsidR="00FA65F0">
        <w:rPr>
          <w:lang w:val="fr-CH"/>
        </w:rPr>
        <w:t>’</w:t>
      </w:r>
      <w:r w:rsidRPr="000E3081">
        <w:rPr>
          <w:lang w:val="fr-CH"/>
        </w:rPr>
        <w:t>étranger, différents types d</w:t>
      </w:r>
      <w:r w:rsidR="00FA65F0">
        <w:rPr>
          <w:lang w:val="fr-CH"/>
        </w:rPr>
        <w:t>’</w:t>
      </w:r>
      <w:r w:rsidRPr="000E3081">
        <w:rPr>
          <w:lang w:val="fr-CH"/>
        </w:rPr>
        <w:t>emploi. L</w:t>
      </w:r>
      <w:r w:rsidR="00FA65F0">
        <w:rPr>
          <w:lang w:val="fr-CH"/>
        </w:rPr>
        <w:t>’</w:t>
      </w:r>
      <w:r w:rsidRPr="000E3081">
        <w:rPr>
          <w:lang w:val="fr-CH"/>
        </w:rPr>
        <w:t>Organisation internationale du travail (</w:t>
      </w:r>
      <w:r w:rsidR="002832E5">
        <w:rPr>
          <w:lang w:val="fr-CH"/>
        </w:rPr>
        <w:t>B</w:t>
      </w:r>
      <w:r w:rsidRPr="000E3081">
        <w:rPr>
          <w:lang w:val="fr-CH"/>
        </w:rPr>
        <w:t>IT, 2015) distingue quatre formes principales d</w:t>
      </w:r>
      <w:r w:rsidR="00FA65F0">
        <w:rPr>
          <w:lang w:val="fr-CH"/>
        </w:rPr>
        <w:t>’</w:t>
      </w:r>
      <w:r w:rsidRPr="000E3081">
        <w:rPr>
          <w:lang w:val="fr-CH"/>
        </w:rPr>
        <w:t>emploi pour les personnes en situation de handicap : (1) l</w:t>
      </w:r>
      <w:r w:rsidR="00FA65F0">
        <w:rPr>
          <w:lang w:val="fr-CH"/>
        </w:rPr>
        <w:t>’</w:t>
      </w:r>
      <w:r w:rsidRPr="000E3081">
        <w:rPr>
          <w:lang w:val="fr-CH"/>
        </w:rPr>
        <w:t xml:space="preserve">emploi ordinaire </w:t>
      </w:r>
      <w:r w:rsidR="00FA65F0">
        <w:rPr>
          <w:lang w:val="fr-CH"/>
        </w:rPr>
        <w:t>–</w:t>
      </w:r>
      <w:r w:rsidRPr="000E3081">
        <w:rPr>
          <w:lang w:val="fr-CH"/>
        </w:rPr>
        <w:t xml:space="preserve"> terme utilisé pour désigner les possibilités d</w:t>
      </w:r>
      <w:r w:rsidR="00FA65F0">
        <w:rPr>
          <w:lang w:val="fr-CH"/>
        </w:rPr>
        <w:t>’</w:t>
      </w:r>
      <w:r w:rsidRPr="000E3081">
        <w:rPr>
          <w:lang w:val="fr-CH"/>
        </w:rPr>
        <w:t xml:space="preserve">emploi accessibles à </w:t>
      </w:r>
      <w:r w:rsidR="002A4AB9" w:rsidRPr="000E3081">
        <w:rPr>
          <w:lang w:val="fr-CH"/>
        </w:rPr>
        <w:t>tou</w:t>
      </w:r>
      <w:r w:rsidR="002A4AB9">
        <w:rPr>
          <w:lang w:val="fr-CH"/>
        </w:rPr>
        <w:t>t le monde</w:t>
      </w:r>
      <w:r w:rsidR="002A4AB9" w:rsidRPr="000E3081">
        <w:rPr>
          <w:lang w:val="fr-CH"/>
        </w:rPr>
        <w:t xml:space="preserve"> </w:t>
      </w:r>
      <w:r w:rsidRPr="000E3081">
        <w:rPr>
          <w:lang w:val="fr-CH"/>
        </w:rPr>
        <w:t xml:space="preserve">et non spécifiquement réservé aux personnes en situation de handicap </w:t>
      </w:r>
      <w:r w:rsidR="00182789">
        <w:rPr>
          <w:lang w:val="fr-CH"/>
        </w:rPr>
        <w:t>–</w:t>
      </w:r>
      <w:r w:rsidRPr="000E3081">
        <w:rPr>
          <w:lang w:val="fr-CH"/>
        </w:rPr>
        <w:t xml:space="preserve"> (2) l’emploi protégé, (3) l’emploi dans des entreprises sociales et (4) l’emploi accompagné en milieu ordinaire</w:t>
      </w:r>
      <w:r w:rsidRPr="000E3081">
        <w:rPr>
          <w:rStyle w:val="Funotenzeichen"/>
          <w:lang w:val="fr-CH"/>
        </w:rPr>
        <w:footnoteReference w:id="2"/>
      </w:r>
      <w:r w:rsidRPr="000E3081">
        <w:rPr>
          <w:lang w:val="fr-CH"/>
        </w:rPr>
        <w:t>.</w:t>
      </w:r>
    </w:p>
    <w:p w14:paraId="31C7DC9E" w14:textId="41FA26F3" w:rsidR="000E3081" w:rsidRPr="000E3081" w:rsidRDefault="000E3081" w:rsidP="000E3081">
      <w:pPr>
        <w:pStyle w:val="Textkrper"/>
        <w:rPr>
          <w:lang w:val="fr-CH"/>
        </w:rPr>
      </w:pPr>
      <w:r w:rsidRPr="000E3081">
        <w:rPr>
          <w:lang w:val="fr-CH"/>
        </w:rPr>
        <w:t>Ces formes de travail ont des impacts différents sur la qualité de vie. Diverses études ont montré que travailler sur le marché du travail ordinaire produit un bénéfice plus important sur la qualité de vie par rapport aux emplois protégés, tandis que ces derniers, à leur tour, sont jugés plus positivement par rapport aux activités occupationnelles (</w:t>
      </w:r>
      <w:proofErr w:type="spellStart"/>
      <w:r w:rsidRPr="000E3081">
        <w:rPr>
          <w:lang w:val="fr-CH"/>
        </w:rPr>
        <w:t>Blick</w:t>
      </w:r>
      <w:proofErr w:type="spellEnd"/>
      <w:r w:rsidRPr="000E3081">
        <w:rPr>
          <w:lang w:val="fr-CH"/>
        </w:rPr>
        <w:t xml:space="preserve"> et al., 2016 ; </w:t>
      </w:r>
      <w:proofErr w:type="spellStart"/>
      <w:r w:rsidRPr="000E3081">
        <w:rPr>
          <w:lang w:val="fr-CH"/>
        </w:rPr>
        <w:t>Kocman</w:t>
      </w:r>
      <w:proofErr w:type="spellEnd"/>
      <w:r w:rsidRPr="000E3081">
        <w:rPr>
          <w:lang w:val="fr-CH"/>
        </w:rPr>
        <w:t> &amp; Weber, 2018</w:t>
      </w:r>
      <w:r w:rsidR="00D234EA">
        <w:rPr>
          <w:lang w:val="fr-CH"/>
        </w:rPr>
        <w:t xml:space="preserve"> ; </w:t>
      </w:r>
      <w:proofErr w:type="spellStart"/>
      <w:r w:rsidR="00D234EA" w:rsidRPr="000E3081">
        <w:rPr>
          <w:lang w:val="fr-CH"/>
        </w:rPr>
        <w:t>Verdugo</w:t>
      </w:r>
      <w:proofErr w:type="spellEnd"/>
      <w:r w:rsidR="00D234EA" w:rsidRPr="000E3081">
        <w:rPr>
          <w:lang w:val="fr-CH"/>
        </w:rPr>
        <w:t xml:space="preserve"> et al., 2006</w:t>
      </w:r>
      <w:r w:rsidRPr="000E3081">
        <w:rPr>
          <w:lang w:val="fr-CH"/>
        </w:rPr>
        <w:t>).</w:t>
      </w:r>
      <w:r w:rsidR="00ED0BF7">
        <w:rPr>
          <w:lang w:val="fr-CH"/>
        </w:rPr>
        <w:t xml:space="preserve"> </w:t>
      </w:r>
      <w:r w:rsidRPr="000E3081">
        <w:rPr>
          <w:lang w:val="fr-CH"/>
        </w:rPr>
        <w:t>Toutefois, cette conclusion doit être en partie relativisée parce que l’association entre milieu de travail et qualité de vie dépend aussi des compétences adaptatives de chaque individu (</w:t>
      </w:r>
      <w:r w:rsidR="00D234EA" w:rsidRPr="000E3081">
        <w:rPr>
          <w:lang w:val="fr-CH"/>
        </w:rPr>
        <w:t>Beyer et al.,</w:t>
      </w:r>
      <w:r w:rsidR="00D234EA">
        <w:rPr>
          <w:lang w:val="fr-CH"/>
        </w:rPr>
        <w:t> </w:t>
      </w:r>
      <w:r w:rsidR="00D234EA" w:rsidRPr="000E3081">
        <w:rPr>
          <w:lang w:val="fr-CH"/>
        </w:rPr>
        <w:t>2010</w:t>
      </w:r>
      <w:r w:rsidR="00D234EA">
        <w:rPr>
          <w:lang w:val="fr-CH"/>
        </w:rPr>
        <w:t xml:space="preserve"> ; </w:t>
      </w:r>
      <w:r w:rsidRPr="000E3081">
        <w:rPr>
          <w:lang w:val="fr-CH"/>
        </w:rPr>
        <w:t>Kober</w:t>
      </w:r>
      <w:r w:rsidR="00653ABA">
        <w:rPr>
          <w:lang w:val="fr-CH"/>
        </w:rPr>
        <w:t> </w:t>
      </w:r>
      <w:r w:rsidRPr="000E3081">
        <w:rPr>
          <w:lang w:val="fr-CH"/>
        </w:rPr>
        <w:t xml:space="preserve">&amp; </w:t>
      </w:r>
      <w:proofErr w:type="spellStart"/>
      <w:r w:rsidRPr="000E3081">
        <w:rPr>
          <w:lang w:val="fr-CH"/>
        </w:rPr>
        <w:t>Eggleton</w:t>
      </w:r>
      <w:proofErr w:type="spellEnd"/>
      <w:r w:rsidRPr="000E3081">
        <w:rPr>
          <w:lang w:val="fr-CH"/>
        </w:rPr>
        <w:t>,</w:t>
      </w:r>
      <w:r w:rsidR="00653ABA">
        <w:rPr>
          <w:lang w:val="fr-CH"/>
        </w:rPr>
        <w:t> </w:t>
      </w:r>
      <w:r w:rsidRPr="000E3081">
        <w:rPr>
          <w:lang w:val="fr-CH"/>
        </w:rPr>
        <w:t>2005). En effet, le travail dans l’économie libre n’est pas la solution idéale pour tout le monde</w:t>
      </w:r>
      <w:r w:rsidR="00124211">
        <w:rPr>
          <w:lang w:val="fr-CH"/>
        </w:rPr>
        <w:t>. I</w:t>
      </w:r>
      <w:r w:rsidRPr="000E3081">
        <w:rPr>
          <w:lang w:val="fr-CH"/>
        </w:rPr>
        <w:t xml:space="preserve">l </w:t>
      </w:r>
      <w:r w:rsidR="00963400">
        <w:rPr>
          <w:lang w:val="fr-CH"/>
        </w:rPr>
        <w:t>convient donc de</w:t>
      </w:r>
      <w:r w:rsidR="00963400" w:rsidRPr="000E3081">
        <w:rPr>
          <w:lang w:val="fr-CH"/>
        </w:rPr>
        <w:t xml:space="preserve"> </w:t>
      </w:r>
      <w:r w:rsidRPr="000E3081">
        <w:rPr>
          <w:lang w:val="fr-CH"/>
        </w:rPr>
        <w:t>considérer</w:t>
      </w:r>
      <w:r w:rsidR="00963400">
        <w:rPr>
          <w:lang w:val="fr-CH"/>
        </w:rPr>
        <w:t xml:space="preserve"> et tenir compte</w:t>
      </w:r>
      <w:r w:rsidRPr="000E3081">
        <w:rPr>
          <w:lang w:val="fr-CH"/>
        </w:rPr>
        <w:t xml:space="preserve"> </w:t>
      </w:r>
      <w:r w:rsidR="00963400">
        <w:rPr>
          <w:lang w:val="fr-CH"/>
        </w:rPr>
        <w:t>d</w:t>
      </w:r>
      <w:r w:rsidRPr="000E3081">
        <w:rPr>
          <w:lang w:val="fr-CH"/>
        </w:rPr>
        <w:t>es caractéristiques individuelles.</w:t>
      </w:r>
    </w:p>
    <w:p w14:paraId="59EC5EF9" w14:textId="61192C84" w:rsidR="000E3081" w:rsidRPr="000E3081" w:rsidRDefault="000E3081" w:rsidP="000E3081">
      <w:pPr>
        <w:pStyle w:val="berschrift1"/>
        <w:rPr>
          <w:lang w:val="fr-CH"/>
        </w:rPr>
      </w:pPr>
      <w:r w:rsidRPr="000E3081">
        <w:rPr>
          <w:lang w:val="fr-CH"/>
        </w:rPr>
        <w:t>Et les jeunes</w:t>
      </w:r>
      <w:r w:rsidR="00257A8B">
        <w:rPr>
          <w:lang w:val="fr-CH"/>
        </w:rPr>
        <w:t> </w:t>
      </w:r>
      <w:r w:rsidRPr="000E3081">
        <w:rPr>
          <w:lang w:val="fr-CH"/>
        </w:rPr>
        <w:t>?</w:t>
      </w:r>
    </w:p>
    <w:p w14:paraId="4B87B97C" w14:textId="44E06936" w:rsidR="000E3081" w:rsidRPr="000E3081" w:rsidRDefault="000E3081" w:rsidP="000E3081">
      <w:pPr>
        <w:pStyle w:val="Textkrper"/>
        <w:rPr>
          <w:lang w:val="fr-CH"/>
        </w:rPr>
      </w:pPr>
      <w:r w:rsidRPr="000E3081">
        <w:rPr>
          <w:lang w:val="fr-CH"/>
        </w:rPr>
        <w:t xml:space="preserve">De nombreuses études </w:t>
      </w:r>
      <w:r w:rsidR="00036BCC">
        <w:rPr>
          <w:lang w:val="fr-CH"/>
        </w:rPr>
        <w:t>concernant l’</w:t>
      </w:r>
      <w:r w:rsidR="003F6927">
        <w:rPr>
          <w:lang w:val="fr-CH"/>
        </w:rPr>
        <w:t>association</w:t>
      </w:r>
      <w:r w:rsidR="00036BCC">
        <w:rPr>
          <w:lang w:val="fr-CH"/>
        </w:rPr>
        <w:t xml:space="preserve"> </w:t>
      </w:r>
      <w:r w:rsidR="003F6927">
        <w:rPr>
          <w:lang w:val="fr-CH"/>
        </w:rPr>
        <w:t xml:space="preserve">entre emploi et </w:t>
      </w:r>
      <w:r w:rsidR="00036BCC">
        <w:rPr>
          <w:lang w:val="fr-CH"/>
        </w:rPr>
        <w:t xml:space="preserve">qualité de vie </w:t>
      </w:r>
      <w:r w:rsidRPr="000E3081">
        <w:rPr>
          <w:lang w:val="fr-CH"/>
        </w:rPr>
        <w:t>ont été menées sur une population adulte, tandis qu</w:t>
      </w:r>
      <w:r w:rsidR="00FA65F0">
        <w:rPr>
          <w:lang w:val="fr-CH"/>
        </w:rPr>
        <w:t>’</w:t>
      </w:r>
      <w:r w:rsidRPr="000E3081">
        <w:rPr>
          <w:lang w:val="fr-CH"/>
        </w:rPr>
        <w:t>un nombre réduit d</w:t>
      </w:r>
      <w:r w:rsidR="00FA65F0">
        <w:rPr>
          <w:lang w:val="fr-CH"/>
        </w:rPr>
        <w:t>’</w:t>
      </w:r>
      <w:r w:rsidRPr="000E3081">
        <w:rPr>
          <w:lang w:val="fr-CH"/>
        </w:rPr>
        <w:t>études se sont intéressées à une population plus jeune et en particulier à la transition entre l</w:t>
      </w:r>
      <w:r w:rsidR="00FA65F0">
        <w:rPr>
          <w:lang w:val="fr-CH"/>
        </w:rPr>
        <w:t>’</w:t>
      </w:r>
      <w:r w:rsidRPr="000E3081">
        <w:rPr>
          <w:lang w:val="fr-CH"/>
        </w:rPr>
        <w:t>école et l</w:t>
      </w:r>
      <w:r w:rsidR="00FA65F0">
        <w:rPr>
          <w:lang w:val="fr-CH"/>
        </w:rPr>
        <w:t>’</w:t>
      </w:r>
      <w:r w:rsidRPr="000E3081">
        <w:rPr>
          <w:lang w:val="fr-CH"/>
        </w:rPr>
        <w:t>âge adulte.</w:t>
      </w:r>
    </w:p>
    <w:p w14:paraId="30E3AF20" w14:textId="48C4810D" w:rsidR="000E3081" w:rsidRPr="000E3081" w:rsidRDefault="000E3081" w:rsidP="000E3081">
      <w:pPr>
        <w:pStyle w:val="Textkrper"/>
        <w:rPr>
          <w:lang w:val="fr-CH"/>
        </w:rPr>
      </w:pPr>
      <w:r w:rsidRPr="000E3081">
        <w:rPr>
          <w:lang w:val="fr-CH"/>
        </w:rPr>
        <w:t xml:space="preserve">Parmi ces dernières, </w:t>
      </w:r>
      <w:proofErr w:type="spellStart"/>
      <w:r w:rsidRPr="000E3081">
        <w:rPr>
          <w:lang w:val="fr-CH"/>
        </w:rPr>
        <w:t>Biggs</w:t>
      </w:r>
      <w:proofErr w:type="spellEnd"/>
      <w:r w:rsidRPr="000E3081">
        <w:rPr>
          <w:lang w:val="fr-CH"/>
        </w:rPr>
        <w:t xml:space="preserve"> et Carter (2016) ont comparé un groupe de jeunes en situation de handicap (DI et trouble du spectre de l</w:t>
      </w:r>
      <w:r w:rsidR="00FA65F0">
        <w:rPr>
          <w:lang w:val="fr-CH"/>
        </w:rPr>
        <w:t>’</w:t>
      </w:r>
      <w:r w:rsidRPr="000E3081">
        <w:rPr>
          <w:lang w:val="fr-CH"/>
        </w:rPr>
        <w:t xml:space="preserve">autisme) à un groupe de jeunes </w:t>
      </w:r>
      <w:r w:rsidR="003B3C64">
        <w:rPr>
          <w:lang w:val="fr-CH"/>
        </w:rPr>
        <w:t>n</w:t>
      </w:r>
      <w:r w:rsidR="000D184D">
        <w:rPr>
          <w:lang w:val="fr-CH"/>
        </w:rPr>
        <w:t>’étant pas en situation de</w:t>
      </w:r>
      <w:r w:rsidR="003B3C64" w:rsidRPr="000E3081">
        <w:rPr>
          <w:lang w:val="fr-CH"/>
        </w:rPr>
        <w:t xml:space="preserve"> </w:t>
      </w:r>
      <w:r w:rsidRPr="000E3081">
        <w:rPr>
          <w:lang w:val="fr-CH"/>
        </w:rPr>
        <w:t>handicap. Les résultats ont montré que le groupe de jeunes en situation de handicap avait des résultats, en termes de qualité de vie, inférieurs à l</w:t>
      </w:r>
      <w:r w:rsidR="00FA65F0">
        <w:rPr>
          <w:lang w:val="fr-CH"/>
        </w:rPr>
        <w:t>’</w:t>
      </w:r>
      <w:r w:rsidRPr="000E3081">
        <w:rPr>
          <w:lang w:val="fr-CH"/>
        </w:rPr>
        <w:t>autre groupe. L</w:t>
      </w:r>
      <w:r w:rsidR="00FA65F0">
        <w:rPr>
          <w:lang w:val="fr-CH"/>
        </w:rPr>
        <w:t>’</w:t>
      </w:r>
      <w:r w:rsidRPr="000E3081">
        <w:rPr>
          <w:lang w:val="fr-CH"/>
        </w:rPr>
        <w:t>étude a analysé l</w:t>
      </w:r>
      <w:r w:rsidR="00FA65F0">
        <w:rPr>
          <w:lang w:val="fr-CH"/>
        </w:rPr>
        <w:t>’</w:t>
      </w:r>
      <w:r w:rsidRPr="000E3081">
        <w:rPr>
          <w:lang w:val="fr-CH"/>
        </w:rPr>
        <w:t>impact de différentes variables, mais le travail n</w:t>
      </w:r>
      <w:r w:rsidR="00FA65F0">
        <w:rPr>
          <w:lang w:val="fr-CH"/>
        </w:rPr>
        <w:t>’</w:t>
      </w:r>
      <w:r w:rsidRPr="000E3081">
        <w:rPr>
          <w:lang w:val="fr-CH"/>
        </w:rPr>
        <w:t>en faisait pas partie.</w:t>
      </w:r>
    </w:p>
    <w:p w14:paraId="29C239BD" w14:textId="528662D2" w:rsidR="000E3081" w:rsidRPr="000E3081" w:rsidRDefault="000E3081" w:rsidP="000E3081">
      <w:pPr>
        <w:pStyle w:val="Textkrper"/>
        <w:rPr>
          <w:lang w:val="fr-CH"/>
        </w:rPr>
      </w:pPr>
      <w:r w:rsidRPr="000E3081">
        <w:rPr>
          <w:lang w:val="fr-CH"/>
        </w:rPr>
        <w:t>Comme l</w:t>
      </w:r>
      <w:r w:rsidR="00FA65F0">
        <w:rPr>
          <w:lang w:val="fr-CH"/>
        </w:rPr>
        <w:t>’</w:t>
      </w:r>
      <w:r w:rsidRPr="000E3081">
        <w:rPr>
          <w:lang w:val="fr-CH"/>
        </w:rPr>
        <w:t>a rapporté Lindsay (2011), la participation au marché du travail </w:t>
      </w:r>
      <w:r w:rsidRPr="000E3081">
        <w:rPr>
          <w:rFonts w:cstheme="minorHAnsi"/>
          <w:lang w:val="fr-CH"/>
        </w:rPr>
        <w:t>–</w:t>
      </w:r>
      <w:r w:rsidR="00182789">
        <w:rPr>
          <w:lang w:val="fr-CH"/>
        </w:rPr>
        <w:t xml:space="preserve"> </w:t>
      </w:r>
      <w:r w:rsidRPr="000E3081">
        <w:rPr>
          <w:lang w:val="fr-CH"/>
        </w:rPr>
        <w:t>pour les personnes en situation de handicap notamment</w:t>
      </w:r>
      <w:r w:rsidR="00182789">
        <w:rPr>
          <w:lang w:val="fr-CH"/>
        </w:rPr>
        <w:t xml:space="preserve"> </w:t>
      </w:r>
      <w:r w:rsidRPr="000E3081">
        <w:rPr>
          <w:rFonts w:cstheme="minorHAnsi"/>
          <w:lang w:val="fr-CH"/>
        </w:rPr>
        <w:t>–</w:t>
      </w:r>
      <w:r w:rsidRPr="000E3081">
        <w:rPr>
          <w:lang w:val="fr-CH"/>
        </w:rPr>
        <w:t xml:space="preserve"> est très importante pour le sentiment d’inclusion et de valorisation ; cela est encore plus important pour les jeunes, l’emploi leur permettant d’établir des relations et d’augmenter leur bienêtre. De plus, l</w:t>
      </w:r>
      <w:r w:rsidR="00FA65F0">
        <w:rPr>
          <w:lang w:val="fr-CH"/>
        </w:rPr>
        <w:t>’</w:t>
      </w:r>
      <w:r w:rsidRPr="000E3081">
        <w:rPr>
          <w:lang w:val="fr-CH"/>
        </w:rPr>
        <w:t>emploi peut non seulement fournir aux jeunes un contexte pour le développement de carrière, mais c</w:t>
      </w:r>
      <w:r w:rsidR="00FA65F0">
        <w:rPr>
          <w:lang w:val="fr-CH"/>
        </w:rPr>
        <w:t>’</w:t>
      </w:r>
      <w:r w:rsidRPr="000E3081">
        <w:rPr>
          <w:lang w:val="fr-CH"/>
        </w:rPr>
        <w:t>est aussi une occasion d</w:t>
      </w:r>
      <w:r w:rsidR="00FA65F0">
        <w:rPr>
          <w:lang w:val="fr-CH"/>
        </w:rPr>
        <w:t>’</w:t>
      </w:r>
      <w:r w:rsidRPr="000E3081">
        <w:rPr>
          <w:lang w:val="fr-CH"/>
        </w:rPr>
        <w:t>explorer des intérêts, des compétences et des capacités</w:t>
      </w:r>
      <w:r w:rsidR="00A25A8E">
        <w:rPr>
          <w:lang w:val="fr-CH"/>
        </w:rPr>
        <w:t> :</w:t>
      </w:r>
      <w:r w:rsidRPr="000E3081">
        <w:rPr>
          <w:lang w:val="fr-CH"/>
        </w:rPr>
        <w:t xml:space="preserve"> autant d’aspects favorisant l</w:t>
      </w:r>
      <w:r w:rsidR="00FA65F0">
        <w:rPr>
          <w:lang w:val="fr-CH"/>
        </w:rPr>
        <w:t>’</w:t>
      </w:r>
      <w:r w:rsidRPr="000E3081">
        <w:rPr>
          <w:lang w:val="fr-CH"/>
        </w:rPr>
        <w:t>inclusion dans la société (Lindsay,</w:t>
      </w:r>
      <w:r w:rsidR="004412A3">
        <w:rPr>
          <w:lang w:val="fr-CH"/>
        </w:rPr>
        <w:t> </w:t>
      </w:r>
      <w:r w:rsidRPr="000E3081">
        <w:rPr>
          <w:lang w:val="fr-CH"/>
        </w:rPr>
        <w:t>2011).</w:t>
      </w:r>
    </w:p>
    <w:p w14:paraId="1B2DDCB5" w14:textId="58B0455C" w:rsidR="000E3081" w:rsidRPr="000E3081" w:rsidRDefault="000E3081" w:rsidP="000E3081">
      <w:pPr>
        <w:pStyle w:val="Textkrper"/>
        <w:rPr>
          <w:lang w:val="fr-CH"/>
        </w:rPr>
      </w:pPr>
      <w:r w:rsidRPr="000E3081">
        <w:rPr>
          <w:lang w:val="fr-CH"/>
        </w:rPr>
        <w:lastRenderedPageBreak/>
        <w:t>Foley et al. (2012), dans leur revue de littérature, se sont intéressées à la transition entre l</w:t>
      </w:r>
      <w:r w:rsidR="00FA65F0">
        <w:rPr>
          <w:lang w:val="fr-CH"/>
        </w:rPr>
        <w:t>’</w:t>
      </w:r>
      <w:r w:rsidRPr="000E3081">
        <w:rPr>
          <w:lang w:val="fr-CH"/>
        </w:rPr>
        <w:t>école et l’âge adulte des jeunes en situation de handicap. Les autrices ont souligné que les jeunes doivent faire face à des défis significatifs pendant cette transition, qui –</w:t>
      </w:r>
      <w:r w:rsidR="00182789">
        <w:rPr>
          <w:lang w:val="fr-CH"/>
        </w:rPr>
        <w:t xml:space="preserve"> </w:t>
      </w:r>
      <w:r w:rsidRPr="000E3081">
        <w:rPr>
          <w:lang w:val="fr-CH"/>
        </w:rPr>
        <w:t>conformément au modèle de la CIF (OMS, 2001)</w:t>
      </w:r>
      <w:r w:rsidR="00182789">
        <w:rPr>
          <w:lang w:val="fr-CH"/>
        </w:rPr>
        <w:t xml:space="preserve"> </w:t>
      </w:r>
      <w:r w:rsidRPr="000E3081">
        <w:rPr>
          <w:lang w:val="fr-CH"/>
        </w:rPr>
        <w:t xml:space="preserve">– est influencée par des facteurs personnels (comme les compétences individuelles) et des facteurs environnementaux (comme les soutiens reçus et la présence de services postscolaires). </w:t>
      </w:r>
      <w:r w:rsidR="002042DE">
        <w:rPr>
          <w:lang w:val="fr-CH"/>
        </w:rPr>
        <w:t>Cette</w:t>
      </w:r>
      <w:r w:rsidR="00A0178B">
        <w:rPr>
          <w:lang w:val="fr-CH"/>
        </w:rPr>
        <w:t xml:space="preserve"> </w:t>
      </w:r>
      <w:r w:rsidRPr="000E3081">
        <w:rPr>
          <w:lang w:val="fr-CH"/>
        </w:rPr>
        <w:t>revue</w:t>
      </w:r>
      <w:r w:rsidR="004412A3">
        <w:rPr>
          <w:lang w:val="fr-CH"/>
        </w:rPr>
        <w:t xml:space="preserve"> de littérature</w:t>
      </w:r>
      <w:r w:rsidR="006C5364">
        <w:rPr>
          <w:lang w:val="fr-CH"/>
        </w:rPr>
        <w:t xml:space="preserve"> a également porté sur le</w:t>
      </w:r>
      <w:r w:rsidRPr="000E3081">
        <w:rPr>
          <w:lang w:val="fr-CH"/>
        </w:rPr>
        <w:t xml:space="preserve"> rôle joué par les différentes typologies d’emploi et rapporte un jugement ambivalent sur l</w:t>
      </w:r>
      <w:r w:rsidR="00FA65F0">
        <w:rPr>
          <w:lang w:val="fr-CH"/>
        </w:rPr>
        <w:t>’</w:t>
      </w:r>
      <w:r w:rsidRPr="000E3081">
        <w:rPr>
          <w:lang w:val="fr-CH"/>
        </w:rPr>
        <w:t>efficacité de l’emploi protégé. Alors que certaines études soulignent que celui-ci fournit un travail intéressant et que les personnes reçoivent une formation orientée vers la recherche d</w:t>
      </w:r>
      <w:r w:rsidR="00FA65F0">
        <w:rPr>
          <w:lang w:val="fr-CH"/>
        </w:rPr>
        <w:t>’</w:t>
      </w:r>
      <w:r w:rsidRPr="000E3081">
        <w:rPr>
          <w:lang w:val="fr-CH"/>
        </w:rPr>
        <w:t>un emploi sur le marché du travail ordinaire, d</w:t>
      </w:r>
      <w:r w:rsidR="00FA65F0">
        <w:rPr>
          <w:lang w:val="fr-CH"/>
        </w:rPr>
        <w:t>’</w:t>
      </w:r>
      <w:r w:rsidRPr="000E3081">
        <w:rPr>
          <w:lang w:val="fr-CH"/>
        </w:rPr>
        <w:t>autres soutiennent qu</w:t>
      </w:r>
      <w:r w:rsidR="00FA65F0">
        <w:rPr>
          <w:lang w:val="fr-CH"/>
        </w:rPr>
        <w:t>’</w:t>
      </w:r>
      <w:r w:rsidRPr="000E3081">
        <w:rPr>
          <w:lang w:val="fr-CH"/>
        </w:rPr>
        <w:t xml:space="preserve">il offre de faibles niveaux de rémunération et une satisfaction limitée. </w:t>
      </w:r>
      <w:r w:rsidR="00343EAF">
        <w:rPr>
          <w:lang w:val="fr-CH"/>
        </w:rPr>
        <w:t>Quant à</w:t>
      </w:r>
      <w:r w:rsidRPr="000E3081">
        <w:rPr>
          <w:lang w:val="fr-CH"/>
        </w:rPr>
        <w:t xml:space="preserve"> l</w:t>
      </w:r>
      <w:r w:rsidR="00FA65F0">
        <w:rPr>
          <w:lang w:val="fr-CH"/>
        </w:rPr>
        <w:t>’</w:t>
      </w:r>
      <w:r w:rsidRPr="000E3081">
        <w:rPr>
          <w:lang w:val="fr-CH"/>
        </w:rPr>
        <w:t>emploi accompagné</w:t>
      </w:r>
      <w:r w:rsidR="00587018">
        <w:rPr>
          <w:lang w:val="fr-CH"/>
        </w:rPr>
        <w:t>, il</w:t>
      </w:r>
      <w:r w:rsidRPr="000E3081">
        <w:rPr>
          <w:lang w:val="fr-CH"/>
        </w:rPr>
        <w:t xml:space="preserve"> peut être associé </w:t>
      </w:r>
      <w:r w:rsidR="002A2656">
        <w:rPr>
          <w:lang w:val="fr-CH"/>
        </w:rPr>
        <w:t>à</w:t>
      </w:r>
      <w:r w:rsidR="002A2656" w:rsidRPr="000E3081">
        <w:rPr>
          <w:lang w:val="fr-CH"/>
        </w:rPr>
        <w:t xml:space="preserve"> </w:t>
      </w:r>
      <w:r w:rsidRPr="000E3081">
        <w:rPr>
          <w:lang w:val="fr-CH"/>
        </w:rPr>
        <w:t xml:space="preserve">des relations médiocres avec les collègues et de fortes exigences de productivité, mais peut </w:t>
      </w:r>
      <w:r w:rsidR="0002690F">
        <w:rPr>
          <w:lang w:val="fr-CH"/>
        </w:rPr>
        <w:t>en revanche</w:t>
      </w:r>
      <w:r w:rsidR="00587018">
        <w:rPr>
          <w:lang w:val="fr-CH"/>
        </w:rPr>
        <w:t xml:space="preserve"> </w:t>
      </w:r>
      <w:r w:rsidRPr="000E3081">
        <w:rPr>
          <w:lang w:val="fr-CH"/>
        </w:rPr>
        <w:t>offrir des opportunités d</w:t>
      </w:r>
      <w:r w:rsidR="00FA65F0">
        <w:rPr>
          <w:lang w:val="fr-CH"/>
        </w:rPr>
        <w:t>’</w:t>
      </w:r>
      <w:r w:rsidRPr="000E3081">
        <w:rPr>
          <w:lang w:val="fr-CH"/>
        </w:rPr>
        <w:t>indépendance et de choix l’associant donc à une amélioration du bienêtre psychologique</w:t>
      </w:r>
      <w:r w:rsidR="00D24060">
        <w:rPr>
          <w:lang w:val="fr-CH"/>
        </w:rPr>
        <w:t xml:space="preserve"> (Foley et al., 2012)</w:t>
      </w:r>
      <w:r w:rsidRPr="000E3081">
        <w:rPr>
          <w:lang w:val="fr-CH"/>
        </w:rPr>
        <w:t>.</w:t>
      </w:r>
    </w:p>
    <w:p w14:paraId="4978C573" w14:textId="11723E78" w:rsidR="000E3081" w:rsidRPr="000E3081" w:rsidRDefault="000E3081" w:rsidP="00E00604">
      <w:pPr>
        <w:pStyle w:val="Textkrper"/>
        <w:rPr>
          <w:lang w:val="fr-CH"/>
        </w:rPr>
      </w:pPr>
      <w:r w:rsidRPr="000E3081">
        <w:rPr>
          <w:lang w:val="fr-CH"/>
        </w:rPr>
        <w:t xml:space="preserve">Les données de la </w:t>
      </w:r>
      <w:r w:rsidRPr="000E3081">
        <w:rPr>
          <w:i/>
          <w:iCs/>
          <w:lang w:val="fr-CH"/>
        </w:rPr>
        <w:t xml:space="preserve">National Longitudinal Transition </w:t>
      </w:r>
      <w:proofErr w:type="spellStart"/>
      <w:r w:rsidRPr="000E3081">
        <w:rPr>
          <w:i/>
          <w:iCs/>
          <w:lang w:val="fr-CH"/>
        </w:rPr>
        <w:t>Study</w:t>
      </w:r>
      <w:proofErr w:type="spellEnd"/>
      <w:r w:rsidRPr="000E3081">
        <w:rPr>
          <w:lang w:val="fr-CH"/>
        </w:rPr>
        <w:t xml:space="preserve"> (</w:t>
      </w:r>
      <w:proofErr w:type="spellStart"/>
      <w:r w:rsidRPr="000E3081">
        <w:rPr>
          <w:lang w:val="fr-CH"/>
        </w:rPr>
        <w:t>Blackorby</w:t>
      </w:r>
      <w:proofErr w:type="spellEnd"/>
      <w:r w:rsidRPr="000E3081">
        <w:rPr>
          <w:lang w:val="fr-CH"/>
        </w:rPr>
        <w:t xml:space="preserve"> &amp; Wagner, 1996) </w:t>
      </w:r>
      <w:proofErr w:type="gramStart"/>
      <w:r w:rsidRPr="000E3081">
        <w:rPr>
          <w:lang w:val="fr-CH"/>
        </w:rPr>
        <w:t>fournissent</w:t>
      </w:r>
      <w:proofErr w:type="gramEnd"/>
      <w:r w:rsidRPr="000E3081">
        <w:rPr>
          <w:lang w:val="fr-CH"/>
        </w:rPr>
        <w:t xml:space="preserve"> des informations sur les jeunes en situation de handicap quittant l</w:t>
      </w:r>
      <w:r w:rsidR="00FA65F0">
        <w:rPr>
          <w:lang w:val="fr-CH"/>
        </w:rPr>
        <w:t>’</w:t>
      </w:r>
      <w:r w:rsidRPr="000E3081">
        <w:rPr>
          <w:lang w:val="fr-CH"/>
        </w:rPr>
        <w:t>école, en particulier concernant l</w:t>
      </w:r>
      <w:r w:rsidR="00FA65F0">
        <w:rPr>
          <w:lang w:val="fr-CH"/>
        </w:rPr>
        <w:t>’</w:t>
      </w:r>
      <w:r w:rsidRPr="000E3081">
        <w:rPr>
          <w:lang w:val="fr-CH"/>
        </w:rPr>
        <w:t>emploi, la formation tertiaire et l</w:t>
      </w:r>
      <w:r w:rsidR="00FA65F0">
        <w:rPr>
          <w:lang w:val="fr-CH"/>
        </w:rPr>
        <w:t>’</w:t>
      </w:r>
      <w:r w:rsidRPr="000E3081">
        <w:rPr>
          <w:lang w:val="fr-CH"/>
        </w:rPr>
        <w:t>indépendance résidentielle. L’étude a montré qu</w:t>
      </w:r>
      <w:r w:rsidR="00FA65F0">
        <w:rPr>
          <w:lang w:val="fr-CH"/>
        </w:rPr>
        <w:t>’</w:t>
      </w:r>
      <w:r w:rsidRPr="000E3081">
        <w:rPr>
          <w:lang w:val="fr-CH"/>
        </w:rPr>
        <w:t xml:space="preserve">au fil du temps les </w:t>
      </w:r>
      <w:r w:rsidR="00D13F59">
        <w:rPr>
          <w:lang w:val="fr-CH"/>
        </w:rPr>
        <w:t xml:space="preserve">accomplissements </w:t>
      </w:r>
      <w:r w:rsidRPr="000E3081">
        <w:rPr>
          <w:lang w:val="fr-CH"/>
        </w:rPr>
        <w:t>de ces jeunes</w:t>
      </w:r>
      <w:r w:rsidR="00647C0B">
        <w:rPr>
          <w:lang w:val="fr-CH"/>
        </w:rPr>
        <w:t xml:space="preserve"> (avoir un emploi, suivre une formation tertiaire et vivre de façon indépendante, p. ex.)</w:t>
      </w:r>
      <w:r w:rsidR="00647C0B" w:rsidRPr="000E3081">
        <w:rPr>
          <w:lang w:val="fr-CH"/>
        </w:rPr>
        <w:t xml:space="preserve"> </w:t>
      </w:r>
      <w:r w:rsidR="00BA53E9">
        <w:rPr>
          <w:lang w:val="fr-CH"/>
        </w:rPr>
        <w:t>deviennent plus fréquent</w:t>
      </w:r>
      <w:r w:rsidRPr="000E3081">
        <w:rPr>
          <w:lang w:val="fr-CH"/>
        </w:rPr>
        <w:t xml:space="preserve">, mais restent néanmoins inférieurs à ceux de leurs pairs qui ne sont pas en situation de handicap. Plus récemment, de nouvelles données de la </w:t>
      </w:r>
      <w:r w:rsidRPr="000E3081">
        <w:rPr>
          <w:i/>
          <w:iCs/>
          <w:lang w:val="fr-CH"/>
        </w:rPr>
        <w:t xml:space="preserve">National Longitudinal Transition </w:t>
      </w:r>
      <w:proofErr w:type="spellStart"/>
      <w:r w:rsidRPr="000E3081">
        <w:rPr>
          <w:i/>
          <w:iCs/>
          <w:lang w:val="fr-CH"/>
        </w:rPr>
        <w:t>Study</w:t>
      </w:r>
      <w:proofErr w:type="spellEnd"/>
      <w:r w:rsidRPr="000E3081">
        <w:rPr>
          <w:i/>
          <w:iCs/>
          <w:lang w:val="fr-CH"/>
        </w:rPr>
        <w:t xml:space="preserve"> </w:t>
      </w:r>
      <w:r w:rsidRPr="000E3081">
        <w:rPr>
          <w:lang w:val="fr-CH"/>
        </w:rPr>
        <w:t xml:space="preserve">(Newman et al., 2009) </w:t>
      </w:r>
      <w:proofErr w:type="gramStart"/>
      <w:r w:rsidRPr="000E3081">
        <w:rPr>
          <w:lang w:val="fr-CH"/>
        </w:rPr>
        <w:t>ont</w:t>
      </w:r>
      <w:proofErr w:type="gramEnd"/>
      <w:r w:rsidRPr="000E3081">
        <w:rPr>
          <w:lang w:val="fr-CH"/>
        </w:rPr>
        <w:t xml:space="preserve"> été publiées. En ce qui concerne l</w:t>
      </w:r>
      <w:r w:rsidR="00FA65F0">
        <w:rPr>
          <w:lang w:val="fr-CH"/>
        </w:rPr>
        <w:t>’</w:t>
      </w:r>
      <w:r w:rsidRPr="000E3081">
        <w:rPr>
          <w:lang w:val="fr-CH"/>
        </w:rPr>
        <w:t>emploi,</w:t>
      </w:r>
      <w:r w:rsidR="00E00604">
        <w:rPr>
          <w:lang w:val="fr-CH"/>
        </w:rPr>
        <w:t xml:space="preserve"> ces nouvelles données ont permis de constater</w:t>
      </w:r>
      <w:r w:rsidRPr="000E3081">
        <w:rPr>
          <w:lang w:val="fr-CH"/>
        </w:rPr>
        <w:t xml:space="preserve"> que les jeunes</w:t>
      </w:r>
      <w:r w:rsidR="00D80944">
        <w:rPr>
          <w:lang w:val="fr-CH"/>
        </w:rPr>
        <w:t> </w:t>
      </w:r>
      <w:r w:rsidR="006B275F">
        <w:rPr>
          <w:lang w:val="fr-CH"/>
        </w:rPr>
        <w:t>–</w:t>
      </w:r>
      <w:r w:rsidR="00182789">
        <w:rPr>
          <w:lang w:val="fr-CH"/>
        </w:rPr>
        <w:t xml:space="preserve"> </w:t>
      </w:r>
      <w:r w:rsidR="006B275F">
        <w:rPr>
          <w:lang w:val="fr-CH"/>
        </w:rPr>
        <w:t>en situation de handicap ou non</w:t>
      </w:r>
      <w:r w:rsidR="00182789">
        <w:rPr>
          <w:lang w:val="fr-CH"/>
        </w:rPr>
        <w:t xml:space="preserve"> </w:t>
      </w:r>
      <w:r w:rsidR="00D80944">
        <w:rPr>
          <w:lang w:val="fr-CH"/>
        </w:rPr>
        <w:t>–</w:t>
      </w:r>
      <w:r w:rsidRPr="000E3081">
        <w:rPr>
          <w:lang w:val="fr-CH"/>
        </w:rPr>
        <w:t xml:space="preserve"> qui avaient un emploi l</w:t>
      </w:r>
      <w:r w:rsidR="00FA65F0">
        <w:rPr>
          <w:lang w:val="fr-CH"/>
        </w:rPr>
        <w:t>’</w:t>
      </w:r>
      <w:r w:rsidRPr="000E3081">
        <w:rPr>
          <w:lang w:val="fr-CH"/>
        </w:rPr>
        <w:t>appréciaient, le trouvaient bien payé et estimaient qu</w:t>
      </w:r>
      <w:r w:rsidR="00FA65F0">
        <w:rPr>
          <w:lang w:val="fr-CH"/>
        </w:rPr>
        <w:t>’</w:t>
      </w:r>
      <w:r w:rsidRPr="000E3081">
        <w:rPr>
          <w:lang w:val="fr-CH"/>
        </w:rPr>
        <w:t>il offrait des occasions d</w:t>
      </w:r>
      <w:r w:rsidR="00FA65F0">
        <w:rPr>
          <w:lang w:val="fr-CH"/>
        </w:rPr>
        <w:t>’</w:t>
      </w:r>
      <w:r w:rsidRPr="000E3081">
        <w:rPr>
          <w:lang w:val="fr-CH"/>
        </w:rPr>
        <w:t>interaction sociale. En même temps, ces données montrent que les jeunes en situation de handicap ont moins de chances de trouver un emploi que leurs pairs sans handicap.</w:t>
      </w:r>
    </w:p>
    <w:p w14:paraId="196B607C" w14:textId="44687F92" w:rsidR="000E3081" w:rsidRPr="000E3081" w:rsidRDefault="000E3081" w:rsidP="000E3081">
      <w:pPr>
        <w:pStyle w:val="Textkrper"/>
        <w:rPr>
          <w:lang w:val="fr-CH"/>
        </w:rPr>
      </w:pPr>
      <w:r w:rsidRPr="000E3081">
        <w:rPr>
          <w:lang w:val="fr-CH"/>
        </w:rPr>
        <w:t>L’emploi appara</w:t>
      </w:r>
      <w:r w:rsidR="00AA289D">
        <w:rPr>
          <w:lang w:val="fr-CH"/>
        </w:rPr>
        <w:t>i</w:t>
      </w:r>
      <w:r w:rsidRPr="000E3081">
        <w:rPr>
          <w:lang w:val="fr-CH"/>
        </w:rPr>
        <w:t>t donc, chez les jeunes également –</w:t>
      </w:r>
      <w:r w:rsidR="00182789">
        <w:rPr>
          <w:lang w:val="fr-CH"/>
        </w:rPr>
        <w:t xml:space="preserve"> </w:t>
      </w:r>
      <w:r w:rsidRPr="000E3081">
        <w:rPr>
          <w:lang w:val="fr-CH"/>
        </w:rPr>
        <w:t>en situation de handicap ou non</w:t>
      </w:r>
      <w:r w:rsidR="00182789">
        <w:rPr>
          <w:lang w:val="fr-CH"/>
        </w:rPr>
        <w:t xml:space="preserve"> </w:t>
      </w:r>
      <w:r w:rsidRPr="000E3081">
        <w:rPr>
          <w:rFonts w:cstheme="minorHAnsi"/>
          <w:lang w:val="fr-CH"/>
        </w:rPr>
        <w:t>–</w:t>
      </w:r>
      <w:r w:rsidRPr="000E3081">
        <w:rPr>
          <w:lang w:val="fr-CH"/>
        </w:rPr>
        <w:t>, comme un déterminant du bienêtre. Favoriser une transition de qualité entre l’école et le travail est donc particulièrement important pour les jeunes en situation de handicap.</w:t>
      </w:r>
    </w:p>
    <w:p w14:paraId="251FAD1B" w14:textId="77777777" w:rsidR="000E3081" w:rsidRPr="000E3081" w:rsidRDefault="000E3081" w:rsidP="000E3081">
      <w:pPr>
        <w:pStyle w:val="berschrift1"/>
        <w:rPr>
          <w:lang w:val="fr-CH"/>
        </w:rPr>
      </w:pPr>
      <w:r w:rsidRPr="000E3081">
        <w:rPr>
          <w:lang w:val="fr-CH"/>
        </w:rPr>
        <w:t>Comment garantir une transition de qualité entre école spécialisée et travail ?</w:t>
      </w:r>
    </w:p>
    <w:p w14:paraId="1FDC88EE" w14:textId="58AF3427" w:rsidR="000E3081" w:rsidRPr="000E3081" w:rsidRDefault="000E3081" w:rsidP="000E3081">
      <w:pPr>
        <w:pStyle w:val="Textkrper"/>
        <w:rPr>
          <w:lang w:val="fr-CH"/>
        </w:rPr>
      </w:pPr>
      <w:r w:rsidRPr="000E3081">
        <w:rPr>
          <w:lang w:val="fr-CH"/>
        </w:rPr>
        <w:t>La littérature scientifique a mis en évidence des bonnes pratiques à même de favoriser la transition entre l</w:t>
      </w:r>
      <w:r w:rsidR="00FA65F0">
        <w:rPr>
          <w:lang w:val="fr-CH"/>
        </w:rPr>
        <w:t>’</w:t>
      </w:r>
      <w:r w:rsidRPr="000E3081">
        <w:rPr>
          <w:lang w:val="fr-CH"/>
        </w:rPr>
        <w:t>école et le marché du travail des jeunes en situation de handicap. L</w:t>
      </w:r>
      <w:r w:rsidR="00FA65F0">
        <w:rPr>
          <w:lang w:val="fr-CH"/>
        </w:rPr>
        <w:t>’</w:t>
      </w:r>
      <w:r w:rsidRPr="000E3081">
        <w:rPr>
          <w:lang w:val="fr-CH"/>
        </w:rPr>
        <w:t>un des facteurs de succès les plus récurrents est l</w:t>
      </w:r>
      <w:r w:rsidR="00FA65F0">
        <w:rPr>
          <w:lang w:val="fr-CH"/>
        </w:rPr>
        <w:t>’</w:t>
      </w:r>
      <w:r w:rsidRPr="000E3081">
        <w:rPr>
          <w:lang w:val="fr-CH"/>
        </w:rPr>
        <w:t>apprentissage basé sur le travail (</w:t>
      </w:r>
      <w:proofErr w:type="spellStart"/>
      <w:r w:rsidRPr="000E3081">
        <w:rPr>
          <w:lang w:val="fr-CH"/>
        </w:rPr>
        <w:t>Engelbrecht</w:t>
      </w:r>
      <w:proofErr w:type="spellEnd"/>
      <w:r w:rsidRPr="000E3081">
        <w:rPr>
          <w:lang w:val="fr-CH"/>
        </w:rPr>
        <w:t xml:space="preserve"> et al., 2017 ;</w:t>
      </w:r>
      <w:r w:rsidR="00600F9C" w:rsidRPr="000E3081">
        <w:rPr>
          <w:lang w:val="fr-CH"/>
        </w:rPr>
        <w:t xml:space="preserve"> </w:t>
      </w:r>
      <w:proofErr w:type="spellStart"/>
      <w:r w:rsidR="00600F9C" w:rsidRPr="000E3081">
        <w:rPr>
          <w:lang w:val="fr-CH"/>
        </w:rPr>
        <w:t>Ineland</w:t>
      </w:r>
      <w:proofErr w:type="spellEnd"/>
      <w:r w:rsidR="00600F9C" w:rsidRPr="000E3081">
        <w:rPr>
          <w:lang w:val="fr-CH"/>
        </w:rPr>
        <w:t xml:space="preserve"> et al., 2021</w:t>
      </w:r>
      <w:r w:rsidR="00282735">
        <w:rPr>
          <w:lang w:val="fr-CH"/>
        </w:rPr>
        <w:t> ;</w:t>
      </w:r>
      <w:r w:rsidR="00600F9C">
        <w:rPr>
          <w:lang w:val="fr-CH"/>
        </w:rPr>
        <w:t xml:space="preserve"> </w:t>
      </w:r>
      <w:proofErr w:type="spellStart"/>
      <w:r w:rsidRPr="000E3081">
        <w:rPr>
          <w:lang w:val="fr-CH"/>
        </w:rPr>
        <w:t>Lindstrom</w:t>
      </w:r>
      <w:proofErr w:type="spellEnd"/>
      <w:r w:rsidRPr="000E3081">
        <w:rPr>
          <w:lang w:val="fr-CH"/>
        </w:rPr>
        <w:t xml:space="preserve"> &amp; </w:t>
      </w:r>
      <w:proofErr w:type="spellStart"/>
      <w:r w:rsidRPr="000E3081">
        <w:rPr>
          <w:lang w:val="fr-CH"/>
        </w:rPr>
        <w:t>Beno</w:t>
      </w:r>
      <w:proofErr w:type="spellEnd"/>
      <w:r w:rsidRPr="000E3081">
        <w:rPr>
          <w:lang w:val="fr-CH"/>
        </w:rPr>
        <w:t>, 2020), qui consiste à intégrer l</w:t>
      </w:r>
      <w:r w:rsidR="00FA65F0">
        <w:rPr>
          <w:lang w:val="fr-CH"/>
        </w:rPr>
        <w:t>’</w:t>
      </w:r>
      <w:r w:rsidRPr="000E3081">
        <w:rPr>
          <w:lang w:val="fr-CH"/>
        </w:rPr>
        <w:t>apprentissage théorique avec des expériences pratiques sur le lieu de travail. La formation professionnelle duale, très présente en Suisse, en est un exemple</w:t>
      </w:r>
      <w:r w:rsidRPr="005C143E">
        <w:rPr>
          <w:lang w:val="fr-CH"/>
        </w:rPr>
        <w:t>. L</w:t>
      </w:r>
      <w:r w:rsidR="00FA65F0">
        <w:rPr>
          <w:lang w:val="fr-CH"/>
        </w:rPr>
        <w:t>’</w:t>
      </w:r>
      <w:r w:rsidRPr="005C143E">
        <w:rPr>
          <w:lang w:val="fr-CH"/>
        </w:rPr>
        <w:t>exposition des étudiant</w:t>
      </w:r>
      <w:r w:rsidR="000A7C98">
        <w:rPr>
          <w:lang w:val="fr-CH"/>
        </w:rPr>
        <w:t>e</w:t>
      </w:r>
      <w:r w:rsidRPr="005C143E">
        <w:rPr>
          <w:lang w:val="fr-CH"/>
        </w:rPr>
        <w:t>s</w:t>
      </w:r>
      <w:r w:rsidR="003711CB">
        <w:rPr>
          <w:lang w:val="fr-CH"/>
        </w:rPr>
        <w:t xml:space="preserve"> et étudiants</w:t>
      </w:r>
      <w:r w:rsidRPr="005C143E">
        <w:rPr>
          <w:lang w:val="fr-CH"/>
        </w:rPr>
        <w:t xml:space="preserve"> aux expériences professionnelles pendant la formation est également un facteur positif mentionné par </w:t>
      </w:r>
      <w:proofErr w:type="spellStart"/>
      <w:r w:rsidRPr="005C143E">
        <w:rPr>
          <w:lang w:val="fr-CH"/>
        </w:rPr>
        <w:t>Alnahdi</w:t>
      </w:r>
      <w:proofErr w:type="spellEnd"/>
      <w:r w:rsidRPr="005C143E">
        <w:rPr>
          <w:lang w:val="fr-CH"/>
        </w:rPr>
        <w:t xml:space="preserve"> (2016) et </w:t>
      </w:r>
      <w:proofErr w:type="spellStart"/>
      <w:r w:rsidRPr="005C143E">
        <w:rPr>
          <w:lang w:val="fr-CH"/>
        </w:rPr>
        <w:t>Wehman</w:t>
      </w:r>
      <w:proofErr w:type="spellEnd"/>
      <w:r w:rsidRPr="005C143E">
        <w:rPr>
          <w:lang w:val="fr-CH"/>
        </w:rPr>
        <w:t xml:space="preserve"> et al. (2015). Il s’agit en somme de permettre aux personnes en formation d’apprendre des compétences à travers une pratique de travail.</w:t>
      </w:r>
    </w:p>
    <w:p w14:paraId="6A7DCCFA" w14:textId="4747068A" w:rsidR="000E3081" w:rsidRPr="000E3081" w:rsidRDefault="000E3081" w:rsidP="000E3081">
      <w:pPr>
        <w:pStyle w:val="Textkrper"/>
        <w:rPr>
          <w:lang w:val="fr-CH"/>
        </w:rPr>
      </w:pPr>
      <w:r w:rsidRPr="000E3081">
        <w:rPr>
          <w:lang w:val="fr-CH"/>
        </w:rPr>
        <w:t>L</w:t>
      </w:r>
      <w:r w:rsidR="00FA65F0">
        <w:rPr>
          <w:lang w:val="fr-CH"/>
        </w:rPr>
        <w:t>’</w:t>
      </w:r>
      <w:r w:rsidRPr="000E3081">
        <w:rPr>
          <w:lang w:val="fr-CH"/>
        </w:rPr>
        <w:t>implication et la collaboration avec la famille figurent également parmi les bonnes pratiques les plus fréquemment citées (</w:t>
      </w:r>
      <w:proofErr w:type="spellStart"/>
      <w:r w:rsidRPr="000E3081">
        <w:rPr>
          <w:lang w:val="fr-CH"/>
        </w:rPr>
        <w:t>Engelbrecht</w:t>
      </w:r>
      <w:proofErr w:type="spellEnd"/>
      <w:r w:rsidRPr="000E3081">
        <w:rPr>
          <w:lang w:val="fr-CH"/>
        </w:rPr>
        <w:t xml:space="preserve"> et al., 2017 ; </w:t>
      </w:r>
      <w:proofErr w:type="spellStart"/>
      <w:r w:rsidR="00F622E7" w:rsidRPr="000E3081">
        <w:rPr>
          <w:lang w:val="fr-CH"/>
        </w:rPr>
        <w:t>Husni</w:t>
      </w:r>
      <w:proofErr w:type="spellEnd"/>
      <w:r w:rsidR="00F622E7" w:rsidRPr="000E3081">
        <w:rPr>
          <w:lang w:val="fr-CH"/>
        </w:rPr>
        <w:t> &amp; Min, 2024</w:t>
      </w:r>
      <w:r w:rsidR="00F622E7">
        <w:rPr>
          <w:lang w:val="fr-CH"/>
        </w:rPr>
        <w:t xml:space="preserve"> ; </w:t>
      </w:r>
      <w:proofErr w:type="spellStart"/>
      <w:r w:rsidRPr="000E3081">
        <w:rPr>
          <w:lang w:val="fr-CH"/>
        </w:rPr>
        <w:t>Lindstrom</w:t>
      </w:r>
      <w:proofErr w:type="spellEnd"/>
      <w:r w:rsidRPr="000E3081">
        <w:rPr>
          <w:lang w:val="fr-CH"/>
        </w:rPr>
        <w:t xml:space="preserve"> &amp; </w:t>
      </w:r>
      <w:proofErr w:type="spellStart"/>
      <w:r w:rsidRPr="000E3081">
        <w:rPr>
          <w:lang w:val="fr-CH"/>
        </w:rPr>
        <w:t>Beno</w:t>
      </w:r>
      <w:proofErr w:type="spellEnd"/>
      <w:r w:rsidRPr="000E3081">
        <w:rPr>
          <w:lang w:val="fr-CH"/>
        </w:rPr>
        <w:t>, 2020). Certaines études mentionnent aussi la collaboration entre l</w:t>
      </w:r>
      <w:r w:rsidR="003469D9">
        <w:rPr>
          <w:lang w:val="fr-CH"/>
        </w:rPr>
        <w:t>’</w:t>
      </w:r>
      <w:r w:rsidRPr="000E3081">
        <w:rPr>
          <w:lang w:val="fr-CH"/>
        </w:rPr>
        <w:t>école et l</w:t>
      </w:r>
      <w:r w:rsidR="003469D9">
        <w:rPr>
          <w:lang w:val="fr-CH"/>
        </w:rPr>
        <w:t>’</w:t>
      </w:r>
      <w:r w:rsidRPr="000E3081">
        <w:rPr>
          <w:lang w:val="fr-CH"/>
        </w:rPr>
        <w:t>employeu</w:t>
      </w:r>
      <w:r w:rsidR="00942B9A">
        <w:rPr>
          <w:lang w:val="fr-CH"/>
        </w:rPr>
        <w:t>se</w:t>
      </w:r>
      <w:r w:rsidR="003469D9">
        <w:rPr>
          <w:lang w:val="fr-CH"/>
        </w:rPr>
        <w:t xml:space="preserve"> ou l’</w:t>
      </w:r>
      <w:r w:rsidR="00942B9A">
        <w:rPr>
          <w:lang w:val="fr-CH"/>
        </w:rPr>
        <w:t>employeur</w:t>
      </w:r>
      <w:r w:rsidRPr="000E3081">
        <w:rPr>
          <w:lang w:val="fr-CH"/>
        </w:rPr>
        <w:t xml:space="preserve"> (</w:t>
      </w:r>
      <w:proofErr w:type="spellStart"/>
      <w:r w:rsidRPr="000E3081">
        <w:rPr>
          <w:lang w:val="fr-CH"/>
        </w:rPr>
        <w:t>Engelbrecht</w:t>
      </w:r>
      <w:proofErr w:type="spellEnd"/>
      <w:r w:rsidRPr="000E3081">
        <w:rPr>
          <w:lang w:val="fr-CH"/>
        </w:rPr>
        <w:t xml:space="preserve"> et al., 2017 ; </w:t>
      </w:r>
      <w:proofErr w:type="spellStart"/>
      <w:r w:rsidRPr="000E3081">
        <w:rPr>
          <w:lang w:val="fr-CH"/>
        </w:rPr>
        <w:t>Lindstrom</w:t>
      </w:r>
      <w:proofErr w:type="spellEnd"/>
      <w:r w:rsidRPr="000E3081">
        <w:rPr>
          <w:lang w:val="fr-CH"/>
        </w:rPr>
        <w:t xml:space="preserve"> &amp; </w:t>
      </w:r>
      <w:proofErr w:type="spellStart"/>
      <w:r w:rsidRPr="000E3081">
        <w:rPr>
          <w:lang w:val="fr-CH"/>
        </w:rPr>
        <w:t>Beno</w:t>
      </w:r>
      <w:proofErr w:type="spellEnd"/>
      <w:r w:rsidRPr="000E3081">
        <w:rPr>
          <w:lang w:val="fr-CH"/>
        </w:rPr>
        <w:t xml:space="preserve">, 2020 ; </w:t>
      </w:r>
      <w:proofErr w:type="spellStart"/>
      <w:r w:rsidRPr="000E3081">
        <w:rPr>
          <w:lang w:val="fr-CH"/>
        </w:rPr>
        <w:t>Sigstad</w:t>
      </w:r>
      <w:proofErr w:type="spellEnd"/>
      <w:r w:rsidRPr="000E3081">
        <w:rPr>
          <w:lang w:val="fr-CH"/>
        </w:rPr>
        <w:t xml:space="preserve"> &amp; </w:t>
      </w:r>
      <w:proofErr w:type="spellStart"/>
      <w:r w:rsidRPr="000E3081">
        <w:rPr>
          <w:lang w:val="fr-CH"/>
        </w:rPr>
        <w:t>Garrels</w:t>
      </w:r>
      <w:proofErr w:type="spellEnd"/>
      <w:r w:rsidRPr="000E3081">
        <w:rPr>
          <w:lang w:val="fr-CH"/>
        </w:rPr>
        <w:t xml:space="preserve">, 2023). </w:t>
      </w:r>
      <w:proofErr w:type="spellStart"/>
      <w:r w:rsidRPr="000E3081">
        <w:rPr>
          <w:lang w:val="fr-CH"/>
        </w:rPr>
        <w:t>Sigstad</w:t>
      </w:r>
      <w:proofErr w:type="spellEnd"/>
      <w:r w:rsidRPr="000E3081">
        <w:rPr>
          <w:lang w:val="fr-CH"/>
        </w:rPr>
        <w:t xml:space="preserve"> et </w:t>
      </w:r>
      <w:proofErr w:type="spellStart"/>
      <w:r w:rsidRPr="000E3081">
        <w:rPr>
          <w:lang w:val="fr-CH"/>
        </w:rPr>
        <w:t>Garrels</w:t>
      </w:r>
      <w:proofErr w:type="spellEnd"/>
      <w:r w:rsidRPr="000E3081">
        <w:rPr>
          <w:lang w:val="fr-CH"/>
        </w:rPr>
        <w:t xml:space="preserve"> (2023) citent, parmi les facteurs de succès : (1) le soutien de la famille et d</w:t>
      </w:r>
      <w:r w:rsidR="00FA65F0">
        <w:rPr>
          <w:lang w:val="fr-CH"/>
        </w:rPr>
        <w:t>’</w:t>
      </w:r>
      <w:r w:rsidRPr="000E3081">
        <w:rPr>
          <w:lang w:val="fr-CH"/>
        </w:rPr>
        <w:t>un réseau composé d</w:t>
      </w:r>
      <w:r w:rsidR="00FA65F0">
        <w:rPr>
          <w:lang w:val="fr-CH"/>
        </w:rPr>
        <w:t>’</w:t>
      </w:r>
      <w:r w:rsidRPr="000E3081">
        <w:rPr>
          <w:lang w:val="fr-CH"/>
        </w:rPr>
        <w:t>amies et amis, d</w:t>
      </w:r>
      <w:r w:rsidR="00FA65F0">
        <w:rPr>
          <w:lang w:val="fr-CH"/>
        </w:rPr>
        <w:t>’</w:t>
      </w:r>
      <w:r w:rsidRPr="000E3081">
        <w:rPr>
          <w:lang w:val="fr-CH"/>
        </w:rPr>
        <w:t>enseignantes et enseignants ainsi que de professionnelles et professionnels ; (2) l</w:t>
      </w:r>
      <w:r w:rsidR="00FA65F0">
        <w:rPr>
          <w:lang w:val="fr-CH"/>
        </w:rPr>
        <w:t>’</w:t>
      </w:r>
      <w:r w:rsidRPr="000E3081">
        <w:rPr>
          <w:lang w:val="fr-CH"/>
        </w:rPr>
        <w:t>environnement de travail inclusif ; (3) les aménagements individuels sur le lieu de travail et (4) d</w:t>
      </w:r>
      <w:r w:rsidR="00FA65F0">
        <w:rPr>
          <w:lang w:val="fr-CH"/>
        </w:rPr>
        <w:t>’</w:t>
      </w:r>
      <w:r w:rsidRPr="000E3081">
        <w:rPr>
          <w:lang w:val="fr-CH"/>
        </w:rPr>
        <w:t>autres facteurs personnels, comme les compétences transversales</w:t>
      </w:r>
      <w:r w:rsidR="00693E87">
        <w:rPr>
          <w:lang w:val="fr-CH"/>
        </w:rPr>
        <w:t xml:space="preserve"> (</w:t>
      </w:r>
      <w:r w:rsidRPr="000E3081">
        <w:rPr>
          <w:lang w:val="fr-CH"/>
        </w:rPr>
        <w:t>p. ex., la communication</w:t>
      </w:r>
      <w:r w:rsidR="00693E87">
        <w:rPr>
          <w:lang w:val="fr-CH"/>
        </w:rPr>
        <w:t>)</w:t>
      </w:r>
      <w:r w:rsidRPr="000E3081">
        <w:rPr>
          <w:lang w:val="fr-CH"/>
        </w:rPr>
        <w:t xml:space="preserve"> et un bon niveau d</w:t>
      </w:r>
      <w:r w:rsidR="00FA65F0">
        <w:rPr>
          <w:lang w:val="fr-CH"/>
        </w:rPr>
        <w:t>’</w:t>
      </w:r>
      <w:r w:rsidRPr="000E3081">
        <w:rPr>
          <w:lang w:val="fr-CH"/>
        </w:rPr>
        <w:t>autodétermination.</w:t>
      </w:r>
    </w:p>
    <w:p w14:paraId="1212B10A" w14:textId="16D7270C" w:rsidR="000E3081" w:rsidRPr="00976031" w:rsidRDefault="000E3081" w:rsidP="000E3081">
      <w:pPr>
        <w:pStyle w:val="Textkrper"/>
        <w:rPr>
          <w:lang w:val="fr-CH"/>
        </w:rPr>
      </w:pPr>
      <w:r w:rsidRPr="000E3081">
        <w:rPr>
          <w:lang w:val="fr-CH"/>
        </w:rPr>
        <w:t>Notons que, comme certaines études le soulignent, l</w:t>
      </w:r>
      <w:r w:rsidR="00FA65F0">
        <w:rPr>
          <w:lang w:val="fr-CH"/>
        </w:rPr>
        <w:t>’</w:t>
      </w:r>
      <w:r w:rsidRPr="000E3081">
        <w:rPr>
          <w:lang w:val="fr-CH"/>
        </w:rPr>
        <w:t>inclusion dans l</w:t>
      </w:r>
      <w:r w:rsidR="00FA65F0">
        <w:rPr>
          <w:lang w:val="fr-CH"/>
        </w:rPr>
        <w:t>’</w:t>
      </w:r>
      <w:r w:rsidRPr="000E3081">
        <w:rPr>
          <w:lang w:val="fr-CH"/>
        </w:rPr>
        <w:t>enseignement ordinaire</w:t>
      </w:r>
      <w:r w:rsidR="008E200B" w:rsidRPr="008E200B">
        <w:rPr>
          <w:lang w:val="fr-CH"/>
        </w:rPr>
        <w:t> –</w:t>
      </w:r>
      <w:r w:rsidR="00182789">
        <w:rPr>
          <w:lang w:val="fr-CH"/>
        </w:rPr>
        <w:t xml:space="preserve"> </w:t>
      </w:r>
      <w:r w:rsidR="008E200B" w:rsidRPr="008E200B">
        <w:rPr>
          <w:lang w:val="fr-CH"/>
        </w:rPr>
        <w:t>tout comme l</w:t>
      </w:r>
      <w:r w:rsidR="00FA65F0">
        <w:rPr>
          <w:lang w:val="fr-CH"/>
        </w:rPr>
        <w:t>’</w:t>
      </w:r>
      <w:r w:rsidR="008E200B" w:rsidRPr="008E200B">
        <w:rPr>
          <w:lang w:val="fr-CH"/>
        </w:rPr>
        <w:t>orientation professionnelle</w:t>
      </w:r>
      <w:r w:rsidR="00182789">
        <w:rPr>
          <w:lang w:val="fr-CH"/>
        </w:rPr>
        <w:t xml:space="preserve"> </w:t>
      </w:r>
      <w:r w:rsidR="009F1F39" w:rsidRPr="009F1F39">
        <w:rPr>
          <w:lang w:val="fr-CH"/>
        </w:rPr>
        <w:t xml:space="preserve">– </w:t>
      </w:r>
      <w:r w:rsidRPr="000E3081">
        <w:rPr>
          <w:lang w:val="fr-CH"/>
        </w:rPr>
        <w:t>peut avoir un impact positif sur la transition vers le marché du travail (</w:t>
      </w:r>
      <w:proofErr w:type="spellStart"/>
      <w:r w:rsidRPr="000E3081">
        <w:rPr>
          <w:lang w:val="fr-CH"/>
        </w:rPr>
        <w:t>Alnahdi</w:t>
      </w:r>
      <w:proofErr w:type="spellEnd"/>
      <w:r w:rsidRPr="000E3081">
        <w:rPr>
          <w:lang w:val="fr-CH"/>
        </w:rPr>
        <w:t>, 2016</w:t>
      </w:r>
      <w:r w:rsidR="009F1F39">
        <w:rPr>
          <w:lang w:val="fr-CH"/>
        </w:rPr>
        <w:t xml:space="preserve"> ; </w:t>
      </w:r>
      <w:proofErr w:type="spellStart"/>
      <w:r w:rsidRPr="000E3081">
        <w:rPr>
          <w:lang w:val="fr-CH"/>
        </w:rPr>
        <w:t>Husni</w:t>
      </w:r>
      <w:proofErr w:type="spellEnd"/>
      <w:r w:rsidRPr="000E3081">
        <w:rPr>
          <w:lang w:val="fr-CH"/>
        </w:rPr>
        <w:t> &amp; Min, 2024</w:t>
      </w:r>
      <w:r w:rsidR="0025096F">
        <w:rPr>
          <w:lang w:val="fr-CH"/>
        </w:rPr>
        <w:t xml:space="preserve"> ; </w:t>
      </w:r>
      <w:proofErr w:type="spellStart"/>
      <w:r w:rsidR="0025096F" w:rsidRPr="000E3081">
        <w:rPr>
          <w:lang w:val="fr-CH"/>
        </w:rPr>
        <w:t>Lindstrom</w:t>
      </w:r>
      <w:proofErr w:type="spellEnd"/>
      <w:r w:rsidR="0025096F" w:rsidRPr="000E3081">
        <w:rPr>
          <w:lang w:val="fr-CH"/>
        </w:rPr>
        <w:t xml:space="preserve"> &amp; </w:t>
      </w:r>
      <w:proofErr w:type="spellStart"/>
      <w:r w:rsidR="0025096F" w:rsidRPr="000E3081">
        <w:rPr>
          <w:lang w:val="fr-CH"/>
        </w:rPr>
        <w:t>Beno</w:t>
      </w:r>
      <w:proofErr w:type="spellEnd"/>
      <w:r w:rsidR="0025096F" w:rsidRPr="000E3081">
        <w:rPr>
          <w:lang w:val="fr-CH"/>
        </w:rPr>
        <w:t>, 2020</w:t>
      </w:r>
      <w:r w:rsidRPr="000E3081">
        <w:rPr>
          <w:lang w:val="fr-CH"/>
        </w:rPr>
        <w:t>).</w:t>
      </w:r>
    </w:p>
    <w:p w14:paraId="3C835398" w14:textId="44B79334" w:rsidR="000E3081" w:rsidRPr="000E3081" w:rsidRDefault="000E3081" w:rsidP="000E3081">
      <w:pPr>
        <w:pStyle w:val="berschrift1"/>
        <w:rPr>
          <w:lang w:val="fr-CH"/>
        </w:rPr>
      </w:pPr>
      <w:r w:rsidRPr="000E3081">
        <w:rPr>
          <w:lang w:val="fr-CH"/>
        </w:rPr>
        <w:lastRenderedPageBreak/>
        <w:t>Conclusion</w:t>
      </w:r>
    </w:p>
    <w:p w14:paraId="48623CC4" w14:textId="19870F93" w:rsidR="00B50E21" w:rsidRPr="000E3081" w:rsidRDefault="000E3081" w:rsidP="000E3081">
      <w:pPr>
        <w:pStyle w:val="Textkrper"/>
        <w:rPr>
          <w:lang w:val="fr-CH"/>
        </w:rPr>
      </w:pPr>
      <w:r w:rsidRPr="000E3081">
        <w:rPr>
          <w:lang w:val="fr-CH"/>
        </w:rPr>
        <w:t>Malgré l</w:t>
      </w:r>
      <w:r w:rsidR="00FA65F0">
        <w:rPr>
          <w:lang w:val="fr-CH"/>
        </w:rPr>
        <w:t>’</w:t>
      </w:r>
      <w:r w:rsidRPr="000E3081">
        <w:rPr>
          <w:lang w:val="fr-CH"/>
        </w:rPr>
        <w:t>existence de bonnes pratiques, leur application effective reste un défi et, à ce jour, le taux d</w:t>
      </w:r>
      <w:r w:rsidR="00FA65F0">
        <w:rPr>
          <w:lang w:val="fr-CH"/>
        </w:rPr>
        <w:t>’</w:t>
      </w:r>
      <w:r w:rsidRPr="000E3081">
        <w:rPr>
          <w:lang w:val="fr-CH"/>
        </w:rPr>
        <w:t>emploi des jeunes en situation de handicap demeure inférieur à celui de leurs pairs qui ne sont pas en situation de handicap. Outre les difficultés pour entrer sur le marché du travail, les jeunes qui présentent, par exemple, une DI, doivent également faire face à d</w:t>
      </w:r>
      <w:r w:rsidR="00FA65F0">
        <w:rPr>
          <w:lang w:val="fr-CH"/>
        </w:rPr>
        <w:t>’</w:t>
      </w:r>
      <w:r w:rsidRPr="000E3081">
        <w:rPr>
          <w:lang w:val="fr-CH"/>
        </w:rPr>
        <w:t>autres défis, comme la nécessité d’une planification personnalisée de la carrière et d’un soutien continu, ainsi que la présence de préjugés envers le handicap (</w:t>
      </w:r>
      <w:proofErr w:type="spellStart"/>
      <w:r w:rsidRPr="000E3081">
        <w:rPr>
          <w:lang w:val="fr-CH"/>
        </w:rPr>
        <w:t>Winn</w:t>
      </w:r>
      <w:proofErr w:type="spellEnd"/>
      <w:r w:rsidRPr="000E3081">
        <w:rPr>
          <w:lang w:val="fr-CH"/>
        </w:rPr>
        <w:t> &amp; Hay,</w:t>
      </w:r>
      <w:r w:rsidR="004954C4">
        <w:rPr>
          <w:lang w:val="fr-CH"/>
        </w:rPr>
        <w:t> </w:t>
      </w:r>
      <w:r w:rsidRPr="000E3081">
        <w:rPr>
          <w:lang w:val="fr-CH"/>
        </w:rPr>
        <w:t>2009). En plus de favoriser une transition de qualité vers le monde du travail, il est nécessaire d</w:t>
      </w:r>
      <w:r w:rsidR="00FA65F0">
        <w:rPr>
          <w:lang w:val="fr-CH"/>
        </w:rPr>
        <w:t>’</w:t>
      </w:r>
      <w:r w:rsidRPr="000E3081">
        <w:rPr>
          <w:lang w:val="fr-CH"/>
        </w:rPr>
        <w:t>imaginer des formes de soutien qui puissent perdurer, comme le recours à l</w:t>
      </w:r>
      <w:r w:rsidR="00FA65F0">
        <w:rPr>
          <w:lang w:val="fr-CH"/>
        </w:rPr>
        <w:t>’</w:t>
      </w:r>
      <w:r w:rsidRPr="000E3081">
        <w:rPr>
          <w:lang w:val="fr-CH"/>
        </w:rPr>
        <w:t>emploi accompagné en cas de besoin. De plus, il serait souhaitable de sensibiliser les employeuses et les employeurs et, plus généralement, la société, à la valeur de l’inclusion des personnes en situation de handicap et aux bonnes pratiques qui la sous-tendent.</w:t>
      </w:r>
      <w:bookmarkEnd w:id="0"/>
    </w:p>
    <w:p w14:paraId="41118929" w14:textId="69534061" w:rsidR="006E260B" w:rsidRPr="005C143E" w:rsidRDefault="00037AE3" w:rsidP="00855097">
      <w:pPr>
        <w:pStyle w:val="berschrift1"/>
        <w:rPr>
          <w:lang w:val="fr-CH"/>
        </w:rPr>
      </w:pPr>
      <w:r w:rsidRPr="005C143E">
        <w:rPr>
          <w:lang w:val="fr-CH"/>
        </w:rPr>
        <w:t>Autrice et auteur</w:t>
      </w:r>
    </w:p>
    <w:tbl>
      <w:tblPr>
        <w:tblStyle w:val="Tabellenraster"/>
        <w:tblW w:w="333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5"/>
      </w:tblGrid>
      <w:tr w:rsidR="000E3081" w:rsidRPr="005C143E" w14:paraId="4A1405D0" w14:textId="77777777" w:rsidTr="000E3081">
        <w:tc>
          <w:tcPr>
            <w:tcW w:w="2500" w:type="pct"/>
            <w:vAlign w:val="center"/>
          </w:tcPr>
          <w:p w14:paraId="58C7D258" w14:textId="29D10968" w:rsidR="000E3081" w:rsidRPr="005C143E" w:rsidRDefault="005C143E" w:rsidP="005C143E">
            <w:pPr>
              <w:pStyle w:val="Textkrper3"/>
              <w:rPr>
                <w:lang w:val="fr-CH"/>
              </w:rPr>
            </w:pPr>
            <w:r>
              <w:rPr>
                <w:noProof/>
                <w:lang w:val="fr-CH"/>
              </w:rPr>
              <w:drawing>
                <wp:inline distT="0" distB="0" distL="0" distR="0" wp14:anchorId="0FC7E9B8" wp14:editId="4292969B">
                  <wp:extent cx="1036800" cy="1036800"/>
                  <wp:effectExtent l="0" t="0" r="0" b="0"/>
                  <wp:docPr id="780749057"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749057" name="Image 4">
                            <a:extLst>
                              <a:ext uri="{C183D7F6-B498-43B3-948B-1728B52AA6E4}">
                                <adec:decorative xmlns:adec="http://schemas.microsoft.com/office/drawing/2017/decorative" val="1"/>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36800" cy="1036800"/>
                          </a:xfrm>
                          <a:prstGeom prst="rect">
                            <a:avLst/>
                          </a:prstGeom>
                          <a:noFill/>
                          <a:ln>
                            <a:noFill/>
                          </a:ln>
                        </pic:spPr>
                      </pic:pic>
                    </a:graphicData>
                  </a:graphic>
                </wp:inline>
              </w:drawing>
            </w:r>
          </w:p>
        </w:tc>
        <w:tc>
          <w:tcPr>
            <w:tcW w:w="2500" w:type="pct"/>
            <w:vAlign w:val="center"/>
          </w:tcPr>
          <w:p w14:paraId="04DD5BC1" w14:textId="5E8EC8C1" w:rsidR="000E3081" w:rsidRPr="005C143E" w:rsidRDefault="005C143E" w:rsidP="005C143E">
            <w:pPr>
              <w:pStyle w:val="Textkrper3"/>
              <w:rPr>
                <w:noProof/>
                <w:lang w:val="fr-CH"/>
              </w:rPr>
            </w:pPr>
            <w:r>
              <w:rPr>
                <w:noProof/>
                <w:lang w:val="fr-CH"/>
              </w:rPr>
              <w:drawing>
                <wp:inline distT="0" distB="0" distL="0" distR="0" wp14:anchorId="07DB739C" wp14:editId="37946927">
                  <wp:extent cx="1036800" cy="1036800"/>
                  <wp:effectExtent l="0" t="0" r="0" b="0"/>
                  <wp:docPr id="117396150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961505" name="Image 5">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36800" cy="1036800"/>
                          </a:xfrm>
                          <a:prstGeom prst="rect">
                            <a:avLst/>
                          </a:prstGeom>
                          <a:noFill/>
                          <a:ln>
                            <a:noFill/>
                          </a:ln>
                        </pic:spPr>
                      </pic:pic>
                    </a:graphicData>
                  </a:graphic>
                </wp:inline>
              </w:drawing>
            </w:r>
          </w:p>
        </w:tc>
      </w:tr>
      <w:tr w:rsidR="000E3081" w:rsidRPr="005C143E" w14:paraId="49844421" w14:textId="77777777" w:rsidTr="000E3081">
        <w:trPr>
          <w:trHeight w:val="960"/>
        </w:trPr>
        <w:tc>
          <w:tcPr>
            <w:tcW w:w="2500" w:type="pct"/>
          </w:tcPr>
          <w:p w14:paraId="7D2FCC22" w14:textId="2F109FD9" w:rsidR="000E3081" w:rsidRPr="008058DF" w:rsidRDefault="00F721E1" w:rsidP="00533DA1">
            <w:pPr>
              <w:pStyle w:val="Textkrper3"/>
              <w:rPr>
                <w:lang w:val="it-CH"/>
              </w:rPr>
            </w:pPr>
            <w:r w:rsidRPr="008058DF">
              <w:rPr>
                <w:lang w:val="it-CH"/>
              </w:rPr>
              <w:t>Elisa</w:t>
            </w:r>
            <w:r w:rsidR="00182789">
              <w:rPr>
                <w:lang w:val="it-CH"/>
              </w:rPr>
              <w:t> </w:t>
            </w:r>
            <w:r w:rsidRPr="008058DF">
              <w:rPr>
                <w:lang w:val="it-CH"/>
              </w:rPr>
              <w:t>Gero</w:t>
            </w:r>
            <w:r w:rsidR="005B58DE" w:rsidRPr="008058DF">
              <w:rPr>
                <w:lang w:val="it-CH"/>
              </w:rPr>
              <w:t>n</w:t>
            </w:r>
            <w:r w:rsidRPr="008058DF">
              <w:rPr>
                <w:lang w:val="it-CH"/>
              </w:rPr>
              <w:t>i</w:t>
            </w:r>
            <w:r w:rsidR="005B58DE" w:rsidRPr="008058DF">
              <w:rPr>
                <w:lang w:val="it-CH"/>
              </w:rPr>
              <w:t>m</w:t>
            </w:r>
            <w:r w:rsidRPr="008058DF">
              <w:rPr>
                <w:lang w:val="it-CH"/>
              </w:rPr>
              <w:t>i</w:t>
            </w:r>
            <w:r w:rsidR="000E3081" w:rsidRPr="008058DF">
              <w:rPr>
                <w:lang w:val="it-CH"/>
              </w:rPr>
              <w:br/>
            </w:r>
            <w:r w:rsidRPr="008058DF">
              <w:rPr>
                <w:szCs w:val="24"/>
                <w:lang w:val="it-CH"/>
              </w:rPr>
              <w:t>Lectrice-chercheuse</w:t>
            </w:r>
          </w:p>
          <w:p w14:paraId="2DB730CF" w14:textId="5599825F" w:rsidR="000E3081" w:rsidRPr="008058DF" w:rsidRDefault="00F721E1" w:rsidP="00533DA1">
            <w:pPr>
              <w:pStyle w:val="Textkrper3"/>
              <w:rPr>
                <w:lang w:val="it-CH"/>
              </w:rPr>
            </w:pPr>
            <w:r w:rsidRPr="008058DF">
              <w:rPr>
                <w:lang w:val="it-CH"/>
              </w:rPr>
              <w:t>DFA/ASP, SUPSI, Locarno</w:t>
            </w:r>
            <w:r w:rsidR="000E3081" w:rsidRPr="008058DF">
              <w:rPr>
                <w:lang w:val="it-CH"/>
              </w:rPr>
              <w:t xml:space="preserve"> </w:t>
            </w:r>
          </w:p>
          <w:p w14:paraId="67D843CC" w14:textId="14233796" w:rsidR="000E3081" w:rsidRPr="008058DF" w:rsidRDefault="00F721E1" w:rsidP="00533DA1">
            <w:pPr>
              <w:pStyle w:val="Textkrper3"/>
              <w:rPr>
                <w:lang w:val="it-CH"/>
              </w:rPr>
            </w:pPr>
            <w:hyperlink r:id="rId16" w:history="1">
              <w:r w:rsidRPr="008058DF">
                <w:rPr>
                  <w:rStyle w:val="Hyperlink"/>
                  <w:lang w:val="it-CH"/>
                </w:rPr>
                <w:t>elisa.geronimi@supsi.ch</w:t>
              </w:r>
            </w:hyperlink>
          </w:p>
        </w:tc>
        <w:tc>
          <w:tcPr>
            <w:tcW w:w="2500" w:type="pct"/>
          </w:tcPr>
          <w:p w14:paraId="6EADD7B3" w14:textId="170C4ED6" w:rsidR="000E3081" w:rsidRPr="005C143E" w:rsidRDefault="00F721E1" w:rsidP="00037AE3">
            <w:pPr>
              <w:pStyle w:val="Textkrper3"/>
              <w:rPr>
                <w:lang w:val="fr-CH"/>
              </w:rPr>
            </w:pPr>
            <w:r w:rsidRPr="005C143E">
              <w:rPr>
                <w:lang w:val="fr-CH"/>
              </w:rPr>
              <w:t>Gregorio Avilés</w:t>
            </w:r>
            <w:r w:rsidR="000E3081" w:rsidRPr="005C143E">
              <w:rPr>
                <w:lang w:val="fr-CH"/>
              </w:rPr>
              <w:br/>
            </w:r>
            <w:r w:rsidRPr="005C143E">
              <w:rPr>
                <w:lang w:val="fr-CH"/>
              </w:rPr>
              <w:t>Lecteur-chercheur senior</w:t>
            </w:r>
          </w:p>
          <w:p w14:paraId="1E38F221" w14:textId="3C642BB3" w:rsidR="000E3081" w:rsidRPr="005C143E" w:rsidRDefault="00F721E1" w:rsidP="00037AE3">
            <w:pPr>
              <w:pStyle w:val="Textkrper3"/>
              <w:rPr>
                <w:lang w:val="fr-CH"/>
              </w:rPr>
            </w:pPr>
            <w:r w:rsidRPr="005C143E">
              <w:rPr>
                <w:lang w:val="fr-CH"/>
              </w:rPr>
              <w:t xml:space="preserve">DEASS, SUPSI, </w:t>
            </w:r>
            <w:proofErr w:type="spellStart"/>
            <w:r w:rsidRPr="005C143E">
              <w:rPr>
                <w:lang w:val="fr-CH"/>
              </w:rPr>
              <w:t>Manno</w:t>
            </w:r>
            <w:proofErr w:type="spellEnd"/>
            <w:r w:rsidR="000E3081" w:rsidRPr="005C143E">
              <w:rPr>
                <w:lang w:val="fr-CH"/>
              </w:rPr>
              <w:t xml:space="preserve"> </w:t>
            </w:r>
          </w:p>
          <w:p w14:paraId="09AD9876" w14:textId="46CE127F" w:rsidR="000E3081" w:rsidRPr="005C143E" w:rsidRDefault="00F721E1" w:rsidP="00037AE3">
            <w:pPr>
              <w:pStyle w:val="Textkrper3"/>
              <w:rPr>
                <w:lang w:val="fr-CH"/>
              </w:rPr>
            </w:pPr>
            <w:hyperlink r:id="rId17" w:history="1">
              <w:r w:rsidRPr="005C143E">
                <w:rPr>
                  <w:rStyle w:val="Hyperlink"/>
                  <w:lang w:val="fr-CH"/>
                </w:rPr>
                <w:t>gregorio.aviles@supsi.ch</w:t>
              </w:r>
            </w:hyperlink>
          </w:p>
        </w:tc>
      </w:tr>
    </w:tbl>
    <w:p w14:paraId="1C9223FC" w14:textId="77777777" w:rsidR="00870508" w:rsidRPr="00153133" w:rsidRDefault="00870508" w:rsidP="00855097">
      <w:pPr>
        <w:pStyle w:val="berschrift1"/>
      </w:pPr>
      <w:proofErr w:type="spellStart"/>
      <w:r w:rsidRPr="00153133">
        <w:t>Références</w:t>
      </w:r>
      <w:proofErr w:type="spellEnd"/>
    </w:p>
    <w:p w14:paraId="70F9FCB8" w14:textId="4ED096E7" w:rsidR="000E3081" w:rsidRPr="00036BCC" w:rsidRDefault="000E3081" w:rsidP="000E3081">
      <w:pPr>
        <w:pStyle w:val="Literaturverzeichnis"/>
        <w:jc w:val="both"/>
        <w:rPr>
          <w:lang w:val="en-US"/>
        </w:rPr>
      </w:pPr>
      <w:r w:rsidRPr="00036BCC">
        <w:rPr>
          <w:lang w:val="de-DE"/>
        </w:rPr>
        <w:t xml:space="preserve">Akkerman, A., Janssen, C. G., </w:t>
      </w:r>
      <w:proofErr w:type="spellStart"/>
      <w:r w:rsidRPr="00036BCC">
        <w:rPr>
          <w:lang w:val="de-DE"/>
        </w:rPr>
        <w:t>Kef</w:t>
      </w:r>
      <w:proofErr w:type="spellEnd"/>
      <w:r w:rsidRPr="00036BCC">
        <w:rPr>
          <w:lang w:val="de-DE"/>
        </w:rPr>
        <w:t xml:space="preserve">, S., &amp; Meininger, H. P. (2016). </w:t>
      </w:r>
      <w:r w:rsidRPr="000863CA">
        <w:rPr>
          <w:lang w:val="en-US"/>
        </w:rPr>
        <w:t xml:space="preserve">Job satisfaction of people with intellectual disabilities in integrated and sheltered employment: An exploration of </w:t>
      </w:r>
      <w:proofErr w:type="gramStart"/>
      <w:r w:rsidR="0031260F">
        <w:rPr>
          <w:lang w:val="en-US"/>
        </w:rPr>
        <w:t xml:space="preserve">the </w:t>
      </w:r>
      <w:r w:rsidR="0031260F" w:rsidRPr="000863CA">
        <w:rPr>
          <w:lang w:val="en-US"/>
        </w:rPr>
        <w:t>literature</w:t>
      </w:r>
      <w:proofErr w:type="gramEnd"/>
      <w:r w:rsidRPr="000863CA">
        <w:rPr>
          <w:lang w:val="en-US"/>
        </w:rPr>
        <w:t xml:space="preserve">. </w:t>
      </w:r>
      <w:r w:rsidRPr="000863CA">
        <w:rPr>
          <w:i/>
          <w:iCs/>
          <w:lang w:val="en-US"/>
        </w:rPr>
        <w:t>Journal of Policy and Practice in Intellectual Disabilities, 13</w:t>
      </w:r>
      <w:r w:rsidRPr="000863CA">
        <w:rPr>
          <w:lang w:val="en-US"/>
        </w:rPr>
        <w:t xml:space="preserve">(3), 205-216. </w:t>
      </w:r>
      <w:hyperlink r:id="rId18" w:history="1">
        <w:r w:rsidRPr="008826DC">
          <w:rPr>
            <w:rStyle w:val="Hyperlink"/>
            <w:lang w:val="en-US"/>
          </w:rPr>
          <w:t>http://dx.doi.org/10.1111/jppi.12168</w:t>
        </w:r>
      </w:hyperlink>
    </w:p>
    <w:p w14:paraId="1B709991" w14:textId="64080412" w:rsidR="000E3081" w:rsidRPr="00976031" w:rsidRDefault="000E3081" w:rsidP="000E3081">
      <w:pPr>
        <w:pStyle w:val="Literaturverzeichnis"/>
        <w:jc w:val="both"/>
        <w:rPr>
          <w:lang w:val="en-US"/>
        </w:rPr>
      </w:pPr>
      <w:r w:rsidRPr="00607873">
        <w:rPr>
          <w:rFonts w:cs="Arial"/>
          <w:color w:val="222222"/>
          <w:szCs w:val="24"/>
          <w:shd w:val="clear" w:color="auto" w:fill="FFFFFF"/>
          <w:lang w:val="en-US"/>
        </w:rPr>
        <w:t>Alnahdi, G. (2016). Best Practices in the Transition to Work Services for Students with Intellectual Disability: Perspectives by Gender from Saudi Arabia. </w:t>
      </w:r>
      <w:r w:rsidRPr="006F141A">
        <w:rPr>
          <w:rFonts w:cs="Arial"/>
          <w:i/>
          <w:iCs/>
          <w:color w:val="222222"/>
          <w:szCs w:val="24"/>
          <w:shd w:val="clear" w:color="auto" w:fill="FFFFFF"/>
          <w:lang w:val="en-US"/>
        </w:rPr>
        <w:t>International journal of special education</w:t>
      </w:r>
      <w:r w:rsidRPr="006F141A">
        <w:rPr>
          <w:rFonts w:cs="Arial"/>
          <w:color w:val="222222"/>
          <w:szCs w:val="24"/>
          <w:shd w:val="clear" w:color="auto" w:fill="FFFFFF"/>
          <w:lang w:val="en-US"/>
        </w:rPr>
        <w:t>, </w:t>
      </w:r>
      <w:r w:rsidRPr="006F141A">
        <w:rPr>
          <w:rFonts w:cs="Arial"/>
          <w:i/>
          <w:iCs/>
          <w:color w:val="222222"/>
          <w:szCs w:val="24"/>
          <w:shd w:val="clear" w:color="auto" w:fill="FFFFFF"/>
          <w:lang w:val="en-US"/>
        </w:rPr>
        <w:t>31</w:t>
      </w:r>
      <w:r w:rsidRPr="006F141A">
        <w:rPr>
          <w:rFonts w:cs="Arial"/>
          <w:color w:val="222222"/>
          <w:szCs w:val="24"/>
          <w:shd w:val="clear" w:color="auto" w:fill="FFFFFF"/>
          <w:lang w:val="en-US"/>
        </w:rPr>
        <w:t>(3).</w:t>
      </w:r>
      <w:r>
        <w:rPr>
          <w:rFonts w:cs="Arial"/>
          <w:color w:val="222222"/>
          <w:szCs w:val="24"/>
          <w:shd w:val="clear" w:color="auto" w:fill="FFFFFF"/>
          <w:lang w:val="en-US"/>
        </w:rPr>
        <w:t xml:space="preserve"> </w:t>
      </w:r>
      <w:hyperlink r:id="rId19" w:history="1">
        <w:r w:rsidR="003E1C94" w:rsidRPr="00976031">
          <w:rPr>
            <w:rStyle w:val="Hyperlink"/>
            <w:rFonts w:cs="Arial"/>
            <w:szCs w:val="24"/>
            <w:shd w:val="clear" w:color="auto" w:fill="FFFFFF"/>
            <w:lang w:val="en-US"/>
          </w:rPr>
          <w:t>https://www.researchgate.net/publication/310490696_Best_Practices_in_the_Transition_to_Work_Services_for_Students_with_Intellectual_Disability_Perspectives_by_Gender_from_Saudi_Arabia</w:t>
        </w:r>
      </w:hyperlink>
    </w:p>
    <w:p w14:paraId="08C7C5CA" w14:textId="77777777" w:rsidR="000E3081" w:rsidRPr="00036BCC" w:rsidRDefault="000E3081" w:rsidP="000E3081">
      <w:pPr>
        <w:pStyle w:val="Literaturverzeichnis"/>
        <w:jc w:val="both"/>
        <w:rPr>
          <w:lang w:val="en-US"/>
        </w:rPr>
      </w:pPr>
      <w:r w:rsidRPr="00607AE7">
        <w:rPr>
          <w:lang w:val="en-US"/>
        </w:rPr>
        <w:t xml:space="preserve">Beyer, S., Brown, T., </w:t>
      </w:r>
      <w:proofErr w:type="spellStart"/>
      <w:r w:rsidRPr="00607AE7">
        <w:rPr>
          <w:lang w:val="en-US"/>
        </w:rPr>
        <w:t>Akandi</w:t>
      </w:r>
      <w:proofErr w:type="spellEnd"/>
      <w:r w:rsidRPr="00607AE7">
        <w:rPr>
          <w:lang w:val="en-US"/>
        </w:rPr>
        <w:t>, R.,</w:t>
      </w:r>
      <w:r w:rsidRPr="00AB7619">
        <w:rPr>
          <w:lang w:val="en-US"/>
        </w:rPr>
        <w:t xml:space="preserve"> </w:t>
      </w:r>
      <w:r w:rsidRPr="00607AE7">
        <w:rPr>
          <w:lang w:val="en-US"/>
        </w:rPr>
        <w:t xml:space="preserve">&amp; Rapley, M. (2010). </w:t>
      </w:r>
      <w:r w:rsidRPr="00AB7619">
        <w:rPr>
          <w:lang w:val="en-US"/>
        </w:rPr>
        <w:t xml:space="preserve">A comparison of </w:t>
      </w:r>
      <w:proofErr w:type="gramStart"/>
      <w:r w:rsidRPr="00AB7619">
        <w:rPr>
          <w:lang w:val="en-US"/>
        </w:rPr>
        <w:t>quality of life</w:t>
      </w:r>
      <w:proofErr w:type="gramEnd"/>
      <w:r w:rsidRPr="00AB7619">
        <w:rPr>
          <w:lang w:val="en-US"/>
        </w:rPr>
        <w:t xml:space="preserve"> outcomes for people with intellectual disabilities in supported employment, day services and employment enterprises. </w:t>
      </w:r>
      <w:r w:rsidRPr="00AB7619">
        <w:rPr>
          <w:i/>
          <w:iCs/>
          <w:lang w:val="en-US"/>
        </w:rPr>
        <w:t>Journal of Applied Research in Intellectual Disabilities, 23</w:t>
      </w:r>
      <w:r w:rsidRPr="00AB7619">
        <w:rPr>
          <w:lang w:val="en-US"/>
        </w:rPr>
        <w:t>(3), 290-295.</w:t>
      </w:r>
      <w:r>
        <w:rPr>
          <w:lang w:val="en-US"/>
        </w:rPr>
        <w:t xml:space="preserve"> </w:t>
      </w:r>
      <w:hyperlink r:id="rId20" w:history="1">
        <w:r w:rsidRPr="008826DC">
          <w:rPr>
            <w:rStyle w:val="Hyperlink"/>
            <w:lang w:val="en-US"/>
          </w:rPr>
          <w:t>http://dx.doi.org/10.1111/j.1468-3148.2009.00534.x</w:t>
        </w:r>
      </w:hyperlink>
    </w:p>
    <w:p w14:paraId="35C94F0E" w14:textId="77777777" w:rsidR="000E3081" w:rsidRPr="00036BCC" w:rsidRDefault="000E3081" w:rsidP="000E3081">
      <w:pPr>
        <w:pStyle w:val="Literaturverzeichnis"/>
        <w:jc w:val="both"/>
        <w:rPr>
          <w:lang w:val="en-US"/>
        </w:rPr>
      </w:pPr>
      <w:r w:rsidRPr="009C6F3B">
        <w:rPr>
          <w:lang w:val="en-US"/>
        </w:rPr>
        <w:t>Biggs, E. E., &amp; Carter, E. W. (2016). Quality of life for transition-age youth with autism or intellectual disability. </w:t>
      </w:r>
      <w:r w:rsidRPr="00354B86">
        <w:rPr>
          <w:i/>
          <w:iCs/>
          <w:lang w:val="en-US"/>
        </w:rPr>
        <w:t>Journal of autism and developmental disorders</w:t>
      </w:r>
      <w:r w:rsidRPr="00354B86">
        <w:rPr>
          <w:lang w:val="en-US"/>
        </w:rPr>
        <w:t>,</w:t>
      </w:r>
      <w:r>
        <w:rPr>
          <w:lang w:val="en-US"/>
        </w:rPr>
        <w:t xml:space="preserve"> </w:t>
      </w:r>
      <w:r w:rsidRPr="00354B86">
        <w:rPr>
          <w:i/>
          <w:iCs/>
          <w:lang w:val="en-US"/>
        </w:rPr>
        <w:t>46</w:t>
      </w:r>
      <w:r w:rsidRPr="00354B86">
        <w:rPr>
          <w:lang w:val="en-US"/>
        </w:rPr>
        <w:t>, 190-204.</w:t>
      </w:r>
      <w:r>
        <w:rPr>
          <w:lang w:val="en-US"/>
        </w:rPr>
        <w:t xml:space="preserve"> </w:t>
      </w:r>
      <w:hyperlink r:id="rId21" w:history="1">
        <w:r w:rsidRPr="008826DC">
          <w:rPr>
            <w:rStyle w:val="Hyperlink"/>
            <w:lang w:val="en-US"/>
          </w:rPr>
          <w:t>https://doi.org/10.1007/s10803-015-2563-x</w:t>
        </w:r>
      </w:hyperlink>
    </w:p>
    <w:p w14:paraId="408D4986" w14:textId="77777777" w:rsidR="000E3081" w:rsidRPr="00036BCC" w:rsidRDefault="000E3081" w:rsidP="000E3081">
      <w:pPr>
        <w:pStyle w:val="Literaturverzeichnis"/>
        <w:jc w:val="both"/>
        <w:rPr>
          <w:lang w:val="en-US"/>
        </w:rPr>
      </w:pPr>
      <w:r w:rsidRPr="00354B86">
        <w:rPr>
          <w:lang w:val="en-US"/>
        </w:rPr>
        <w:t xml:space="preserve">Blackorby, J., &amp; Wagner, M. (1996). Longitudinal postschool outcomes of youth with disabilities: Findings from the National Longitudinal Transition Study. </w:t>
      </w:r>
      <w:r w:rsidRPr="00354B86">
        <w:rPr>
          <w:i/>
          <w:iCs/>
          <w:lang w:val="en-US"/>
        </w:rPr>
        <w:t>Exceptional children, 62</w:t>
      </w:r>
      <w:r w:rsidRPr="00354B86">
        <w:rPr>
          <w:lang w:val="en-US"/>
        </w:rPr>
        <w:t>(5), 399-413.</w:t>
      </w:r>
      <w:r>
        <w:rPr>
          <w:lang w:val="en-US"/>
        </w:rPr>
        <w:t xml:space="preserve"> </w:t>
      </w:r>
      <w:hyperlink r:id="rId22" w:history="1">
        <w:r w:rsidRPr="00D625E9">
          <w:rPr>
            <w:rStyle w:val="Hyperlink"/>
            <w:lang w:val="en-US"/>
          </w:rPr>
          <w:t>https://doi.org/10.1177/001440299606200502</w:t>
        </w:r>
      </w:hyperlink>
    </w:p>
    <w:p w14:paraId="2E02EEEF" w14:textId="77777777" w:rsidR="000E3081" w:rsidRPr="00D551C7" w:rsidRDefault="000E3081" w:rsidP="000E3081">
      <w:pPr>
        <w:pStyle w:val="Literaturverzeichnis"/>
        <w:jc w:val="both"/>
        <w:rPr>
          <w:lang w:val="en-GB"/>
        </w:rPr>
      </w:pPr>
      <w:r w:rsidRPr="000863CA">
        <w:rPr>
          <w:lang w:val="en-US"/>
        </w:rPr>
        <w:t xml:space="preserve">Blick, R. N., Litz, K. S., Thornhill, M. G., &amp; Goreczny, A. J. (2016). Do inclusive work environments matter? Effects of community-integrated employment on quality of life for individuals with intellectual disabilities. </w:t>
      </w:r>
      <w:r w:rsidRPr="000863CA">
        <w:rPr>
          <w:i/>
          <w:iCs/>
          <w:lang w:val="en-US"/>
        </w:rPr>
        <w:t>Research in Developmental Disabilities, 53-54</w:t>
      </w:r>
      <w:r w:rsidRPr="000863CA">
        <w:rPr>
          <w:lang w:val="en-US"/>
        </w:rPr>
        <w:t xml:space="preserve">, 358-366. </w:t>
      </w:r>
      <w:hyperlink r:id="rId23" w:history="1">
        <w:r w:rsidRPr="003667A0">
          <w:rPr>
            <w:rStyle w:val="Hyperlink"/>
            <w:lang w:val="en-US"/>
          </w:rPr>
          <w:t>http://dx.doi.org/10.1016/j.ridd.2016.02.015</w:t>
        </w:r>
      </w:hyperlink>
    </w:p>
    <w:p w14:paraId="0DD14B2F" w14:textId="6B6EFF07" w:rsidR="00B45DB7" w:rsidRPr="00B45DB7" w:rsidRDefault="00B45DB7" w:rsidP="000E3081">
      <w:pPr>
        <w:pStyle w:val="Literaturverzeichnis"/>
        <w:jc w:val="both"/>
        <w:rPr>
          <w:lang w:val="fr-FR"/>
        </w:rPr>
      </w:pPr>
      <w:r w:rsidRPr="00036BCC">
        <w:rPr>
          <w:lang w:val="fr-FR"/>
        </w:rPr>
        <w:lastRenderedPageBreak/>
        <w:t xml:space="preserve">Bureau international du Travail [BIT]. (2015). </w:t>
      </w:r>
      <w:r w:rsidRPr="005142A0">
        <w:rPr>
          <w:i/>
          <w:iCs/>
          <w:lang w:val="fr-FR"/>
        </w:rPr>
        <w:t>Travail décent pour les personnes handicapées</w:t>
      </w:r>
      <w:r>
        <w:rPr>
          <w:i/>
          <w:iCs/>
          <w:lang w:val="fr-FR"/>
        </w:rPr>
        <w:t> </w:t>
      </w:r>
      <w:r w:rsidRPr="005142A0">
        <w:rPr>
          <w:i/>
          <w:iCs/>
          <w:lang w:val="fr-FR"/>
        </w:rPr>
        <w:t>: promouvoir les droits dans le cadre de l’Agenda mondial de développement</w:t>
      </w:r>
      <w:r w:rsidRPr="005142A0">
        <w:rPr>
          <w:lang w:val="fr-FR"/>
        </w:rPr>
        <w:t>.</w:t>
      </w:r>
      <w:r>
        <w:rPr>
          <w:lang w:val="fr-FR"/>
        </w:rPr>
        <w:t xml:space="preserve"> Organisation</w:t>
      </w:r>
      <w:r w:rsidRPr="00642300">
        <w:rPr>
          <w:lang w:val="fr-FR"/>
        </w:rPr>
        <w:t xml:space="preserve"> international</w:t>
      </w:r>
      <w:r>
        <w:rPr>
          <w:lang w:val="fr-FR"/>
        </w:rPr>
        <w:t>e</w:t>
      </w:r>
      <w:r w:rsidRPr="00642300">
        <w:rPr>
          <w:lang w:val="fr-FR"/>
        </w:rPr>
        <w:t xml:space="preserve"> du Travail</w:t>
      </w:r>
      <w:r>
        <w:rPr>
          <w:lang w:val="fr-FR"/>
        </w:rPr>
        <w:t xml:space="preserve">. </w:t>
      </w:r>
      <w:hyperlink r:id="rId24" w:history="1">
        <w:r w:rsidRPr="00A6267A">
          <w:rPr>
            <w:rStyle w:val="Hyperlink"/>
            <w:lang w:val="fr-FR"/>
          </w:rPr>
          <w:t>https://www.ilo.org/fr/publications/travail-decent-pour-les-personnes-handicapees-promouvoir-les-droits-dans-le</w:t>
        </w:r>
      </w:hyperlink>
    </w:p>
    <w:p w14:paraId="16A07B6B" w14:textId="77777777" w:rsidR="000E3081" w:rsidRPr="00036BCC" w:rsidRDefault="000E3081" w:rsidP="000E3081">
      <w:pPr>
        <w:pStyle w:val="Literaturverzeichnis"/>
        <w:jc w:val="both"/>
        <w:rPr>
          <w:lang w:val="en-US"/>
        </w:rPr>
      </w:pPr>
      <w:r w:rsidRPr="003F53F8">
        <w:rPr>
          <w:lang w:val="en-US"/>
        </w:rPr>
        <w:t xml:space="preserve">Claes, C., Van Hove, G., Vandevelde, S., van Loon, J., &amp; </w:t>
      </w:r>
      <w:proofErr w:type="spellStart"/>
      <w:r w:rsidRPr="003F53F8">
        <w:rPr>
          <w:lang w:val="en-US"/>
        </w:rPr>
        <w:t>Schalock</w:t>
      </w:r>
      <w:proofErr w:type="spellEnd"/>
      <w:r w:rsidRPr="003F53F8">
        <w:rPr>
          <w:lang w:val="en-US"/>
        </w:rPr>
        <w:t>, R. (2012). The influence of supports strategies, environmental factors, and client characteristics on quality of life-related personal outcomes. </w:t>
      </w:r>
      <w:r w:rsidRPr="006F141A">
        <w:rPr>
          <w:i/>
          <w:iCs/>
          <w:lang w:val="en-GB"/>
        </w:rPr>
        <w:t>Research in developmental disabilities</w:t>
      </w:r>
      <w:r w:rsidRPr="006F141A">
        <w:rPr>
          <w:lang w:val="en-GB"/>
        </w:rPr>
        <w:t>, </w:t>
      </w:r>
      <w:r w:rsidRPr="006F141A">
        <w:rPr>
          <w:i/>
          <w:iCs/>
          <w:lang w:val="en-GB"/>
        </w:rPr>
        <w:t>33</w:t>
      </w:r>
      <w:r w:rsidRPr="006F141A">
        <w:rPr>
          <w:lang w:val="en-GB"/>
        </w:rPr>
        <w:t>(1), 96-103.</w:t>
      </w:r>
      <w:r>
        <w:rPr>
          <w:lang w:val="en-GB"/>
        </w:rPr>
        <w:t xml:space="preserve"> </w:t>
      </w:r>
      <w:hyperlink r:id="rId25" w:history="1">
        <w:r w:rsidRPr="003667A0">
          <w:rPr>
            <w:rStyle w:val="Hyperlink"/>
            <w:lang w:val="en-GB"/>
          </w:rPr>
          <w:t>https://doi.org/10.1016/j.ridd.2011.08.024</w:t>
        </w:r>
      </w:hyperlink>
    </w:p>
    <w:p w14:paraId="1689711B" w14:textId="77777777" w:rsidR="000E3081" w:rsidRPr="00036BCC" w:rsidRDefault="000E3081" w:rsidP="000E3081">
      <w:pPr>
        <w:pStyle w:val="Literaturverzeichnis"/>
        <w:jc w:val="both"/>
        <w:rPr>
          <w:lang w:val="en-US"/>
        </w:rPr>
      </w:pPr>
      <w:r w:rsidRPr="000C51C0">
        <w:rPr>
          <w:lang w:val="en-US"/>
        </w:rPr>
        <w:t xml:space="preserve">Cummins, R. A. (1996). The domains of life satisfaction: An attempt to order chaos. </w:t>
      </w:r>
      <w:r w:rsidRPr="000C51C0">
        <w:rPr>
          <w:i/>
          <w:iCs/>
          <w:lang w:val="en-US"/>
        </w:rPr>
        <w:t>Social Indicators Research, 38</w:t>
      </w:r>
      <w:r>
        <w:rPr>
          <w:lang w:val="en-US"/>
        </w:rPr>
        <w:t>(3)</w:t>
      </w:r>
      <w:r w:rsidRPr="000C51C0">
        <w:rPr>
          <w:lang w:val="en-US"/>
        </w:rPr>
        <w:t>, 303-328.</w:t>
      </w:r>
      <w:r>
        <w:rPr>
          <w:lang w:val="en-US"/>
        </w:rPr>
        <w:t xml:space="preserve"> </w:t>
      </w:r>
      <w:hyperlink r:id="rId26" w:history="1">
        <w:r w:rsidRPr="00D22711">
          <w:rPr>
            <w:rStyle w:val="Hyperlink"/>
            <w:lang w:val="en-US"/>
          </w:rPr>
          <w:t>https://doi.org/10.1007/BF00292050</w:t>
        </w:r>
      </w:hyperlink>
    </w:p>
    <w:p w14:paraId="2E7971E0" w14:textId="77777777" w:rsidR="000E3081" w:rsidRPr="00036BCC" w:rsidRDefault="000E3081" w:rsidP="000E3081">
      <w:pPr>
        <w:pStyle w:val="Literaturverzeichnis"/>
        <w:jc w:val="both"/>
        <w:rPr>
          <w:lang w:val="en-US"/>
        </w:rPr>
      </w:pPr>
      <w:r w:rsidRPr="000863CA">
        <w:rPr>
          <w:lang w:val="en-US"/>
        </w:rPr>
        <w:t xml:space="preserve">Dean, E. E., Shogren, K. A., Hagiwara, M., &amp; Wehmeyer, M. L. (2018). How does employment influence health outcomes? A systematic review of the intellectual disability literature. </w:t>
      </w:r>
      <w:r w:rsidRPr="000863CA">
        <w:rPr>
          <w:i/>
          <w:iCs/>
          <w:lang w:val="en-US"/>
        </w:rPr>
        <w:t>Journal of Vocational Rehabilitation, 49</w:t>
      </w:r>
      <w:r w:rsidRPr="000863CA">
        <w:rPr>
          <w:lang w:val="en-US"/>
        </w:rPr>
        <w:t xml:space="preserve">(1), 1-13. </w:t>
      </w:r>
      <w:hyperlink r:id="rId27" w:history="1">
        <w:r w:rsidRPr="003667A0">
          <w:rPr>
            <w:rStyle w:val="Hyperlink"/>
            <w:lang w:val="en-US"/>
          </w:rPr>
          <w:t>http://dx.doi.org/10.3233/JVR-180950</w:t>
        </w:r>
      </w:hyperlink>
    </w:p>
    <w:p w14:paraId="32371B5E" w14:textId="77777777" w:rsidR="000E3081" w:rsidRPr="00036BCC" w:rsidRDefault="000E3081" w:rsidP="000E3081">
      <w:pPr>
        <w:pStyle w:val="Literaturverzeichnis"/>
        <w:jc w:val="both"/>
        <w:rPr>
          <w:lang w:val="en-US"/>
        </w:rPr>
      </w:pPr>
      <w:r w:rsidRPr="006F141A">
        <w:rPr>
          <w:rFonts w:cs="Arial"/>
          <w:color w:val="222222"/>
          <w:szCs w:val="24"/>
          <w:shd w:val="clear" w:color="auto" w:fill="FFFFFF"/>
          <w:lang w:val="en-GB"/>
        </w:rPr>
        <w:t xml:space="preserve">Eggleton, I., Robertson, S., Ryan, J., &amp; Kober, R. (1999). </w:t>
      </w:r>
      <w:r w:rsidRPr="00354B86">
        <w:rPr>
          <w:rFonts w:cs="Arial"/>
          <w:color w:val="222222"/>
          <w:szCs w:val="24"/>
          <w:shd w:val="clear" w:color="auto" w:fill="FFFFFF"/>
          <w:lang w:val="en-US"/>
        </w:rPr>
        <w:t xml:space="preserve">The impact of employment on the quality of life of people with an intellectual disability. </w:t>
      </w:r>
      <w:r w:rsidRPr="00354B86">
        <w:rPr>
          <w:rFonts w:cs="Arial"/>
          <w:i/>
          <w:iCs/>
          <w:color w:val="222222"/>
          <w:szCs w:val="24"/>
          <w:shd w:val="clear" w:color="auto" w:fill="FFFFFF"/>
          <w:lang w:val="en-US"/>
        </w:rPr>
        <w:t>Journal of Vocational Rehabilitation, 13</w:t>
      </w:r>
      <w:r w:rsidRPr="00354B86">
        <w:rPr>
          <w:rFonts w:cs="Arial"/>
          <w:color w:val="222222"/>
          <w:szCs w:val="24"/>
          <w:shd w:val="clear" w:color="auto" w:fill="FFFFFF"/>
          <w:lang w:val="en-US"/>
        </w:rPr>
        <w:t xml:space="preserve">(2), 95-107. </w:t>
      </w:r>
      <w:hyperlink r:id="rId28" w:history="1">
        <w:r w:rsidRPr="003667A0">
          <w:rPr>
            <w:rStyle w:val="Hyperlink"/>
            <w:rFonts w:cs="Arial"/>
            <w:szCs w:val="24"/>
            <w:shd w:val="clear" w:color="auto" w:fill="FFFFFF"/>
            <w:lang w:val="en-US"/>
          </w:rPr>
          <w:t>https://journals.sagepub.com/doi/pdf/10.3233/JVR-1999-00047</w:t>
        </w:r>
      </w:hyperlink>
    </w:p>
    <w:p w14:paraId="60C3C708" w14:textId="34D5A008" w:rsidR="000E3081" w:rsidRPr="00036BCC" w:rsidRDefault="000E3081" w:rsidP="000E3081">
      <w:pPr>
        <w:pStyle w:val="Literaturverzeichnis"/>
        <w:jc w:val="both"/>
        <w:rPr>
          <w:lang w:val="en-US"/>
        </w:rPr>
      </w:pPr>
      <w:r w:rsidRPr="00D625E9">
        <w:rPr>
          <w:rFonts w:cs="Arial"/>
          <w:color w:val="222222"/>
          <w:szCs w:val="24"/>
          <w:shd w:val="clear" w:color="auto" w:fill="FFFFFF"/>
        </w:rPr>
        <w:t xml:space="preserve">Engelbrecht, M., Shaw, L., &amp; Van </w:t>
      </w:r>
      <w:proofErr w:type="spellStart"/>
      <w:r w:rsidRPr="00D625E9">
        <w:rPr>
          <w:rFonts w:cs="Arial"/>
          <w:color w:val="222222"/>
          <w:szCs w:val="24"/>
          <w:shd w:val="clear" w:color="auto" w:fill="FFFFFF"/>
        </w:rPr>
        <w:t>Niekerk</w:t>
      </w:r>
      <w:proofErr w:type="spellEnd"/>
      <w:r w:rsidRPr="00D625E9">
        <w:rPr>
          <w:rFonts w:cs="Arial"/>
          <w:color w:val="222222"/>
          <w:szCs w:val="24"/>
          <w:shd w:val="clear" w:color="auto" w:fill="FFFFFF"/>
        </w:rPr>
        <w:t xml:space="preserve">, L. (2017). </w:t>
      </w:r>
      <w:r w:rsidRPr="00607873">
        <w:rPr>
          <w:rFonts w:cs="Arial"/>
          <w:color w:val="222222"/>
          <w:szCs w:val="24"/>
          <w:shd w:val="clear" w:color="auto" w:fill="FFFFFF"/>
          <w:lang w:val="en-US"/>
        </w:rPr>
        <w:t>A literature review on work transitioning of youth with disabilities into competitive employment. </w:t>
      </w:r>
      <w:r w:rsidRPr="00624F3F">
        <w:rPr>
          <w:rFonts w:cs="Arial"/>
          <w:i/>
          <w:iCs/>
          <w:color w:val="222222"/>
          <w:szCs w:val="24"/>
          <w:shd w:val="clear" w:color="auto" w:fill="FFFFFF"/>
          <w:lang w:val="en-US"/>
        </w:rPr>
        <w:t>African Journal of Disability</w:t>
      </w:r>
      <w:r w:rsidRPr="00624F3F">
        <w:rPr>
          <w:rFonts w:cs="Arial"/>
          <w:color w:val="222222"/>
          <w:szCs w:val="24"/>
          <w:shd w:val="clear" w:color="auto" w:fill="FFFFFF"/>
          <w:lang w:val="en-US"/>
        </w:rPr>
        <w:t>, </w:t>
      </w:r>
      <w:r w:rsidRPr="00624F3F">
        <w:rPr>
          <w:rFonts w:cs="Arial"/>
          <w:i/>
          <w:iCs/>
          <w:color w:val="222222"/>
          <w:szCs w:val="24"/>
          <w:shd w:val="clear" w:color="auto" w:fill="FFFFFF"/>
          <w:lang w:val="en-US"/>
        </w:rPr>
        <w:t>6</w:t>
      </w:r>
      <w:r w:rsidRPr="00624F3F">
        <w:rPr>
          <w:rFonts w:cs="Arial"/>
          <w:color w:val="222222"/>
          <w:szCs w:val="24"/>
          <w:shd w:val="clear" w:color="auto" w:fill="FFFFFF"/>
          <w:lang w:val="en-US"/>
        </w:rPr>
        <w:t>(1), 1-7.</w:t>
      </w:r>
      <w:r>
        <w:rPr>
          <w:rFonts w:cs="Arial"/>
          <w:color w:val="222222"/>
          <w:szCs w:val="24"/>
          <w:shd w:val="clear" w:color="auto" w:fill="FFFFFF"/>
          <w:lang w:val="en-US"/>
        </w:rPr>
        <w:t xml:space="preserve"> </w:t>
      </w:r>
      <w:hyperlink r:id="rId29" w:history="1">
        <w:r w:rsidRPr="003667A0">
          <w:rPr>
            <w:rStyle w:val="Hyperlink"/>
            <w:rFonts w:cs="Arial"/>
            <w:szCs w:val="24"/>
            <w:shd w:val="clear" w:color="auto" w:fill="FFFFFF"/>
            <w:lang w:val="en-US"/>
          </w:rPr>
          <w:t>https://doi.org/10.4102/ajod.v6i0.298</w:t>
        </w:r>
      </w:hyperlink>
    </w:p>
    <w:p w14:paraId="4BA18E61" w14:textId="77777777" w:rsidR="000E3081" w:rsidRPr="00036BCC" w:rsidRDefault="000E3081" w:rsidP="000E3081">
      <w:pPr>
        <w:pStyle w:val="Literaturverzeichnis"/>
        <w:jc w:val="both"/>
        <w:rPr>
          <w:lang w:val="en-US"/>
        </w:rPr>
      </w:pPr>
      <w:proofErr w:type="spellStart"/>
      <w:r w:rsidRPr="000C51C0">
        <w:rPr>
          <w:lang w:val="en-US"/>
        </w:rPr>
        <w:t>Felce</w:t>
      </w:r>
      <w:proofErr w:type="spellEnd"/>
      <w:r w:rsidRPr="000C51C0">
        <w:rPr>
          <w:lang w:val="en-US"/>
        </w:rPr>
        <w:t xml:space="preserve">, D. (1997). Defining and applying the concept of quality of life. </w:t>
      </w:r>
      <w:r w:rsidRPr="000C51C0">
        <w:rPr>
          <w:i/>
          <w:iCs/>
          <w:lang w:val="en-US"/>
        </w:rPr>
        <w:t>Journal of Intellectual Disability Research, 41</w:t>
      </w:r>
      <w:r w:rsidRPr="000C51C0">
        <w:rPr>
          <w:lang w:val="en-US"/>
        </w:rPr>
        <w:t>(2), 126-135.</w:t>
      </w:r>
      <w:r>
        <w:rPr>
          <w:lang w:val="en-US"/>
        </w:rPr>
        <w:t xml:space="preserve"> </w:t>
      </w:r>
      <w:hyperlink r:id="rId30" w:history="1">
        <w:r w:rsidRPr="003667A0">
          <w:rPr>
            <w:rStyle w:val="Hyperlink"/>
            <w:lang w:val="en-US"/>
          </w:rPr>
          <w:t>https://doi.org/10.1111/j.1365-2788.1997.tb00689.x</w:t>
        </w:r>
      </w:hyperlink>
    </w:p>
    <w:p w14:paraId="3C05B430" w14:textId="77777777" w:rsidR="000E3081" w:rsidRPr="00036BCC" w:rsidRDefault="000E3081" w:rsidP="000E3081">
      <w:pPr>
        <w:pStyle w:val="Literaturverzeichnis"/>
        <w:jc w:val="both"/>
        <w:rPr>
          <w:lang w:val="en-US"/>
        </w:rPr>
      </w:pPr>
      <w:r w:rsidRPr="000C51C0">
        <w:rPr>
          <w:lang w:val="en-US"/>
        </w:rPr>
        <w:t xml:space="preserve">Flanagan, J. C. (1982). Measurement of quality of life: Current state of the art. </w:t>
      </w:r>
      <w:r w:rsidRPr="000C51C0">
        <w:rPr>
          <w:i/>
          <w:iCs/>
          <w:lang w:val="en-US"/>
        </w:rPr>
        <w:t>Archives of Physical Medicine and Rehabilitation, 63</w:t>
      </w:r>
      <w:r w:rsidRPr="000C51C0">
        <w:rPr>
          <w:lang w:val="en-US"/>
        </w:rPr>
        <w:t>(2), 56-59.</w:t>
      </w:r>
      <w:r>
        <w:rPr>
          <w:lang w:val="en-US"/>
        </w:rPr>
        <w:t xml:space="preserve"> </w:t>
      </w:r>
      <w:hyperlink r:id="rId31" w:history="1">
        <w:r w:rsidRPr="003667A0">
          <w:rPr>
            <w:rStyle w:val="Hyperlink"/>
            <w:lang w:val="en-US"/>
          </w:rPr>
          <w:t>https://pubmed.ncbi.nlm.nih.gov/6460487/</w:t>
        </w:r>
      </w:hyperlink>
    </w:p>
    <w:p w14:paraId="2E9A569F" w14:textId="77777777" w:rsidR="000E3081" w:rsidRPr="00036BCC" w:rsidRDefault="000E3081" w:rsidP="000E3081">
      <w:pPr>
        <w:pStyle w:val="Literaturverzeichnis"/>
        <w:jc w:val="both"/>
        <w:rPr>
          <w:lang w:val="en-US"/>
        </w:rPr>
      </w:pPr>
      <w:r w:rsidRPr="0097778B">
        <w:rPr>
          <w:lang w:val="en-US"/>
        </w:rPr>
        <w:t xml:space="preserve">Foley, K. R., Dyke, P., Girdler, S., Bourke, J., &amp; Leonard, H. (2012). Young adults with intellectual disability transitioning from school to post-school: A literature review framed within the ICF. </w:t>
      </w:r>
      <w:r w:rsidRPr="0097778B">
        <w:rPr>
          <w:i/>
          <w:iCs/>
          <w:lang w:val="en-US"/>
        </w:rPr>
        <w:t>Disability and Rehabilitation, 34</w:t>
      </w:r>
      <w:r w:rsidRPr="0097778B">
        <w:rPr>
          <w:lang w:val="en-US"/>
        </w:rPr>
        <w:t>(20), 1747-1764.</w:t>
      </w:r>
      <w:r>
        <w:rPr>
          <w:lang w:val="en-US"/>
        </w:rPr>
        <w:t xml:space="preserve"> </w:t>
      </w:r>
      <w:hyperlink r:id="rId32" w:history="1">
        <w:r w:rsidRPr="003667A0">
          <w:rPr>
            <w:rStyle w:val="Hyperlink"/>
            <w:lang w:val="en-US"/>
          </w:rPr>
          <w:t>https://doi.org/10.3109/09638288.2012.660603</w:t>
        </w:r>
      </w:hyperlink>
    </w:p>
    <w:p w14:paraId="5B431DCF" w14:textId="27F79291" w:rsidR="000E3081" w:rsidRPr="00036BCC" w:rsidRDefault="000E3081" w:rsidP="000E3081">
      <w:pPr>
        <w:pStyle w:val="Literaturverzeichnis"/>
        <w:jc w:val="both"/>
        <w:rPr>
          <w:lang w:val="en-US"/>
        </w:rPr>
      </w:pPr>
      <w:r w:rsidRPr="002B4279">
        <w:rPr>
          <w:rFonts w:cs="Arial"/>
          <w:color w:val="222222"/>
          <w:szCs w:val="24"/>
          <w:shd w:val="clear" w:color="auto" w:fill="FFFFFF"/>
          <w:lang w:val="en-US"/>
        </w:rPr>
        <w:t>Husni, S. N.</w:t>
      </w:r>
      <w:r w:rsidR="00892023">
        <w:rPr>
          <w:rFonts w:cs="Arial"/>
          <w:color w:val="222222"/>
          <w:szCs w:val="24"/>
          <w:shd w:val="clear" w:color="auto" w:fill="FFFFFF"/>
          <w:lang w:val="en-US"/>
        </w:rPr>
        <w:t> </w:t>
      </w:r>
      <w:r w:rsidRPr="002B4279">
        <w:rPr>
          <w:rFonts w:cs="Arial"/>
          <w:color w:val="222222"/>
          <w:szCs w:val="24"/>
          <w:shd w:val="clear" w:color="auto" w:fill="FFFFFF"/>
          <w:lang w:val="en-US"/>
        </w:rPr>
        <w:t>H., &amp; Min, L.</w:t>
      </w:r>
      <w:r w:rsidR="00892023">
        <w:rPr>
          <w:rFonts w:cs="Arial"/>
          <w:color w:val="222222"/>
          <w:szCs w:val="24"/>
          <w:shd w:val="clear" w:color="auto" w:fill="FFFFFF"/>
          <w:lang w:val="en-US"/>
        </w:rPr>
        <w:t> </w:t>
      </w:r>
      <w:r w:rsidRPr="002B4279">
        <w:rPr>
          <w:rFonts w:cs="Arial"/>
          <w:color w:val="222222"/>
          <w:szCs w:val="24"/>
          <w:shd w:val="clear" w:color="auto" w:fill="FFFFFF"/>
          <w:lang w:val="en-US"/>
        </w:rPr>
        <w:t>H. (2024). CHALLENGES AND OPPORTUNITIES IN THE SCHOOL-TO-WORK TRANSITION FOR STUDENTS WITH SPECIAL NEEDS. </w:t>
      </w:r>
      <w:r w:rsidRPr="002B4279">
        <w:rPr>
          <w:rFonts w:cs="Arial"/>
          <w:i/>
          <w:iCs/>
          <w:color w:val="222222"/>
          <w:szCs w:val="24"/>
          <w:shd w:val="clear" w:color="auto" w:fill="FFFFFF"/>
          <w:lang w:val="en-US"/>
        </w:rPr>
        <w:t>Journal of Contemporary Social Science and Education Studies</w:t>
      </w:r>
      <w:r w:rsidRPr="002B4279">
        <w:rPr>
          <w:rFonts w:cs="Arial"/>
          <w:color w:val="222222"/>
          <w:szCs w:val="24"/>
          <w:shd w:val="clear" w:color="auto" w:fill="FFFFFF"/>
          <w:lang w:val="en-US"/>
        </w:rPr>
        <w:t>,</w:t>
      </w:r>
      <w:r>
        <w:rPr>
          <w:rFonts w:cs="Arial"/>
          <w:color w:val="222222"/>
          <w:szCs w:val="24"/>
          <w:shd w:val="clear" w:color="auto" w:fill="FFFFFF"/>
          <w:lang w:val="en-US"/>
        </w:rPr>
        <w:t xml:space="preserve"> </w:t>
      </w:r>
      <w:r w:rsidRPr="002B4279">
        <w:rPr>
          <w:rFonts w:cs="Arial"/>
          <w:i/>
          <w:iCs/>
          <w:color w:val="222222"/>
          <w:szCs w:val="24"/>
          <w:shd w:val="clear" w:color="auto" w:fill="FFFFFF"/>
          <w:lang w:val="en-US"/>
        </w:rPr>
        <w:t>4</w:t>
      </w:r>
      <w:r w:rsidRPr="002B4279">
        <w:rPr>
          <w:rFonts w:cs="Arial"/>
          <w:color w:val="222222"/>
          <w:szCs w:val="24"/>
          <w:shd w:val="clear" w:color="auto" w:fill="FFFFFF"/>
          <w:lang w:val="en-US"/>
        </w:rPr>
        <w:t>(3), 56-65.</w:t>
      </w:r>
      <w:r>
        <w:rPr>
          <w:rFonts w:cs="Arial"/>
          <w:color w:val="222222"/>
          <w:szCs w:val="24"/>
          <w:shd w:val="clear" w:color="auto" w:fill="FFFFFF"/>
          <w:lang w:val="en-US"/>
        </w:rPr>
        <w:t xml:space="preserve"> </w:t>
      </w:r>
      <w:hyperlink r:id="rId33" w:history="1">
        <w:r w:rsidRPr="003667A0">
          <w:rPr>
            <w:rStyle w:val="Hyperlink"/>
            <w:rFonts w:cs="Arial"/>
            <w:szCs w:val="24"/>
            <w:shd w:val="clear" w:color="auto" w:fill="FFFFFF"/>
            <w:lang w:val="en-US"/>
          </w:rPr>
          <w:t>http://dx.doi.org/10.37366/jpgsd.v5i01.4638</w:t>
        </w:r>
      </w:hyperlink>
    </w:p>
    <w:p w14:paraId="54CDF847" w14:textId="77777777" w:rsidR="000E3081" w:rsidRPr="00036BCC" w:rsidRDefault="000E3081" w:rsidP="000E3081">
      <w:pPr>
        <w:pStyle w:val="Literaturverzeichnis"/>
        <w:jc w:val="both"/>
        <w:rPr>
          <w:lang w:val="en-US"/>
        </w:rPr>
      </w:pPr>
      <w:proofErr w:type="spellStart"/>
      <w:r w:rsidRPr="00D625E9">
        <w:rPr>
          <w:rFonts w:cs="Arial"/>
          <w:color w:val="222222"/>
          <w:szCs w:val="24"/>
          <w:shd w:val="clear" w:color="auto" w:fill="FFFFFF"/>
        </w:rPr>
        <w:t>Ineland</w:t>
      </w:r>
      <w:proofErr w:type="spellEnd"/>
      <w:r w:rsidRPr="00D625E9">
        <w:rPr>
          <w:rFonts w:cs="Arial"/>
          <w:color w:val="222222"/>
          <w:szCs w:val="24"/>
          <w:shd w:val="clear" w:color="auto" w:fill="FFFFFF"/>
        </w:rPr>
        <w:t xml:space="preserve">, J., </w:t>
      </w:r>
      <w:proofErr w:type="spellStart"/>
      <w:r w:rsidRPr="00D625E9">
        <w:rPr>
          <w:rFonts w:cs="Arial"/>
          <w:color w:val="222222"/>
          <w:szCs w:val="24"/>
          <w:shd w:val="clear" w:color="auto" w:fill="FFFFFF"/>
        </w:rPr>
        <w:t>Karhina</w:t>
      </w:r>
      <w:proofErr w:type="spellEnd"/>
      <w:r w:rsidRPr="00D625E9">
        <w:rPr>
          <w:rFonts w:cs="Arial"/>
          <w:color w:val="222222"/>
          <w:szCs w:val="24"/>
          <w:shd w:val="clear" w:color="auto" w:fill="FFFFFF"/>
        </w:rPr>
        <w:t xml:space="preserve">, K., &amp; </w:t>
      </w:r>
      <w:proofErr w:type="spellStart"/>
      <w:r w:rsidRPr="00D625E9">
        <w:rPr>
          <w:rFonts w:cs="Arial"/>
          <w:color w:val="222222"/>
          <w:szCs w:val="24"/>
          <w:shd w:val="clear" w:color="auto" w:fill="FFFFFF"/>
        </w:rPr>
        <w:t>Vikström</w:t>
      </w:r>
      <w:proofErr w:type="spellEnd"/>
      <w:r w:rsidRPr="00D625E9">
        <w:rPr>
          <w:rFonts w:cs="Arial"/>
          <w:color w:val="222222"/>
          <w:szCs w:val="24"/>
          <w:shd w:val="clear" w:color="auto" w:fill="FFFFFF"/>
        </w:rPr>
        <w:t xml:space="preserve">, L. (2021). </w:t>
      </w:r>
      <w:r w:rsidRPr="00607873">
        <w:rPr>
          <w:rFonts w:cs="Arial"/>
          <w:color w:val="222222"/>
          <w:szCs w:val="24"/>
          <w:shd w:val="clear" w:color="auto" w:fill="FFFFFF"/>
          <w:lang w:val="en-US"/>
        </w:rPr>
        <w:t>School-to-work transitions for students with intellectual disabilities: Teachers' perceptions and experiences of a recent workplace-based reform in Sweden. </w:t>
      </w:r>
      <w:r w:rsidRPr="00624F3F">
        <w:rPr>
          <w:rFonts w:cs="Arial"/>
          <w:i/>
          <w:iCs/>
          <w:color w:val="222222"/>
          <w:szCs w:val="24"/>
          <w:shd w:val="clear" w:color="auto" w:fill="FFFFFF"/>
          <w:lang w:val="en-US"/>
        </w:rPr>
        <w:t>Journal of International Special Needs Education</w:t>
      </w:r>
      <w:r w:rsidRPr="00624F3F">
        <w:rPr>
          <w:rFonts w:cs="Arial"/>
          <w:color w:val="222222"/>
          <w:szCs w:val="24"/>
          <w:shd w:val="clear" w:color="auto" w:fill="FFFFFF"/>
          <w:lang w:val="en-US"/>
        </w:rPr>
        <w:t>,</w:t>
      </w:r>
      <w:r>
        <w:rPr>
          <w:rFonts w:cs="Arial"/>
          <w:color w:val="222222"/>
          <w:szCs w:val="24"/>
          <w:shd w:val="clear" w:color="auto" w:fill="FFFFFF"/>
          <w:lang w:val="en-US"/>
        </w:rPr>
        <w:t xml:space="preserve"> </w:t>
      </w:r>
      <w:r w:rsidRPr="00624F3F">
        <w:rPr>
          <w:rFonts w:cs="Arial"/>
          <w:i/>
          <w:iCs/>
          <w:color w:val="222222"/>
          <w:szCs w:val="24"/>
          <w:shd w:val="clear" w:color="auto" w:fill="FFFFFF"/>
          <w:lang w:val="en-US"/>
        </w:rPr>
        <w:t>24</w:t>
      </w:r>
      <w:r w:rsidRPr="00624F3F">
        <w:rPr>
          <w:rFonts w:cs="Arial"/>
          <w:color w:val="222222"/>
          <w:szCs w:val="24"/>
          <w:shd w:val="clear" w:color="auto" w:fill="FFFFFF"/>
          <w:lang w:val="en-US"/>
        </w:rPr>
        <w:t>(2), 86-96.</w:t>
      </w:r>
      <w:r>
        <w:rPr>
          <w:rFonts w:cs="Arial"/>
          <w:color w:val="222222"/>
          <w:szCs w:val="24"/>
          <w:shd w:val="clear" w:color="auto" w:fill="FFFFFF"/>
          <w:lang w:val="en-US"/>
        </w:rPr>
        <w:t xml:space="preserve"> </w:t>
      </w:r>
      <w:hyperlink r:id="rId34" w:history="1">
        <w:r w:rsidRPr="003667A0">
          <w:rPr>
            <w:rStyle w:val="Hyperlink"/>
            <w:rFonts w:cs="Arial"/>
            <w:szCs w:val="24"/>
            <w:shd w:val="clear" w:color="auto" w:fill="FFFFFF"/>
            <w:lang w:val="en-US"/>
          </w:rPr>
          <w:t>http://dx.doi.org/10.9782/JISNE-D-20-00012</w:t>
        </w:r>
      </w:hyperlink>
    </w:p>
    <w:p w14:paraId="44617DEB" w14:textId="10985A13" w:rsidR="000E3081" w:rsidRPr="00036BCC" w:rsidRDefault="000E3081" w:rsidP="000E3081">
      <w:pPr>
        <w:pStyle w:val="Literaturverzeichnis"/>
        <w:jc w:val="both"/>
        <w:rPr>
          <w:lang w:val="fr-FR"/>
        </w:rPr>
      </w:pPr>
      <w:r w:rsidRPr="00036BCC">
        <w:rPr>
          <w:rFonts w:cs="Times New Roman"/>
          <w:lang w:val="fr-FR"/>
        </w:rPr>
        <w:t>Institut National de la Santé Et de la Recherche Médicale</w:t>
      </w:r>
      <w:r w:rsidRPr="00036BCC">
        <w:rPr>
          <w:lang w:val="fr-FR"/>
        </w:rPr>
        <w:t xml:space="preserve"> [Inserm]. (2016).</w:t>
      </w:r>
      <w:r w:rsidRPr="00036BCC">
        <w:rPr>
          <w:i/>
          <w:iCs/>
          <w:lang w:val="fr-FR"/>
        </w:rPr>
        <w:t xml:space="preserve"> Déficiences intellectuelles. Expertise collective. </w:t>
      </w:r>
      <w:r w:rsidRPr="00036BCC">
        <w:rPr>
          <w:lang w:val="fr-FR"/>
        </w:rPr>
        <w:t>EDP</w:t>
      </w:r>
      <w:r w:rsidR="00182789">
        <w:rPr>
          <w:lang w:val="fr-FR"/>
        </w:rPr>
        <w:t> </w:t>
      </w:r>
      <w:r w:rsidRPr="00036BCC">
        <w:rPr>
          <w:lang w:val="fr-FR"/>
        </w:rPr>
        <w:t xml:space="preserve">Sciences. </w:t>
      </w:r>
      <w:hyperlink r:id="rId35" w:history="1">
        <w:r w:rsidRPr="00703454">
          <w:rPr>
            <w:rStyle w:val="Hyperlink"/>
            <w:lang w:val="fr-FR"/>
          </w:rPr>
          <w:t>https://www.inserm.fr/expertise-collective/deficiences-intellectuelles/</w:t>
        </w:r>
      </w:hyperlink>
    </w:p>
    <w:p w14:paraId="03BE1F64" w14:textId="77777777" w:rsidR="000E3081" w:rsidRDefault="000E3081" w:rsidP="000E3081">
      <w:pPr>
        <w:pStyle w:val="Literaturverzeichnis"/>
        <w:jc w:val="both"/>
        <w:rPr>
          <w:lang w:val="en-US"/>
        </w:rPr>
      </w:pPr>
      <w:r w:rsidRPr="000863CA">
        <w:rPr>
          <w:lang w:val="en-US"/>
        </w:rPr>
        <w:t xml:space="preserve">Jahoda, A., Kemp, J., Riddell, S., &amp; Banks, P. (2008). Feelings about work: a review of the socio-emotional impact of supported employment on people with intellectual disabilities. </w:t>
      </w:r>
      <w:r w:rsidRPr="000863CA">
        <w:rPr>
          <w:i/>
          <w:iCs/>
          <w:lang w:val="en-US"/>
        </w:rPr>
        <w:t>Journal of Applied Research in Intellectual Disabilities, 21</w:t>
      </w:r>
      <w:r w:rsidRPr="000863CA">
        <w:rPr>
          <w:lang w:val="en-US"/>
        </w:rPr>
        <w:t xml:space="preserve">(1), 1-18. </w:t>
      </w:r>
      <w:hyperlink r:id="rId36" w:history="1">
        <w:r w:rsidRPr="003667A0">
          <w:rPr>
            <w:rStyle w:val="Hyperlink"/>
            <w:lang w:val="en-US"/>
          </w:rPr>
          <w:t>https://doi.org/10.1111/j.1468-3148.2007.00365.x</w:t>
        </w:r>
      </w:hyperlink>
      <w:r>
        <w:rPr>
          <w:lang w:val="en-US"/>
        </w:rPr>
        <w:t xml:space="preserve">  </w:t>
      </w:r>
    </w:p>
    <w:p w14:paraId="6BABF1A2" w14:textId="77777777" w:rsidR="000E3081" w:rsidRPr="00036BCC" w:rsidRDefault="000E3081" w:rsidP="000E3081">
      <w:pPr>
        <w:pStyle w:val="Literaturverzeichnis"/>
        <w:jc w:val="both"/>
        <w:rPr>
          <w:lang w:val="en-US"/>
        </w:rPr>
      </w:pPr>
      <w:r w:rsidRPr="000C51C0">
        <w:rPr>
          <w:lang w:val="en-US"/>
        </w:rPr>
        <w:t xml:space="preserve">Kirsh, B., Stergiou-Kita, M., </w:t>
      </w:r>
      <w:proofErr w:type="spellStart"/>
      <w:r w:rsidRPr="000C51C0">
        <w:rPr>
          <w:lang w:val="en-US"/>
        </w:rPr>
        <w:t>Gewurtz</w:t>
      </w:r>
      <w:proofErr w:type="spellEnd"/>
      <w:r w:rsidRPr="000C51C0">
        <w:rPr>
          <w:lang w:val="en-US"/>
        </w:rPr>
        <w:t xml:space="preserve">, R., Dawson, D., Krupa, T., Lysaght, R., &amp; </w:t>
      </w:r>
      <w:proofErr w:type="spellStart"/>
      <w:r w:rsidRPr="000C51C0">
        <w:rPr>
          <w:lang w:val="en-US"/>
        </w:rPr>
        <w:t>Sahw</w:t>
      </w:r>
      <w:proofErr w:type="spellEnd"/>
      <w:r w:rsidRPr="000C51C0">
        <w:rPr>
          <w:lang w:val="en-US"/>
        </w:rPr>
        <w:t xml:space="preserve">, L. (2009). From margins to mainstream: What do we know about work integration for persons with brain injury, mental illness and intellectual disability? </w:t>
      </w:r>
      <w:r w:rsidRPr="000C51C0">
        <w:rPr>
          <w:i/>
          <w:iCs/>
          <w:lang w:val="en-US"/>
        </w:rPr>
        <w:t>Work, 32</w:t>
      </w:r>
      <w:r>
        <w:rPr>
          <w:lang w:val="en-US"/>
        </w:rPr>
        <w:t>(4),</w:t>
      </w:r>
      <w:r w:rsidRPr="000C51C0">
        <w:rPr>
          <w:lang w:val="en-US"/>
        </w:rPr>
        <w:t xml:space="preserve"> 391-405.</w:t>
      </w:r>
      <w:r>
        <w:rPr>
          <w:lang w:val="en-US"/>
        </w:rPr>
        <w:t xml:space="preserve"> </w:t>
      </w:r>
      <w:hyperlink r:id="rId37" w:history="1">
        <w:r w:rsidRPr="003667A0">
          <w:rPr>
            <w:rStyle w:val="Hyperlink"/>
            <w:lang w:val="en-US"/>
          </w:rPr>
          <w:t>https://doi.org/10.3233/wor-2009-0851</w:t>
        </w:r>
      </w:hyperlink>
    </w:p>
    <w:p w14:paraId="2427878D" w14:textId="77777777" w:rsidR="000E3081" w:rsidRPr="00036BCC" w:rsidRDefault="000E3081" w:rsidP="000E3081">
      <w:pPr>
        <w:pStyle w:val="Literaturverzeichnis"/>
        <w:jc w:val="both"/>
        <w:rPr>
          <w:lang w:val="en-US"/>
        </w:rPr>
      </w:pPr>
      <w:r w:rsidRPr="000863CA">
        <w:rPr>
          <w:lang w:val="en-US"/>
        </w:rPr>
        <w:t xml:space="preserve">Kober, R., &amp; Eggleton, I. R. C. (2005). The effect of different types of employment on quality of life. </w:t>
      </w:r>
      <w:r w:rsidRPr="000863CA">
        <w:rPr>
          <w:i/>
          <w:iCs/>
          <w:lang w:val="en-US"/>
        </w:rPr>
        <w:t>Journal of Intellectual Disability Research, 49</w:t>
      </w:r>
      <w:r w:rsidRPr="000863CA">
        <w:rPr>
          <w:lang w:val="en-US"/>
        </w:rPr>
        <w:t xml:space="preserve">(10), 756-760. </w:t>
      </w:r>
      <w:hyperlink r:id="rId38" w:history="1">
        <w:r w:rsidRPr="003667A0">
          <w:rPr>
            <w:rStyle w:val="Hyperlink"/>
            <w:lang w:val="en-US"/>
          </w:rPr>
          <w:t>https://doi.org/10.1111/j.1365-2788.2005.00746.x</w:t>
        </w:r>
      </w:hyperlink>
    </w:p>
    <w:p w14:paraId="53C99F76" w14:textId="77777777" w:rsidR="000E3081" w:rsidRPr="00036BCC" w:rsidRDefault="000E3081" w:rsidP="000E3081">
      <w:pPr>
        <w:pStyle w:val="Literaturverzeichnis"/>
        <w:jc w:val="both"/>
        <w:rPr>
          <w:lang w:val="en-US"/>
        </w:rPr>
      </w:pPr>
      <w:r w:rsidRPr="000863CA">
        <w:rPr>
          <w:lang w:val="en-US"/>
        </w:rPr>
        <w:t>Kocman, A., &amp; Weber, G. (201</w:t>
      </w:r>
      <w:r>
        <w:rPr>
          <w:lang w:val="en-US"/>
        </w:rPr>
        <w:t>8</w:t>
      </w:r>
      <w:r w:rsidRPr="000863CA">
        <w:rPr>
          <w:lang w:val="en-US"/>
        </w:rPr>
        <w:t xml:space="preserve">). Job satisfaction, quality of work life and work motivation in employees with intellectual disability: A systematic review. </w:t>
      </w:r>
      <w:r w:rsidRPr="000863CA">
        <w:rPr>
          <w:i/>
          <w:iCs/>
          <w:lang w:val="en-US"/>
        </w:rPr>
        <w:t>Journal of Applied Research in Intellectual Disabilities, 31</w:t>
      </w:r>
      <w:r w:rsidRPr="000863CA">
        <w:rPr>
          <w:lang w:val="en-US"/>
        </w:rPr>
        <w:t xml:space="preserve">(1), 1-22. </w:t>
      </w:r>
      <w:hyperlink r:id="rId39" w:history="1">
        <w:r w:rsidRPr="003667A0">
          <w:rPr>
            <w:rStyle w:val="Hyperlink"/>
            <w:lang w:val="en-US"/>
          </w:rPr>
          <w:t>https://doi.org/10.1111/jar.12319</w:t>
        </w:r>
      </w:hyperlink>
    </w:p>
    <w:p w14:paraId="51AC922F" w14:textId="77777777" w:rsidR="000E3081" w:rsidRPr="00036BCC" w:rsidRDefault="000E3081" w:rsidP="000E3081">
      <w:pPr>
        <w:pStyle w:val="Literaturverzeichnis"/>
        <w:jc w:val="both"/>
        <w:rPr>
          <w:lang w:val="en-US"/>
        </w:rPr>
      </w:pPr>
      <w:r w:rsidRPr="000863CA">
        <w:rPr>
          <w:lang w:val="en-US"/>
        </w:rPr>
        <w:t xml:space="preserve">Lindsay, S. (2011). Employment status and work characteristics among adolescents with disabilities. </w:t>
      </w:r>
      <w:r w:rsidRPr="00624F3F">
        <w:rPr>
          <w:i/>
          <w:iCs/>
          <w:lang w:val="en-US"/>
        </w:rPr>
        <w:t>Disability and rehabilitation, 33</w:t>
      </w:r>
      <w:r w:rsidRPr="00624F3F">
        <w:rPr>
          <w:lang w:val="en-US"/>
        </w:rPr>
        <w:t>(10), 843-854.</w:t>
      </w:r>
      <w:r>
        <w:rPr>
          <w:lang w:val="en-US"/>
        </w:rPr>
        <w:t xml:space="preserve"> </w:t>
      </w:r>
      <w:hyperlink r:id="rId40" w:history="1">
        <w:r w:rsidRPr="003667A0">
          <w:rPr>
            <w:rStyle w:val="Hyperlink"/>
            <w:lang w:val="en-US"/>
          </w:rPr>
          <w:t>https://doi.org/10.3109/09638288.2010.514018</w:t>
        </w:r>
      </w:hyperlink>
    </w:p>
    <w:p w14:paraId="1AA5A6EE" w14:textId="77777777" w:rsidR="000E3081" w:rsidRPr="00036BCC" w:rsidRDefault="000E3081" w:rsidP="000E3081">
      <w:pPr>
        <w:pStyle w:val="Literaturverzeichnis"/>
        <w:jc w:val="both"/>
        <w:rPr>
          <w:lang w:val="en-US"/>
        </w:rPr>
      </w:pPr>
      <w:r w:rsidRPr="00624F3F">
        <w:rPr>
          <w:lang w:val="en-US"/>
        </w:rPr>
        <w:lastRenderedPageBreak/>
        <w:t xml:space="preserve">Lindstrom, L. E., &amp; Beno, C. (2020). </w:t>
      </w:r>
      <w:r w:rsidRPr="00607873">
        <w:rPr>
          <w:i/>
          <w:iCs/>
          <w:lang w:val="en-US"/>
        </w:rPr>
        <w:t>Promoting Successful Transitions for Students with Disabilities</w:t>
      </w:r>
      <w:r w:rsidRPr="00607873">
        <w:rPr>
          <w:lang w:val="en-US"/>
        </w:rPr>
        <w:t xml:space="preserve">. </w:t>
      </w:r>
      <w:r w:rsidRPr="006F141A">
        <w:rPr>
          <w:lang w:val="en-US"/>
        </w:rPr>
        <w:t>Policy Analysis for California Education.</w:t>
      </w:r>
      <w:r>
        <w:rPr>
          <w:lang w:val="en-US"/>
        </w:rPr>
        <w:t xml:space="preserve"> </w:t>
      </w:r>
      <w:hyperlink r:id="rId41" w:history="1">
        <w:r w:rsidRPr="003667A0">
          <w:rPr>
            <w:rStyle w:val="Hyperlink"/>
            <w:lang w:val="en-US"/>
          </w:rPr>
          <w:t>https://eric.ed.gov/?id=ED605089</w:t>
        </w:r>
      </w:hyperlink>
    </w:p>
    <w:p w14:paraId="3D3632EB" w14:textId="36CA2090" w:rsidR="000E3081" w:rsidRPr="00036BCC" w:rsidRDefault="000E3081" w:rsidP="000E3081">
      <w:pPr>
        <w:pStyle w:val="Literaturverzeichnis"/>
        <w:jc w:val="both"/>
        <w:rPr>
          <w:lang w:val="en-US"/>
        </w:rPr>
      </w:pPr>
      <w:r w:rsidRPr="00354B86">
        <w:rPr>
          <w:lang w:val="en-US"/>
        </w:rPr>
        <w:t xml:space="preserve">Newman, L., Wagner, M., </w:t>
      </w:r>
      <w:proofErr w:type="spellStart"/>
      <w:r w:rsidRPr="00354B86">
        <w:rPr>
          <w:lang w:val="en-US"/>
        </w:rPr>
        <w:t>Cameto</w:t>
      </w:r>
      <w:proofErr w:type="spellEnd"/>
      <w:r w:rsidRPr="00354B86">
        <w:rPr>
          <w:lang w:val="en-US"/>
        </w:rPr>
        <w:t xml:space="preserve">, R., &amp; </w:t>
      </w:r>
      <w:proofErr w:type="spellStart"/>
      <w:r w:rsidRPr="00354B86">
        <w:rPr>
          <w:lang w:val="en-US"/>
        </w:rPr>
        <w:t>Knokey</w:t>
      </w:r>
      <w:proofErr w:type="spellEnd"/>
      <w:r w:rsidRPr="00354B86">
        <w:rPr>
          <w:lang w:val="en-US"/>
        </w:rPr>
        <w:t xml:space="preserve">, A. M. (2009). </w:t>
      </w:r>
      <w:r w:rsidRPr="00354B86">
        <w:rPr>
          <w:i/>
          <w:iCs/>
          <w:lang w:val="en-US"/>
        </w:rPr>
        <w:t xml:space="preserve">The Post-High School Outcomes of Youth </w:t>
      </w:r>
      <w:proofErr w:type="gramStart"/>
      <w:r w:rsidRPr="00354B86">
        <w:rPr>
          <w:i/>
          <w:iCs/>
          <w:lang w:val="en-US"/>
        </w:rPr>
        <w:t>With</w:t>
      </w:r>
      <w:proofErr w:type="gramEnd"/>
      <w:r w:rsidRPr="00354B86">
        <w:rPr>
          <w:i/>
          <w:iCs/>
          <w:lang w:val="en-US"/>
        </w:rPr>
        <w:t xml:space="preserve"> Disabilities up to 4 Years After High School: A Report </w:t>
      </w:r>
      <w:proofErr w:type="gramStart"/>
      <w:r w:rsidRPr="00354B86">
        <w:rPr>
          <w:i/>
          <w:iCs/>
          <w:lang w:val="en-US"/>
        </w:rPr>
        <w:t>From</w:t>
      </w:r>
      <w:proofErr w:type="gramEnd"/>
      <w:r w:rsidRPr="00354B86">
        <w:rPr>
          <w:i/>
          <w:iCs/>
          <w:lang w:val="en-US"/>
        </w:rPr>
        <w:t xml:space="preserve"> the National Longitudinal Transition </w:t>
      </w:r>
      <w:proofErr w:type="gramStart"/>
      <w:r w:rsidRPr="00354B86">
        <w:rPr>
          <w:i/>
          <w:iCs/>
          <w:lang w:val="en-US"/>
        </w:rPr>
        <w:t>Study-2</w:t>
      </w:r>
      <w:proofErr w:type="gramEnd"/>
      <w:r w:rsidRPr="00354B86">
        <w:rPr>
          <w:i/>
          <w:iCs/>
          <w:lang w:val="en-US"/>
        </w:rPr>
        <w:t xml:space="preserve"> (NLTS2).</w:t>
      </w:r>
      <w:r w:rsidRPr="00354B86">
        <w:rPr>
          <w:lang w:val="en-US"/>
        </w:rPr>
        <w:t xml:space="preserve"> </w:t>
      </w:r>
      <w:r w:rsidR="00345E14" w:rsidRPr="00036BCC">
        <w:rPr>
          <w:lang w:val="en-US"/>
        </w:rPr>
        <w:t>National Center for Special Education Research</w:t>
      </w:r>
      <w:r w:rsidR="003E0706" w:rsidRPr="00036BCC">
        <w:rPr>
          <w:lang w:val="en-US"/>
        </w:rPr>
        <w:t xml:space="preserve">. </w:t>
      </w:r>
      <w:r w:rsidR="00DD662F" w:rsidRPr="00036BCC">
        <w:rPr>
          <w:lang w:val="en-US"/>
        </w:rPr>
        <w:t>Institute of Education Sciences. U.S. Department of Education.</w:t>
      </w:r>
      <w:r w:rsidR="00F82957" w:rsidRPr="00036BCC">
        <w:rPr>
          <w:lang w:val="en-US"/>
        </w:rPr>
        <w:t xml:space="preserve"> </w:t>
      </w:r>
      <w:hyperlink r:id="rId42" w:history="1">
        <w:r w:rsidR="00F82957" w:rsidRPr="00036BCC">
          <w:rPr>
            <w:rStyle w:val="Hyperlink"/>
            <w:lang w:val="en-US"/>
          </w:rPr>
          <w:t>https://ies.ed.gov/ncser/2025/01/20113004-pdf</w:t>
        </w:r>
      </w:hyperlink>
    </w:p>
    <w:p w14:paraId="1AB84518" w14:textId="58350224" w:rsidR="000E3081" w:rsidRPr="00036BCC" w:rsidRDefault="000E3081" w:rsidP="000E3081">
      <w:pPr>
        <w:pStyle w:val="Literaturverzeichnis"/>
        <w:jc w:val="both"/>
        <w:rPr>
          <w:lang w:val="fr-FR"/>
        </w:rPr>
      </w:pPr>
      <w:r w:rsidRPr="00036BCC">
        <w:rPr>
          <w:lang w:val="fr-FR"/>
        </w:rPr>
        <w:t xml:space="preserve">Organisation </w:t>
      </w:r>
      <w:r w:rsidR="00AF0772">
        <w:rPr>
          <w:lang w:val="fr-FR"/>
        </w:rPr>
        <w:t xml:space="preserve">mondiale de la </w:t>
      </w:r>
      <w:r w:rsidR="00092229">
        <w:rPr>
          <w:lang w:val="fr-FR"/>
        </w:rPr>
        <w:t>S</w:t>
      </w:r>
      <w:r w:rsidRPr="00036BCC">
        <w:rPr>
          <w:lang w:val="fr-FR"/>
        </w:rPr>
        <w:t xml:space="preserve">anté [OMS]. </w:t>
      </w:r>
      <w:r w:rsidRPr="00C34102">
        <w:rPr>
          <w:lang w:val="en-US"/>
        </w:rPr>
        <w:t xml:space="preserve">(1997). </w:t>
      </w:r>
      <w:r w:rsidRPr="00C34102">
        <w:rPr>
          <w:i/>
          <w:iCs/>
          <w:lang w:val="en-US"/>
        </w:rPr>
        <w:t>Measuring quality of life: The World Health Organization Quality of Life Instrument.</w:t>
      </w:r>
      <w:r>
        <w:rPr>
          <w:i/>
          <w:iCs/>
          <w:lang w:val="en-US"/>
        </w:rPr>
        <w:t xml:space="preserve"> </w:t>
      </w:r>
      <w:hyperlink r:id="rId43" w:history="1">
        <w:r w:rsidRPr="00036BCC">
          <w:rPr>
            <w:rStyle w:val="Hyperlink"/>
            <w:lang w:val="fr-FR"/>
          </w:rPr>
          <w:t>https://www.who.int/tools/whoqol</w:t>
        </w:r>
      </w:hyperlink>
    </w:p>
    <w:p w14:paraId="04CA4AB3" w14:textId="04A004D6" w:rsidR="000E3081" w:rsidRPr="00036BCC" w:rsidRDefault="000E3081" w:rsidP="000E3081">
      <w:pPr>
        <w:pStyle w:val="Literaturverzeichnis"/>
        <w:jc w:val="both"/>
        <w:rPr>
          <w:lang w:val="en-US"/>
        </w:rPr>
      </w:pPr>
      <w:r w:rsidRPr="00C34102">
        <w:rPr>
          <w:lang w:val="fr-FR"/>
        </w:rPr>
        <w:t xml:space="preserve">Organisation </w:t>
      </w:r>
      <w:r w:rsidR="00AF0772">
        <w:rPr>
          <w:lang w:val="fr-FR"/>
        </w:rPr>
        <w:t xml:space="preserve">mondiale de la </w:t>
      </w:r>
      <w:r w:rsidR="00092229">
        <w:rPr>
          <w:lang w:val="fr-FR"/>
        </w:rPr>
        <w:t>S</w:t>
      </w:r>
      <w:r w:rsidRPr="00C34102">
        <w:rPr>
          <w:lang w:val="fr-FR"/>
        </w:rPr>
        <w:t>anté</w:t>
      </w:r>
      <w:r>
        <w:rPr>
          <w:lang w:val="fr-FR"/>
        </w:rPr>
        <w:t xml:space="preserve"> [OMS]</w:t>
      </w:r>
      <w:r w:rsidRPr="00C34102">
        <w:rPr>
          <w:lang w:val="fr-FR"/>
        </w:rPr>
        <w:t xml:space="preserve">. (2001). </w:t>
      </w:r>
      <w:r w:rsidRPr="00C34102">
        <w:rPr>
          <w:i/>
          <w:iCs/>
          <w:lang w:val="fr-FR"/>
        </w:rPr>
        <w:t>Classification internationale du fonctionnement, du handicap et de la santé</w:t>
      </w:r>
      <w:r w:rsidR="00182789">
        <w:rPr>
          <w:i/>
          <w:iCs/>
          <w:lang w:val="fr-FR"/>
        </w:rPr>
        <w:t> </w:t>
      </w:r>
      <w:r w:rsidRPr="00C34102">
        <w:rPr>
          <w:i/>
          <w:iCs/>
          <w:lang w:val="fr-FR"/>
        </w:rPr>
        <w:t>: CIF</w:t>
      </w:r>
      <w:r w:rsidRPr="00C34102">
        <w:rPr>
          <w:lang w:val="fr-FR"/>
        </w:rPr>
        <w:t>.</w:t>
      </w:r>
      <w:r>
        <w:rPr>
          <w:lang w:val="fr-FR"/>
        </w:rPr>
        <w:t xml:space="preserve"> </w:t>
      </w:r>
      <w:hyperlink r:id="rId44" w:history="1">
        <w:r w:rsidRPr="00D625E9">
          <w:rPr>
            <w:rStyle w:val="Hyperlink"/>
            <w:lang w:val="en-US"/>
          </w:rPr>
          <w:t>https://iris.who.int/handle/10665/42418</w:t>
        </w:r>
      </w:hyperlink>
    </w:p>
    <w:p w14:paraId="2E0AFFEC" w14:textId="77777777" w:rsidR="000E3081" w:rsidRPr="00036BCC" w:rsidRDefault="000E3081" w:rsidP="000E3081">
      <w:pPr>
        <w:pStyle w:val="Literaturverzeichnis"/>
        <w:jc w:val="both"/>
        <w:rPr>
          <w:lang w:val="en-US"/>
        </w:rPr>
      </w:pPr>
      <w:r w:rsidRPr="00C34102">
        <w:rPr>
          <w:lang w:val="en-US"/>
        </w:rPr>
        <w:t xml:space="preserve">Robertson, J., Beyer, S., Emerson, E., Baines, S., &amp; Hatton, C. (2019). The association between employment and the health of people with intellectual disabilities: A systematic review. </w:t>
      </w:r>
      <w:r w:rsidRPr="00C34102">
        <w:rPr>
          <w:i/>
          <w:iCs/>
          <w:lang w:val="en-US"/>
        </w:rPr>
        <w:t>Journal of Applied Research in Intellectual Disabilities, 32</w:t>
      </w:r>
      <w:r w:rsidRPr="00C34102">
        <w:rPr>
          <w:lang w:val="en-US"/>
        </w:rPr>
        <w:t xml:space="preserve">(6), 1335-1348. </w:t>
      </w:r>
      <w:hyperlink r:id="rId45" w:history="1">
        <w:r w:rsidRPr="003667A0">
          <w:rPr>
            <w:rStyle w:val="Hyperlink"/>
            <w:lang w:val="en-US"/>
          </w:rPr>
          <w:t>https://doi.org/10.1111/jar.12632</w:t>
        </w:r>
      </w:hyperlink>
    </w:p>
    <w:p w14:paraId="4C5C280F" w14:textId="1A8FB098" w:rsidR="000E3081" w:rsidRDefault="000E3081" w:rsidP="000E3081">
      <w:pPr>
        <w:pStyle w:val="Literaturverzeichnis"/>
        <w:jc w:val="both"/>
        <w:rPr>
          <w:lang w:val="en-GB"/>
        </w:rPr>
      </w:pPr>
      <w:proofErr w:type="spellStart"/>
      <w:r w:rsidRPr="00C34102">
        <w:rPr>
          <w:lang w:val="en-US"/>
        </w:rPr>
        <w:t>Schalock</w:t>
      </w:r>
      <w:proofErr w:type="spellEnd"/>
      <w:r w:rsidRPr="00C34102">
        <w:rPr>
          <w:lang w:val="en-US"/>
        </w:rPr>
        <w:t xml:space="preserve">, R. L. (1996). Reconsidering the conceptualization and measurement of quality of life. In R. L. </w:t>
      </w:r>
      <w:proofErr w:type="spellStart"/>
      <w:r w:rsidRPr="00C34102">
        <w:rPr>
          <w:lang w:val="en-US"/>
        </w:rPr>
        <w:t>Schalock</w:t>
      </w:r>
      <w:proofErr w:type="spellEnd"/>
      <w:r w:rsidRPr="00C34102">
        <w:rPr>
          <w:lang w:val="en-US"/>
        </w:rPr>
        <w:t xml:space="preserve"> (Ed.), </w:t>
      </w:r>
      <w:r w:rsidRPr="00C34102">
        <w:rPr>
          <w:i/>
          <w:iCs/>
          <w:lang w:val="en-US"/>
        </w:rPr>
        <w:t xml:space="preserve">Quality of Life Volume I: Conceptualization and Measurement </w:t>
      </w:r>
      <w:r w:rsidRPr="00C34102">
        <w:rPr>
          <w:lang w:val="en-US"/>
        </w:rPr>
        <w:t>(pp.</w:t>
      </w:r>
      <w:r w:rsidR="00182789">
        <w:rPr>
          <w:lang w:val="en-US"/>
        </w:rPr>
        <w:t> </w:t>
      </w:r>
      <w:r w:rsidRPr="00C34102">
        <w:rPr>
          <w:lang w:val="en-US"/>
        </w:rPr>
        <w:t xml:space="preserve">123-139). </w:t>
      </w:r>
      <w:r w:rsidRPr="006F141A">
        <w:rPr>
          <w:lang w:val="en-GB"/>
        </w:rPr>
        <w:t>American Association on Mental Retardation.</w:t>
      </w:r>
    </w:p>
    <w:p w14:paraId="04F526DA" w14:textId="7F20CFB5" w:rsidR="000E3081" w:rsidRDefault="000E3081" w:rsidP="000E3081">
      <w:pPr>
        <w:pStyle w:val="Literaturverzeichnis"/>
        <w:jc w:val="both"/>
        <w:rPr>
          <w:lang w:val="en-US"/>
        </w:rPr>
      </w:pPr>
      <w:proofErr w:type="spellStart"/>
      <w:r w:rsidRPr="006F141A">
        <w:rPr>
          <w:lang w:val="en-GB"/>
        </w:rPr>
        <w:t>Schalock</w:t>
      </w:r>
      <w:proofErr w:type="spellEnd"/>
      <w:r w:rsidRPr="006F141A">
        <w:rPr>
          <w:lang w:val="en-GB"/>
        </w:rPr>
        <w:t xml:space="preserve">, R. L., Keith, K. D., Verdugo, M. A., &amp; Gomez, L. E. (2010). </w:t>
      </w:r>
      <w:r w:rsidRPr="00C34102">
        <w:rPr>
          <w:lang w:val="en-US"/>
        </w:rPr>
        <w:t xml:space="preserve">Quality of life model development and use in the field of intellectual disability. In R. Kober (Ed.), </w:t>
      </w:r>
      <w:r w:rsidRPr="00C34102">
        <w:rPr>
          <w:i/>
          <w:iCs/>
          <w:lang w:val="en-US"/>
        </w:rPr>
        <w:t xml:space="preserve">Enhancing the Quality of Life of People with Intellectual Disabilities </w:t>
      </w:r>
      <w:r w:rsidRPr="00C34102">
        <w:rPr>
          <w:lang w:val="en-US"/>
        </w:rPr>
        <w:t>(pp.</w:t>
      </w:r>
      <w:r w:rsidR="00182789">
        <w:rPr>
          <w:lang w:val="en-US"/>
        </w:rPr>
        <w:t> </w:t>
      </w:r>
      <w:r w:rsidRPr="00C34102">
        <w:rPr>
          <w:lang w:val="en-US"/>
        </w:rPr>
        <w:t>17-32). Springer Netherlands.</w:t>
      </w:r>
    </w:p>
    <w:p w14:paraId="49BDCF2A" w14:textId="29DA98EB" w:rsidR="000E3081" w:rsidRDefault="000E3081" w:rsidP="000E3081">
      <w:pPr>
        <w:pStyle w:val="Literaturverzeichnis"/>
        <w:jc w:val="both"/>
        <w:rPr>
          <w:lang w:val="en-US"/>
        </w:rPr>
      </w:pPr>
      <w:proofErr w:type="spellStart"/>
      <w:r w:rsidRPr="00C34102">
        <w:rPr>
          <w:lang w:val="en-US"/>
        </w:rPr>
        <w:t>Schalock</w:t>
      </w:r>
      <w:proofErr w:type="spellEnd"/>
      <w:r w:rsidRPr="00C34102">
        <w:rPr>
          <w:lang w:val="en-US"/>
        </w:rPr>
        <w:t>, R.</w:t>
      </w:r>
      <w:r w:rsidR="00892023">
        <w:rPr>
          <w:lang w:val="en-US"/>
        </w:rPr>
        <w:t> </w:t>
      </w:r>
      <w:r w:rsidRPr="00C34102">
        <w:rPr>
          <w:lang w:val="en-US"/>
        </w:rPr>
        <w:t xml:space="preserve">L., &amp; Verdugo, M. A. (2002). </w:t>
      </w:r>
      <w:r w:rsidRPr="00C34102">
        <w:rPr>
          <w:i/>
          <w:iCs/>
          <w:lang w:val="en-US"/>
        </w:rPr>
        <w:t>Handbook on quality of life for human services practitioners</w:t>
      </w:r>
      <w:r w:rsidRPr="00C34102">
        <w:rPr>
          <w:lang w:val="en-US"/>
        </w:rPr>
        <w:t>. American Association on Mental Retardation.</w:t>
      </w:r>
      <w:r>
        <w:rPr>
          <w:lang w:val="en-US"/>
        </w:rPr>
        <w:t xml:space="preserve"> </w:t>
      </w:r>
    </w:p>
    <w:p w14:paraId="6D940A98" w14:textId="77777777" w:rsidR="000E3081" w:rsidRPr="00036BCC" w:rsidRDefault="000E3081" w:rsidP="000E3081">
      <w:pPr>
        <w:pStyle w:val="Literaturverzeichnis"/>
        <w:jc w:val="both"/>
        <w:rPr>
          <w:lang w:val="en-US"/>
        </w:rPr>
      </w:pPr>
      <w:proofErr w:type="spellStart"/>
      <w:r w:rsidRPr="00976031">
        <w:rPr>
          <w:shd w:val="clear" w:color="auto" w:fill="FFFFFF"/>
          <w:lang w:val="en-US"/>
        </w:rPr>
        <w:t>Sigstad</w:t>
      </w:r>
      <w:proofErr w:type="spellEnd"/>
      <w:r w:rsidRPr="00976031">
        <w:rPr>
          <w:shd w:val="clear" w:color="auto" w:fill="FFFFFF"/>
          <w:lang w:val="en-US"/>
        </w:rPr>
        <w:t xml:space="preserve">, H. M. H., &amp; Garrels, V. (2023). </w:t>
      </w:r>
      <w:r w:rsidRPr="00DE664F">
        <w:rPr>
          <w:shd w:val="clear" w:color="auto" w:fill="FFFFFF"/>
          <w:lang w:val="en-US"/>
        </w:rPr>
        <w:t>Which success factors do young adults with mild intellectual disability highlight in their school-work transition? </w:t>
      </w:r>
      <w:r w:rsidRPr="00354B86">
        <w:rPr>
          <w:i/>
          <w:iCs/>
          <w:shd w:val="clear" w:color="auto" w:fill="FFFFFF"/>
          <w:lang w:val="en-US"/>
        </w:rPr>
        <w:t>European Journal of Special Needs Education</w:t>
      </w:r>
      <w:r w:rsidRPr="00354B86">
        <w:rPr>
          <w:shd w:val="clear" w:color="auto" w:fill="FFFFFF"/>
          <w:lang w:val="en-US"/>
        </w:rPr>
        <w:t>, </w:t>
      </w:r>
      <w:r w:rsidRPr="00354B86">
        <w:rPr>
          <w:i/>
          <w:iCs/>
          <w:shd w:val="clear" w:color="auto" w:fill="FFFFFF"/>
          <w:lang w:val="en-US"/>
        </w:rPr>
        <w:t>38</w:t>
      </w:r>
      <w:r w:rsidRPr="00354B86">
        <w:rPr>
          <w:shd w:val="clear" w:color="auto" w:fill="FFFFFF"/>
          <w:lang w:val="en-US"/>
        </w:rPr>
        <w:t>(4), 573-587.</w:t>
      </w:r>
      <w:r>
        <w:rPr>
          <w:shd w:val="clear" w:color="auto" w:fill="FFFFFF"/>
          <w:lang w:val="en-US"/>
        </w:rPr>
        <w:t xml:space="preserve"> </w:t>
      </w:r>
      <w:hyperlink r:id="rId46" w:history="1">
        <w:r w:rsidRPr="003667A0">
          <w:rPr>
            <w:rStyle w:val="Hyperlink"/>
            <w:shd w:val="clear" w:color="auto" w:fill="FFFFFF"/>
            <w:lang w:val="en-US"/>
          </w:rPr>
          <w:t>https://doi.org/10.1080/08856257.2022.2148600</w:t>
        </w:r>
      </w:hyperlink>
    </w:p>
    <w:p w14:paraId="301202D4" w14:textId="427AAA5A" w:rsidR="000E3081" w:rsidRPr="00036BCC" w:rsidRDefault="000E3081" w:rsidP="000E3081">
      <w:pPr>
        <w:pStyle w:val="Literaturverzeichnis"/>
        <w:jc w:val="both"/>
        <w:rPr>
          <w:lang w:val="en-US"/>
        </w:rPr>
      </w:pPr>
      <w:r w:rsidRPr="00857BD8">
        <w:rPr>
          <w:lang w:val="en-GB"/>
        </w:rPr>
        <w:t xml:space="preserve">Verdugo, M. A., Jordán de </w:t>
      </w:r>
      <w:proofErr w:type="spellStart"/>
      <w:r w:rsidRPr="00857BD8">
        <w:rPr>
          <w:lang w:val="en-GB"/>
        </w:rPr>
        <w:t>Urríes</w:t>
      </w:r>
      <w:proofErr w:type="spellEnd"/>
      <w:r w:rsidRPr="00857BD8">
        <w:rPr>
          <w:lang w:val="en-GB"/>
        </w:rPr>
        <w:t>, F.</w:t>
      </w:r>
      <w:r w:rsidR="00892023">
        <w:rPr>
          <w:lang w:val="en-GB"/>
        </w:rPr>
        <w:t> </w:t>
      </w:r>
      <w:r w:rsidRPr="00857BD8">
        <w:rPr>
          <w:lang w:val="en-GB"/>
        </w:rPr>
        <w:t xml:space="preserve">B., Jenaro, C., Caballo, C., &amp; Crespo, M. (2006). </w:t>
      </w:r>
      <w:r w:rsidRPr="000863CA">
        <w:rPr>
          <w:lang w:val="en-US"/>
        </w:rPr>
        <w:t xml:space="preserve">Quality of life of workers with an intellectual disability in supported employment. </w:t>
      </w:r>
      <w:r w:rsidRPr="000863CA">
        <w:rPr>
          <w:i/>
          <w:iCs/>
          <w:lang w:val="en-US"/>
        </w:rPr>
        <w:t>Journal of Applied Research in Intellectual Disabilities, 19</w:t>
      </w:r>
      <w:r w:rsidRPr="000863CA">
        <w:rPr>
          <w:lang w:val="en-US"/>
        </w:rPr>
        <w:t>(4), 309-316.</w:t>
      </w:r>
      <w:r>
        <w:rPr>
          <w:lang w:val="en-US"/>
        </w:rPr>
        <w:t xml:space="preserve"> </w:t>
      </w:r>
      <w:hyperlink r:id="rId47" w:history="1">
        <w:r w:rsidRPr="003667A0">
          <w:rPr>
            <w:rStyle w:val="Hyperlink"/>
            <w:lang w:val="en-US"/>
          </w:rPr>
          <w:t>http://dx.doi.org/10.1111/j.1468-3148.2006.00277.x</w:t>
        </w:r>
      </w:hyperlink>
    </w:p>
    <w:p w14:paraId="7C49F8E7" w14:textId="77777777" w:rsidR="000E3081" w:rsidRDefault="000E3081" w:rsidP="000E3081">
      <w:pPr>
        <w:pStyle w:val="Literaturverzeichnis"/>
        <w:jc w:val="both"/>
        <w:rPr>
          <w:lang w:val="en-GB"/>
        </w:rPr>
      </w:pPr>
      <w:r w:rsidRPr="000C51C0">
        <w:rPr>
          <w:lang w:val="en-US"/>
        </w:rPr>
        <w:t>Waddell, G. &amp; Burton, A.</w:t>
      </w:r>
      <w:r>
        <w:rPr>
          <w:lang w:val="en-US"/>
        </w:rPr>
        <w:t xml:space="preserve"> </w:t>
      </w:r>
      <w:r w:rsidRPr="000C51C0">
        <w:rPr>
          <w:lang w:val="en-US"/>
        </w:rPr>
        <w:t xml:space="preserve">K. (2006). </w:t>
      </w:r>
      <w:r w:rsidRPr="000C51C0">
        <w:rPr>
          <w:i/>
          <w:iCs/>
          <w:lang w:val="en-US"/>
        </w:rPr>
        <w:t xml:space="preserve">Is Work Good for Your Health and Well-being? </w:t>
      </w:r>
      <w:r w:rsidRPr="006F141A">
        <w:rPr>
          <w:lang w:val="en-GB"/>
        </w:rPr>
        <w:t>The Stationary Office.</w:t>
      </w:r>
    </w:p>
    <w:p w14:paraId="0170FF3C" w14:textId="77777777" w:rsidR="000E3081" w:rsidRDefault="000E3081" w:rsidP="000E3081">
      <w:pPr>
        <w:pStyle w:val="Literaturverzeichnis"/>
        <w:jc w:val="both"/>
        <w:rPr>
          <w:rFonts w:cs="Open Sans SemiCondensed"/>
          <w:lang w:val="fr-CH"/>
        </w:rPr>
      </w:pPr>
      <w:r w:rsidRPr="00DE664F">
        <w:rPr>
          <w:shd w:val="clear" w:color="auto" w:fill="FFFFFF"/>
          <w:lang w:val="en-US"/>
        </w:rPr>
        <w:t>Wehman, P., Sima, A. P., Ketchum, J., West, M. D., Chan, F., &amp; Luecking, R. (2015). Predictors of successful transition from school to employment for youth with disabilities. </w:t>
      </w:r>
      <w:r w:rsidRPr="00354B86">
        <w:rPr>
          <w:i/>
          <w:iCs/>
          <w:shd w:val="clear" w:color="auto" w:fill="FFFFFF"/>
          <w:lang w:val="en-US"/>
        </w:rPr>
        <w:t>Journal of occupational rehabilitation</w:t>
      </w:r>
      <w:r w:rsidRPr="00354B86">
        <w:rPr>
          <w:shd w:val="clear" w:color="auto" w:fill="FFFFFF"/>
          <w:lang w:val="en-US"/>
        </w:rPr>
        <w:t>,</w:t>
      </w:r>
      <w:r>
        <w:rPr>
          <w:shd w:val="clear" w:color="auto" w:fill="FFFFFF"/>
          <w:lang w:val="en-US"/>
        </w:rPr>
        <w:t xml:space="preserve"> </w:t>
      </w:r>
      <w:r w:rsidRPr="00354B86">
        <w:rPr>
          <w:i/>
          <w:iCs/>
          <w:shd w:val="clear" w:color="auto" w:fill="FFFFFF"/>
          <w:lang w:val="en-US"/>
        </w:rPr>
        <w:t>25</w:t>
      </w:r>
      <w:r w:rsidRPr="00F90F2C">
        <w:rPr>
          <w:shd w:val="clear" w:color="auto" w:fill="FFFFFF"/>
          <w:lang w:val="en-US"/>
        </w:rPr>
        <w:t>(2)</w:t>
      </w:r>
      <w:r w:rsidRPr="00354B86">
        <w:rPr>
          <w:shd w:val="clear" w:color="auto" w:fill="FFFFFF"/>
          <w:lang w:val="en-US"/>
        </w:rPr>
        <w:t>, 323-334.</w:t>
      </w:r>
      <w:r>
        <w:rPr>
          <w:shd w:val="clear" w:color="auto" w:fill="FFFFFF"/>
          <w:lang w:val="en-US"/>
        </w:rPr>
        <w:t xml:space="preserve"> </w:t>
      </w:r>
      <w:hyperlink r:id="rId48" w:history="1">
        <w:r w:rsidRPr="003667A0">
          <w:rPr>
            <w:rStyle w:val="Hyperlink"/>
            <w:shd w:val="clear" w:color="auto" w:fill="FFFFFF"/>
            <w:lang w:val="en-US"/>
          </w:rPr>
          <w:t>https://doi.org/10.1007/s10926-014-9541-6</w:t>
        </w:r>
      </w:hyperlink>
    </w:p>
    <w:p w14:paraId="02B9B3B3" w14:textId="3ADC2409" w:rsidR="00870508" w:rsidRPr="00B9795A" w:rsidRDefault="000E3081" w:rsidP="00B9795A">
      <w:pPr>
        <w:pStyle w:val="Literaturverzeichnis"/>
        <w:jc w:val="both"/>
        <w:rPr>
          <w:rFonts w:cs="Open Sans SemiCondensed"/>
          <w:lang w:val="fr-CH"/>
        </w:rPr>
      </w:pPr>
      <w:r w:rsidRPr="00DE664F">
        <w:rPr>
          <w:shd w:val="clear" w:color="auto" w:fill="FFFFFF"/>
          <w:lang w:val="en-US"/>
        </w:rPr>
        <w:t xml:space="preserve">Winn, S., &amp; Hay, I. (2009). Transition from school </w:t>
      </w:r>
      <w:proofErr w:type="gramStart"/>
      <w:r w:rsidRPr="00DE664F">
        <w:rPr>
          <w:shd w:val="clear" w:color="auto" w:fill="FFFFFF"/>
          <w:lang w:val="en-US"/>
        </w:rPr>
        <w:t>for</w:t>
      </w:r>
      <w:proofErr w:type="gramEnd"/>
      <w:r w:rsidRPr="00DE664F">
        <w:rPr>
          <w:shd w:val="clear" w:color="auto" w:fill="FFFFFF"/>
          <w:lang w:val="en-US"/>
        </w:rPr>
        <w:t xml:space="preserve"> youths with a disability: Issues and challenges. </w:t>
      </w:r>
      <w:r w:rsidRPr="00D625E9">
        <w:rPr>
          <w:i/>
          <w:iCs/>
          <w:shd w:val="clear" w:color="auto" w:fill="FFFFFF"/>
        </w:rPr>
        <w:t>Disability &amp; Society</w:t>
      </w:r>
      <w:r w:rsidRPr="00D625E9">
        <w:rPr>
          <w:shd w:val="clear" w:color="auto" w:fill="FFFFFF"/>
        </w:rPr>
        <w:t>, </w:t>
      </w:r>
      <w:r w:rsidRPr="00D625E9">
        <w:rPr>
          <w:i/>
          <w:iCs/>
          <w:shd w:val="clear" w:color="auto" w:fill="FFFFFF"/>
        </w:rPr>
        <w:t>24</w:t>
      </w:r>
      <w:r w:rsidRPr="00D625E9">
        <w:rPr>
          <w:shd w:val="clear" w:color="auto" w:fill="FFFFFF"/>
        </w:rPr>
        <w:t xml:space="preserve">(1), 103-115. </w:t>
      </w:r>
      <w:hyperlink r:id="rId49" w:tgtFrame="_blank" w:history="1">
        <w:r w:rsidRPr="00462FA1">
          <w:rPr>
            <w:rStyle w:val="Hyperlink"/>
            <w:shd w:val="clear" w:color="auto" w:fill="FFFFFF"/>
          </w:rPr>
          <w:t>https://doi.org/10.1080/09687590802535725</w:t>
        </w:r>
      </w:hyperlink>
    </w:p>
    <w:sectPr w:rsidR="00870508" w:rsidRPr="00B9795A" w:rsidSect="00D22711">
      <w:headerReference w:type="default" r:id="rId50"/>
      <w:footerReference w:type="default" r:id="rId51"/>
      <w:pgSz w:w="11907" w:h="16840" w:code="9"/>
      <w:pgMar w:top="1418" w:right="1418" w:bottom="1134" w:left="1418" w:header="720" w:footer="567" w:gutter="0"/>
      <w:pgNumType w:start="4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10AF4" w14:textId="77777777" w:rsidR="005E0DAB" w:rsidRDefault="005E0DAB">
      <w:pPr>
        <w:spacing w:line="240" w:lineRule="auto"/>
      </w:pPr>
      <w:r>
        <w:separator/>
      </w:r>
    </w:p>
  </w:endnote>
  <w:endnote w:type="continuationSeparator" w:id="0">
    <w:p w14:paraId="451B980C" w14:textId="77777777" w:rsidR="005E0DAB" w:rsidRDefault="005E0DAB">
      <w:pPr>
        <w:spacing w:line="240" w:lineRule="auto"/>
      </w:pPr>
      <w:r>
        <w:continuationSeparator/>
      </w:r>
    </w:p>
  </w:endnote>
  <w:endnote w:type="continuationNotice" w:id="1">
    <w:p w14:paraId="26CA723E" w14:textId="77777777" w:rsidR="005E0DAB" w:rsidRDefault="005E0DA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0B769A76-5B7E-4423-B70E-5B6C5A2AC730}"/>
    <w:embedBold r:id="rId2" w:fontKey="{84BCF610-00A7-4512-9DAD-50F3907E9000}"/>
    <w:embedItalic r:id="rId3" w:fontKey="{C64B5DEA-5789-4D02-86F3-B38878C361D6}"/>
    <w:embedBoldItalic r:id="rId4" w:fontKey="{6DFD429D-678A-4969-88DA-76986DD8A728}"/>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67C83" w14:textId="77777777" w:rsidR="004B3A29" w:rsidRPr="007B448B" w:rsidRDefault="006E210A" w:rsidP="001D3BFB">
    <w:pPr>
      <w:pStyle w:val="Fuzeile"/>
      <w:rPr>
        <w:szCs w:val="22"/>
      </w:rPr>
    </w:pPr>
    <w:r>
      <w:rPr>
        <w:noProof/>
      </w:rPr>
      <w:drawing>
        <wp:anchor distT="0" distB="0" distL="114300" distR="114300" simplePos="0" relativeHeight="251658241" behindDoc="1" locked="0" layoutInCell="1" allowOverlap="1" wp14:anchorId="79D67302" wp14:editId="33070F22">
          <wp:simplePos x="0" y="0"/>
          <wp:positionH relativeFrom="column">
            <wp:posOffset>-671830</wp:posOffset>
          </wp:positionH>
          <wp:positionV relativeFrom="paragraph">
            <wp:posOffset>-726440</wp:posOffset>
          </wp:positionV>
          <wp:extent cx="101861" cy="849482"/>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52F66" w14:textId="77777777" w:rsidR="005E0DAB" w:rsidRPr="00777A2F" w:rsidRDefault="005E0DAB"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58EA3458" w14:textId="77777777" w:rsidR="005E0DAB" w:rsidRDefault="005E0DAB">
      <w:r>
        <w:continuationSeparator/>
      </w:r>
    </w:p>
  </w:footnote>
  <w:footnote w:type="continuationNotice" w:id="1">
    <w:p w14:paraId="58E9E595" w14:textId="77777777" w:rsidR="005E0DAB" w:rsidRDefault="005E0DAB">
      <w:pPr>
        <w:spacing w:line="240" w:lineRule="auto"/>
      </w:pPr>
    </w:p>
  </w:footnote>
  <w:footnote w:id="2">
    <w:p w14:paraId="0C6585A2" w14:textId="54F0C684" w:rsidR="000E3081" w:rsidRPr="00972EAF" w:rsidRDefault="000E3081" w:rsidP="005E7CAF">
      <w:pPr>
        <w:pStyle w:val="Funotentext"/>
        <w:jc w:val="both"/>
        <w:rPr>
          <w:lang w:val="fr-FR"/>
        </w:rPr>
      </w:pPr>
      <w:r>
        <w:rPr>
          <w:rStyle w:val="Funotenzeichen"/>
        </w:rPr>
        <w:footnoteRef/>
      </w:r>
      <w:r w:rsidRPr="00036BCC">
        <w:rPr>
          <w:lang w:val="fr-FR"/>
        </w:rPr>
        <w:t xml:space="preserve"> </w:t>
      </w:r>
      <w:r w:rsidRPr="00972EAF">
        <w:rPr>
          <w:lang w:val="fr-FR"/>
        </w:rPr>
        <w:t>À côté des activités productives,</w:t>
      </w:r>
      <w:r>
        <w:rPr>
          <w:lang w:val="fr-FR"/>
        </w:rPr>
        <w:t xml:space="preserve"> il existe aussi des activités occupationnelles, qui sont</w:t>
      </w:r>
      <w:r w:rsidR="006A4312">
        <w:rPr>
          <w:lang w:val="fr-FR"/>
        </w:rPr>
        <w:t xml:space="preserve"> en général</w:t>
      </w:r>
      <w:r>
        <w:rPr>
          <w:lang w:val="fr-FR"/>
        </w:rPr>
        <w:t xml:space="preserve"> offertes dans des centres de jour.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25ACB" w14:textId="4B8FEE1E" w:rsidR="007B448B" w:rsidRPr="007B448B" w:rsidRDefault="00307EC7" w:rsidP="007B448B">
    <w:pPr>
      <w:pStyle w:val="Themenschwerpunkt"/>
      <w:rPr>
        <w:lang w:val="fr-CH"/>
      </w:rPr>
    </w:pPr>
    <w:r>
      <mc:AlternateContent>
        <mc:Choice Requires="wps">
          <w:drawing>
            <wp:anchor distT="0" distB="0" distL="114299" distR="114299" simplePos="0" relativeHeight="251658240" behindDoc="0" locked="0" layoutInCell="1" allowOverlap="1" wp14:anchorId="04FF5393" wp14:editId="5235ED1E">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83E5A5" id="Connecteur droit 3" o:spid="_x0000_s1026" alt="&quot;&quot;" style="position:absolute;flip:x;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046BAC">
      <w:rPr>
        <w:lang w:val="fr-CH"/>
      </w:rPr>
      <w:t>Santé mentale des jeunes</w:t>
    </w:r>
    <w:r w:rsidR="007B448B">
      <w:rPr>
        <w:lang w:val="fr-CH"/>
      </w:rPr>
      <w:tab/>
    </w:r>
    <w:r w:rsidR="007B448B">
      <w:rPr>
        <w:lang w:val="fr-CH"/>
      </w:rPr>
      <w:tab/>
    </w:r>
    <w:r w:rsidR="007B448B" w:rsidRPr="00ED473A">
      <w:rPr>
        <w:b w:val="0"/>
        <w:bCs/>
        <w:lang w:val="fr-CH"/>
      </w:rPr>
      <w:t>Revue Suisse de Pédagogie Spécialisée, Vol.</w:t>
    </w:r>
    <w:r w:rsidR="00182789">
      <w:rPr>
        <w:b w:val="0"/>
        <w:bCs/>
        <w:lang w:val="fr-CH"/>
      </w:rPr>
      <w:t> </w:t>
    </w:r>
    <w:r w:rsidR="00037AE3">
      <w:rPr>
        <w:b w:val="0"/>
        <w:bCs/>
        <w:lang w:val="fr-CH"/>
      </w:rPr>
      <w:t>1</w:t>
    </w:r>
    <w:r w:rsidR="0022028B">
      <w:rPr>
        <w:b w:val="0"/>
        <w:bCs/>
        <w:lang w:val="fr-CH"/>
      </w:rPr>
      <w:t>5</w:t>
    </w:r>
    <w:r w:rsidR="007B448B" w:rsidRPr="00ED473A">
      <w:rPr>
        <w:b w:val="0"/>
        <w:bCs/>
        <w:lang w:val="fr-CH"/>
      </w:rPr>
      <w:t xml:space="preserve">, </w:t>
    </w:r>
    <w:r w:rsidR="00037AE3">
      <w:rPr>
        <w:b w:val="0"/>
        <w:bCs/>
        <w:lang w:val="fr-CH"/>
      </w:rPr>
      <w:t>0</w:t>
    </w:r>
    <w:r w:rsidR="00046BAC">
      <w:rPr>
        <w:b w:val="0"/>
        <w:bCs/>
        <w:lang w:val="fr-CH"/>
      </w:rPr>
      <w:t>2</w:t>
    </w:r>
    <w:r w:rsidR="007B448B" w:rsidRPr="00ED473A">
      <w:rPr>
        <w:b w:val="0"/>
        <w:bCs/>
        <w:lang w:val="fr-CH"/>
      </w:rPr>
      <w:t>/</w:t>
    </w:r>
    <w:r w:rsidR="00037AE3">
      <w:rPr>
        <w:b w:val="0"/>
        <w:bCs/>
        <w:lang w:val="fr-CH"/>
      </w:rPr>
      <w:t>202</w:t>
    </w:r>
    <w:r w:rsidR="0022028B">
      <w:rPr>
        <w:b w:val="0"/>
        <w:bCs/>
        <w:lang w:val="fr-CH"/>
      </w:rPr>
      <w:t>5</w:t>
    </w:r>
  </w:p>
  <w:p w14:paraId="0D81E3CF" w14:textId="77777777" w:rsidR="004B3A29" w:rsidRPr="00ED473A" w:rsidRDefault="00B7489C" w:rsidP="007B448B">
    <w:pPr>
      <w:pStyle w:val="Themenschwerpunkt"/>
      <w:rPr>
        <w:b w:val="0"/>
        <w:bCs/>
        <w:lang w:val="fr-CH"/>
      </w:rPr>
    </w:pPr>
    <w:r w:rsidRPr="006555BD">
      <w:rPr>
        <w:b w:val="0"/>
        <w:bCs/>
        <w:lang w:val="fr-CH"/>
      </w:rPr>
      <w:t xml:space="preserve">| </w:t>
    </w:r>
    <w:r w:rsidR="0022028B">
      <w:rPr>
        <w:b w:val="0"/>
        <w:bCs/>
        <w:lang w:val="fr-CH"/>
      </w:rPr>
      <w:t>ARTICLE</w:t>
    </w:r>
    <w:r w:rsidR="00B71621" w:rsidRPr="006555BD">
      <w:rPr>
        <w:b w:val="0"/>
        <w:bCs/>
        <w:lang w:val="fr-CH"/>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48830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730BD34"/>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70723A00"/>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FF3675FA"/>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25A8F84C"/>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E98EB2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65DE794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214A9E"/>
    <w:multiLevelType w:val="multilevel"/>
    <w:tmpl w:val="08BA4C14"/>
    <w:styleLink w:val="ArtikelAbschnitt"/>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berschrift4"/>
      <w:lvlText w:val=""/>
      <w:lvlJc w:val="right"/>
      <w:pPr>
        <w:ind w:left="0" w:firstLine="0"/>
      </w:pPr>
      <w:rPr>
        <w:rFonts w:ascii="Open Sans SemiCondensed" w:hAnsi="Open Sans SemiCondensed" w:hint="default"/>
      </w:rPr>
    </w:lvl>
    <w:lvl w:ilvl="4">
      <w:start w:val="1"/>
      <w:numFmt w:val="none"/>
      <w:pStyle w:val="berschrift5"/>
      <w:lvlText w:val=""/>
      <w:lvlJc w:val="left"/>
      <w:pPr>
        <w:ind w:left="0" w:firstLine="0"/>
      </w:pPr>
      <w:rPr>
        <w:rFonts w:ascii="Open Sans SemiCondensed" w:hAnsi="Open Sans SemiCondensed" w:hint="default"/>
      </w:rPr>
    </w:lvl>
    <w:lvl w:ilvl="5">
      <w:start w:val="1"/>
      <w:numFmt w:val="none"/>
      <w:pStyle w:val="berschrift6"/>
      <w:lvlText w:val=""/>
      <w:lvlJc w:val="left"/>
      <w:pPr>
        <w:ind w:left="0" w:firstLine="0"/>
      </w:pPr>
      <w:rPr>
        <w:rFonts w:ascii="Open Sans SemiCondensed" w:hAnsi="Open Sans SemiCondensed" w:hint="default"/>
      </w:rPr>
    </w:lvl>
    <w:lvl w:ilvl="6">
      <w:start w:val="1"/>
      <w:numFmt w:val="none"/>
      <w:pStyle w:val="berschrift7"/>
      <w:lvlText w:val=""/>
      <w:lvlJc w:val="right"/>
      <w:pPr>
        <w:ind w:left="0" w:firstLine="0"/>
      </w:pPr>
      <w:rPr>
        <w:rFonts w:ascii="Open Sans SemiCondensed" w:hAnsi="Open Sans SemiCondensed" w:hint="default"/>
      </w:rPr>
    </w:lvl>
    <w:lvl w:ilvl="7">
      <w:start w:val="1"/>
      <w:numFmt w:val="none"/>
      <w:pStyle w:val="berschrift8"/>
      <w:lvlText w:val=""/>
      <w:lvlJc w:val="left"/>
      <w:pPr>
        <w:ind w:left="0" w:firstLine="0"/>
      </w:pPr>
      <w:rPr>
        <w:rFonts w:ascii="Open Sans SemiCondensed" w:hAnsi="Open Sans SemiCondensed" w:hint="default"/>
      </w:rPr>
    </w:lvl>
    <w:lvl w:ilvl="8">
      <w:start w:val="1"/>
      <w:numFmt w:val="none"/>
      <w:pStyle w:val="berschrift9"/>
      <w:lvlText w:val=""/>
      <w:lvlJc w:val="right"/>
      <w:pPr>
        <w:ind w:left="0" w:firstLine="0"/>
      </w:pPr>
      <w:rPr>
        <w:rFonts w:ascii="Open Sans SemiCondensed" w:hAnsi="Open Sans SemiCondensed" w:hint="default"/>
      </w:rPr>
    </w:lvl>
  </w:abstractNum>
  <w:abstractNum w:abstractNumId="8"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9" w15:restartNumberingAfterBreak="0">
    <w:nsid w:val="492B3CF3"/>
    <w:multiLevelType w:val="multilevel"/>
    <w:tmpl w:val="D16CDD2E"/>
    <w:lvl w:ilvl="0">
      <w:start w:val="1"/>
      <w:numFmt w:val="decimal"/>
      <w:pStyle w:val="Listennummer"/>
      <w:lvlText w:val="%1."/>
      <w:lvlJc w:val="left"/>
      <w:pPr>
        <w:ind w:left="360" w:hanging="360"/>
      </w:pPr>
    </w:lvl>
    <w:lvl w:ilvl="1">
      <w:start w:val="1"/>
      <w:numFmt w:val="decimal"/>
      <w:pStyle w:val="Listennummer2"/>
      <w:lvlText w:val="%1.%2."/>
      <w:lvlJc w:val="left"/>
      <w:pPr>
        <w:ind w:left="792" w:hanging="432"/>
      </w:pPr>
    </w:lvl>
    <w:lvl w:ilvl="2">
      <w:start w:val="1"/>
      <w:numFmt w:val="decimal"/>
      <w:pStyle w:val="Listennummer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16487952">
    <w:abstractNumId w:val="8"/>
  </w:num>
  <w:num w:numId="2" w16cid:durableId="379716589">
    <w:abstractNumId w:val="9"/>
  </w:num>
  <w:num w:numId="3" w16cid:durableId="1479614155">
    <w:abstractNumId w:val="7"/>
  </w:num>
  <w:num w:numId="4" w16cid:durableId="230849178">
    <w:abstractNumId w:val="6"/>
  </w:num>
  <w:num w:numId="5" w16cid:durableId="1023436308">
    <w:abstractNumId w:val="5"/>
  </w:num>
  <w:num w:numId="6" w16cid:durableId="1623730094">
    <w:abstractNumId w:val="4"/>
  </w:num>
  <w:num w:numId="7" w16cid:durableId="684095919">
    <w:abstractNumId w:val="3"/>
  </w:num>
  <w:num w:numId="8" w16cid:durableId="1047073324">
    <w:abstractNumId w:val="2"/>
  </w:num>
  <w:num w:numId="9" w16cid:durableId="1371106002">
    <w:abstractNumId w:val="1"/>
  </w:num>
  <w:num w:numId="10" w16cid:durableId="1729189022">
    <w:abstractNumId w:val="0"/>
  </w:num>
  <w:num w:numId="11" w16cid:durableId="1369064885">
    <w:abstractNumId w:val="1"/>
  </w:num>
  <w:num w:numId="12" w16cid:durableId="1240209106">
    <w:abstractNumId w:val="0"/>
  </w:num>
  <w:num w:numId="13" w16cid:durableId="1193231336">
    <w:abstractNumId w:val="1"/>
  </w:num>
  <w:num w:numId="14" w16cid:durableId="67853469">
    <w:abstractNumId w:val="0"/>
  </w:num>
  <w:num w:numId="15" w16cid:durableId="1474640077">
    <w:abstractNumId w:val="1"/>
  </w:num>
  <w:num w:numId="16" w16cid:durableId="1209882448">
    <w:abstractNumId w:val="0"/>
  </w:num>
  <w:num w:numId="17" w16cid:durableId="120534374">
    <w:abstractNumId w:val="1"/>
  </w:num>
  <w:num w:numId="18" w16cid:durableId="1819491810">
    <w:abstractNumId w:val="0"/>
  </w:num>
  <w:num w:numId="19" w16cid:durableId="710688753">
    <w:abstractNumId w:val="1"/>
  </w:num>
  <w:num w:numId="20" w16cid:durableId="1478304597">
    <w:abstractNumId w:val="0"/>
  </w:num>
  <w:num w:numId="21" w16cid:durableId="1718628781">
    <w:abstractNumId w:val="1"/>
  </w:num>
  <w:num w:numId="22" w16cid:durableId="152189275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embedTrueType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837"/>
    <w:rsid w:val="000155FB"/>
    <w:rsid w:val="00015D9A"/>
    <w:rsid w:val="00016BFF"/>
    <w:rsid w:val="00024143"/>
    <w:rsid w:val="0002690F"/>
    <w:rsid w:val="000302CB"/>
    <w:rsid w:val="00030C53"/>
    <w:rsid w:val="0003314D"/>
    <w:rsid w:val="000352CE"/>
    <w:rsid w:val="00036BCC"/>
    <w:rsid w:val="00037AE3"/>
    <w:rsid w:val="00042635"/>
    <w:rsid w:val="00046BAC"/>
    <w:rsid w:val="00053353"/>
    <w:rsid w:val="000759D7"/>
    <w:rsid w:val="00092229"/>
    <w:rsid w:val="00096F04"/>
    <w:rsid w:val="000A7C98"/>
    <w:rsid w:val="000B5BB8"/>
    <w:rsid w:val="000D184D"/>
    <w:rsid w:val="000D7F97"/>
    <w:rsid w:val="000E1111"/>
    <w:rsid w:val="000E3081"/>
    <w:rsid w:val="000E6A66"/>
    <w:rsid w:val="000F0956"/>
    <w:rsid w:val="000F4B54"/>
    <w:rsid w:val="000F5288"/>
    <w:rsid w:val="000F52C8"/>
    <w:rsid w:val="00101C74"/>
    <w:rsid w:val="0010334E"/>
    <w:rsid w:val="001114E2"/>
    <w:rsid w:val="00111BF2"/>
    <w:rsid w:val="001150A5"/>
    <w:rsid w:val="00115EF5"/>
    <w:rsid w:val="001161D6"/>
    <w:rsid w:val="00120CBF"/>
    <w:rsid w:val="00124211"/>
    <w:rsid w:val="00151BCA"/>
    <w:rsid w:val="00153133"/>
    <w:rsid w:val="001539D3"/>
    <w:rsid w:val="001565E1"/>
    <w:rsid w:val="00157D7E"/>
    <w:rsid w:val="00160749"/>
    <w:rsid w:val="0016199C"/>
    <w:rsid w:val="00167858"/>
    <w:rsid w:val="00176E25"/>
    <w:rsid w:val="00182789"/>
    <w:rsid w:val="00190034"/>
    <w:rsid w:val="00193320"/>
    <w:rsid w:val="001937AA"/>
    <w:rsid w:val="00195AF1"/>
    <w:rsid w:val="001A2EEC"/>
    <w:rsid w:val="001A3321"/>
    <w:rsid w:val="001B05BD"/>
    <w:rsid w:val="001B16E8"/>
    <w:rsid w:val="001B25F3"/>
    <w:rsid w:val="001B7781"/>
    <w:rsid w:val="001C0A28"/>
    <w:rsid w:val="001D3BFB"/>
    <w:rsid w:val="001E3BE9"/>
    <w:rsid w:val="001E4289"/>
    <w:rsid w:val="001F17B9"/>
    <w:rsid w:val="00202A19"/>
    <w:rsid w:val="002042DE"/>
    <w:rsid w:val="0020467E"/>
    <w:rsid w:val="002101CA"/>
    <w:rsid w:val="0022028B"/>
    <w:rsid w:val="00235A6C"/>
    <w:rsid w:val="00242715"/>
    <w:rsid w:val="002443A6"/>
    <w:rsid w:val="0025096F"/>
    <w:rsid w:val="00257A8B"/>
    <w:rsid w:val="00264065"/>
    <w:rsid w:val="00264378"/>
    <w:rsid w:val="00271690"/>
    <w:rsid w:val="00276B2C"/>
    <w:rsid w:val="00280DE5"/>
    <w:rsid w:val="00282735"/>
    <w:rsid w:val="002832E5"/>
    <w:rsid w:val="00284EA0"/>
    <w:rsid w:val="002854D4"/>
    <w:rsid w:val="002862AA"/>
    <w:rsid w:val="00296914"/>
    <w:rsid w:val="002A2656"/>
    <w:rsid w:val="002A4AB9"/>
    <w:rsid w:val="002A7D10"/>
    <w:rsid w:val="002C5235"/>
    <w:rsid w:val="002E13B6"/>
    <w:rsid w:val="002E5374"/>
    <w:rsid w:val="002F442D"/>
    <w:rsid w:val="0030447C"/>
    <w:rsid w:val="00307EC7"/>
    <w:rsid w:val="0031260F"/>
    <w:rsid w:val="00320DDA"/>
    <w:rsid w:val="00322024"/>
    <w:rsid w:val="0032223E"/>
    <w:rsid w:val="003222A6"/>
    <w:rsid w:val="00343EAF"/>
    <w:rsid w:val="00345E14"/>
    <w:rsid w:val="003469D9"/>
    <w:rsid w:val="003634D5"/>
    <w:rsid w:val="00365730"/>
    <w:rsid w:val="00367499"/>
    <w:rsid w:val="003711CB"/>
    <w:rsid w:val="003819B7"/>
    <w:rsid w:val="00382314"/>
    <w:rsid w:val="00383074"/>
    <w:rsid w:val="00386CFF"/>
    <w:rsid w:val="00393253"/>
    <w:rsid w:val="003A0367"/>
    <w:rsid w:val="003A0EA7"/>
    <w:rsid w:val="003A2717"/>
    <w:rsid w:val="003A3BB2"/>
    <w:rsid w:val="003B2E20"/>
    <w:rsid w:val="003B3C64"/>
    <w:rsid w:val="003B4C81"/>
    <w:rsid w:val="003D221C"/>
    <w:rsid w:val="003D502F"/>
    <w:rsid w:val="003D5147"/>
    <w:rsid w:val="003E022D"/>
    <w:rsid w:val="003E0578"/>
    <w:rsid w:val="003E0706"/>
    <w:rsid w:val="003E1C94"/>
    <w:rsid w:val="003E5837"/>
    <w:rsid w:val="003F5B1B"/>
    <w:rsid w:val="003F6927"/>
    <w:rsid w:val="003F6A6B"/>
    <w:rsid w:val="003F78C2"/>
    <w:rsid w:val="00401236"/>
    <w:rsid w:val="004027D5"/>
    <w:rsid w:val="00404F18"/>
    <w:rsid w:val="00405267"/>
    <w:rsid w:val="004108D3"/>
    <w:rsid w:val="00414332"/>
    <w:rsid w:val="00421AF7"/>
    <w:rsid w:val="00421D05"/>
    <w:rsid w:val="004223F6"/>
    <w:rsid w:val="0042486F"/>
    <w:rsid w:val="004253FC"/>
    <w:rsid w:val="00426606"/>
    <w:rsid w:val="00427773"/>
    <w:rsid w:val="00435008"/>
    <w:rsid w:val="004412A3"/>
    <w:rsid w:val="00441F45"/>
    <w:rsid w:val="0045144F"/>
    <w:rsid w:val="00454BCF"/>
    <w:rsid w:val="00467E46"/>
    <w:rsid w:val="0047168D"/>
    <w:rsid w:val="00480733"/>
    <w:rsid w:val="0048458B"/>
    <w:rsid w:val="00486270"/>
    <w:rsid w:val="0049082D"/>
    <w:rsid w:val="004913FB"/>
    <w:rsid w:val="00493305"/>
    <w:rsid w:val="004954C4"/>
    <w:rsid w:val="004A2854"/>
    <w:rsid w:val="004B1834"/>
    <w:rsid w:val="004B29F8"/>
    <w:rsid w:val="004B3001"/>
    <w:rsid w:val="004B3A29"/>
    <w:rsid w:val="004C13EB"/>
    <w:rsid w:val="004C4A76"/>
    <w:rsid w:val="004D542D"/>
    <w:rsid w:val="004D58AC"/>
    <w:rsid w:val="004E232F"/>
    <w:rsid w:val="004E307D"/>
    <w:rsid w:val="004F01D9"/>
    <w:rsid w:val="004F5C23"/>
    <w:rsid w:val="005055D5"/>
    <w:rsid w:val="00513199"/>
    <w:rsid w:val="00520BF2"/>
    <w:rsid w:val="00521559"/>
    <w:rsid w:val="005259FD"/>
    <w:rsid w:val="00530E98"/>
    <w:rsid w:val="0053227F"/>
    <w:rsid w:val="00533DA1"/>
    <w:rsid w:val="005456D3"/>
    <w:rsid w:val="005459B3"/>
    <w:rsid w:val="00546490"/>
    <w:rsid w:val="0055561F"/>
    <w:rsid w:val="0056010C"/>
    <w:rsid w:val="0056070E"/>
    <w:rsid w:val="0056578A"/>
    <w:rsid w:val="0056595B"/>
    <w:rsid w:val="00571C0D"/>
    <w:rsid w:val="00572C4C"/>
    <w:rsid w:val="0057605E"/>
    <w:rsid w:val="00576E09"/>
    <w:rsid w:val="00577261"/>
    <w:rsid w:val="00581DB2"/>
    <w:rsid w:val="005842AC"/>
    <w:rsid w:val="00585ED0"/>
    <w:rsid w:val="00587018"/>
    <w:rsid w:val="00594747"/>
    <w:rsid w:val="00594844"/>
    <w:rsid w:val="005A09FF"/>
    <w:rsid w:val="005A2ED3"/>
    <w:rsid w:val="005A41CE"/>
    <w:rsid w:val="005A646E"/>
    <w:rsid w:val="005A6F41"/>
    <w:rsid w:val="005A7AE7"/>
    <w:rsid w:val="005B58DE"/>
    <w:rsid w:val="005C143E"/>
    <w:rsid w:val="005D15B8"/>
    <w:rsid w:val="005D206B"/>
    <w:rsid w:val="005D68EB"/>
    <w:rsid w:val="005E0DAB"/>
    <w:rsid w:val="005E150A"/>
    <w:rsid w:val="005E7CAF"/>
    <w:rsid w:val="005E7DD5"/>
    <w:rsid w:val="00600F9C"/>
    <w:rsid w:val="00602252"/>
    <w:rsid w:val="006111D5"/>
    <w:rsid w:val="006111F5"/>
    <w:rsid w:val="0061370A"/>
    <w:rsid w:val="00623E11"/>
    <w:rsid w:val="006277BD"/>
    <w:rsid w:val="006411DE"/>
    <w:rsid w:val="006448C5"/>
    <w:rsid w:val="00647C0B"/>
    <w:rsid w:val="00653ABA"/>
    <w:rsid w:val="006555BD"/>
    <w:rsid w:val="006644A2"/>
    <w:rsid w:val="006676E2"/>
    <w:rsid w:val="00680CAE"/>
    <w:rsid w:val="00681CA7"/>
    <w:rsid w:val="00682B8C"/>
    <w:rsid w:val="00685EB4"/>
    <w:rsid w:val="00693D41"/>
    <w:rsid w:val="00693E87"/>
    <w:rsid w:val="006A2BB4"/>
    <w:rsid w:val="006A4312"/>
    <w:rsid w:val="006A4C05"/>
    <w:rsid w:val="006A51EE"/>
    <w:rsid w:val="006A7A81"/>
    <w:rsid w:val="006B1B28"/>
    <w:rsid w:val="006B275F"/>
    <w:rsid w:val="006B5540"/>
    <w:rsid w:val="006B7838"/>
    <w:rsid w:val="006C2B84"/>
    <w:rsid w:val="006C3DFC"/>
    <w:rsid w:val="006C5364"/>
    <w:rsid w:val="006D5D28"/>
    <w:rsid w:val="006E15BD"/>
    <w:rsid w:val="006E210A"/>
    <w:rsid w:val="006E260B"/>
    <w:rsid w:val="00700FB6"/>
    <w:rsid w:val="00702BE5"/>
    <w:rsid w:val="0070363C"/>
    <w:rsid w:val="00710218"/>
    <w:rsid w:val="007103A7"/>
    <w:rsid w:val="007155B8"/>
    <w:rsid w:val="007373E7"/>
    <w:rsid w:val="007424F5"/>
    <w:rsid w:val="0074442C"/>
    <w:rsid w:val="00744E30"/>
    <w:rsid w:val="007654F2"/>
    <w:rsid w:val="007670CD"/>
    <w:rsid w:val="00777A2F"/>
    <w:rsid w:val="00787B6E"/>
    <w:rsid w:val="007A3489"/>
    <w:rsid w:val="007A4394"/>
    <w:rsid w:val="007A5A7B"/>
    <w:rsid w:val="007A75E1"/>
    <w:rsid w:val="007B448B"/>
    <w:rsid w:val="007B4F54"/>
    <w:rsid w:val="007B5701"/>
    <w:rsid w:val="007B62B5"/>
    <w:rsid w:val="007C4C0F"/>
    <w:rsid w:val="007C5AB3"/>
    <w:rsid w:val="007C67A8"/>
    <w:rsid w:val="007E78D0"/>
    <w:rsid w:val="007F43B0"/>
    <w:rsid w:val="007F4C92"/>
    <w:rsid w:val="007F5E1D"/>
    <w:rsid w:val="008058DF"/>
    <w:rsid w:val="008152E5"/>
    <w:rsid w:val="00822118"/>
    <w:rsid w:val="00830A17"/>
    <w:rsid w:val="00832FB3"/>
    <w:rsid w:val="008351F7"/>
    <w:rsid w:val="008531F3"/>
    <w:rsid w:val="00853805"/>
    <w:rsid w:val="00855097"/>
    <w:rsid w:val="008557CE"/>
    <w:rsid w:val="00870508"/>
    <w:rsid w:val="00874C6F"/>
    <w:rsid w:val="00882B9B"/>
    <w:rsid w:val="008854C8"/>
    <w:rsid w:val="00891E7D"/>
    <w:rsid w:val="00892023"/>
    <w:rsid w:val="008924D4"/>
    <w:rsid w:val="008934B9"/>
    <w:rsid w:val="00897715"/>
    <w:rsid w:val="008A2229"/>
    <w:rsid w:val="008A6C14"/>
    <w:rsid w:val="008C6EDB"/>
    <w:rsid w:val="008D1807"/>
    <w:rsid w:val="008D5616"/>
    <w:rsid w:val="008D5D95"/>
    <w:rsid w:val="008E0769"/>
    <w:rsid w:val="008E200B"/>
    <w:rsid w:val="008E65A6"/>
    <w:rsid w:val="008F2E4E"/>
    <w:rsid w:val="00911AD9"/>
    <w:rsid w:val="00912E02"/>
    <w:rsid w:val="00920846"/>
    <w:rsid w:val="00920A21"/>
    <w:rsid w:val="00942B9A"/>
    <w:rsid w:val="00943B46"/>
    <w:rsid w:val="00946FE8"/>
    <w:rsid w:val="00954A26"/>
    <w:rsid w:val="009552F9"/>
    <w:rsid w:val="00957539"/>
    <w:rsid w:val="00960882"/>
    <w:rsid w:val="00963400"/>
    <w:rsid w:val="009645AB"/>
    <w:rsid w:val="009660DC"/>
    <w:rsid w:val="00967D5F"/>
    <w:rsid w:val="00976031"/>
    <w:rsid w:val="00985126"/>
    <w:rsid w:val="00991696"/>
    <w:rsid w:val="009934B7"/>
    <w:rsid w:val="009A18FB"/>
    <w:rsid w:val="009A7FF6"/>
    <w:rsid w:val="009C6886"/>
    <w:rsid w:val="009D4CCF"/>
    <w:rsid w:val="009E1319"/>
    <w:rsid w:val="009E3888"/>
    <w:rsid w:val="009E5005"/>
    <w:rsid w:val="009F1F39"/>
    <w:rsid w:val="009F4CD6"/>
    <w:rsid w:val="009F6A07"/>
    <w:rsid w:val="00A0178B"/>
    <w:rsid w:val="00A0635A"/>
    <w:rsid w:val="00A10362"/>
    <w:rsid w:val="00A111F8"/>
    <w:rsid w:val="00A11404"/>
    <w:rsid w:val="00A25A8E"/>
    <w:rsid w:val="00A26FC7"/>
    <w:rsid w:val="00A37E53"/>
    <w:rsid w:val="00A45D3B"/>
    <w:rsid w:val="00A50A1E"/>
    <w:rsid w:val="00A543D6"/>
    <w:rsid w:val="00A55E72"/>
    <w:rsid w:val="00A61330"/>
    <w:rsid w:val="00A63C7A"/>
    <w:rsid w:val="00A67F91"/>
    <w:rsid w:val="00A94F86"/>
    <w:rsid w:val="00AA289D"/>
    <w:rsid w:val="00AA2F41"/>
    <w:rsid w:val="00AA3192"/>
    <w:rsid w:val="00AA569E"/>
    <w:rsid w:val="00AA7D4C"/>
    <w:rsid w:val="00AB7501"/>
    <w:rsid w:val="00AC160B"/>
    <w:rsid w:val="00AC20F1"/>
    <w:rsid w:val="00AD1145"/>
    <w:rsid w:val="00AD394E"/>
    <w:rsid w:val="00AD6538"/>
    <w:rsid w:val="00AE4EAD"/>
    <w:rsid w:val="00AE583E"/>
    <w:rsid w:val="00AE5D15"/>
    <w:rsid w:val="00AE631D"/>
    <w:rsid w:val="00AF05B3"/>
    <w:rsid w:val="00AF0772"/>
    <w:rsid w:val="00AF16EB"/>
    <w:rsid w:val="00B20EB6"/>
    <w:rsid w:val="00B2361A"/>
    <w:rsid w:val="00B23FEC"/>
    <w:rsid w:val="00B30CDC"/>
    <w:rsid w:val="00B45DB7"/>
    <w:rsid w:val="00B47246"/>
    <w:rsid w:val="00B50E21"/>
    <w:rsid w:val="00B53B7D"/>
    <w:rsid w:val="00B54E5C"/>
    <w:rsid w:val="00B54E8B"/>
    <w:rsid w:val="00B707AA"/>
    <w:rsid w:val="00B71621"/>
    <w:rsid w:val="00B7489C"/>
    <w:rsid w:val="00B74F64"/>
    <w:rsid w:val="00B7596B"/>
    <w:rsid w:val="00B819DF"/>
    <w:rsid w:val="00B936AD"/>
    <w:rsid w:val="00B9795A"/>
    <w:rsid w:val="00BA53E9"/>
    <w:rsid w:val="00BB3270"/>
    <w:rsid w:val="00BC32F4"/>
    <w:rsid w:val="00BD29F3"/>
    <w:rsid w:val="00BD4FAD"/>
    <w:rsid w:val="00BD74F7"/>
    <w:rsid w:val="00BD7953"/>
    <w:rsid w:val="00BE32F9"/>
    <w:rsid w:val="00BF21DD"/>
    <w:rsid w:val="00C07FAE"/>
    <w:rsid w:val="00C201F8"/>
    <w:rsid w:val="00C24833"/>
    <w:rsid w:val="00C350DC"/>
    <w:rsid w:val="00C35452"/>
    <w:rsid w:val="00C37E64"/>
    <w:rsid w:val="00C412F3"/>
    <w:rsid w:val="00C43705"/>
    <w:rsid w:val="00C46018"/>
    <w:rsid w:val="00C47190"/>
    <w:rsid w:val="00C50710"/>
    <w:rsid w:val="00C56BD4"/>
    <w:rsid w:val="00C63ADB"/>
    <w:rsid w:val="00C63CF0"/>
    <w:rsid w:val="00C723DD"/>
    <w:rsid w:val="00C77A77"/>
    <w:rsid w:val="00C82253"/>
    <w:rsid w:val="00C85052"/>
    <w:rsid w:val="00C85191"/>
    <w:rsid w:val="00C90953"/>
    <w:rsid w:val="00C9392D"/>
    <w:rsid w:val="00C949D7"/>
    <w:rsid w:val="00CA73E9"/>
    <w:rsid w:val="00CC1689"/>
    <w:rsid w:val="00CC5E36"/>
    <w:rsid w:val="00CC724B"/>
    <w:rsid w:val="00CD50BB"/>
    <w:rsid w:val="00CF4AAE"/>
    <w:rsid w:val="00CF4C21"/>
    <w:rsid w:val="00CF5DCB"/>
    <w:rsid w:val="00CF788D"/>
    <w:rsid w:val="00D02A6E"/>
    <w:rsid w:val="00D02DE1"/>
    <w:rsid w:val="00D0473F"/>
    <w:rsid w:val="00D04ECF"/>
    <w:rsid w:val="00D06194"/>
    <w:rsid w:val="00D13F59"/>
    <w:rsid w:val="00D14119"/>
    <w:rsid w:val="00D17D8D"/>
    <w:rsid w:val="00D17F8E"/>
    <w:rsid w:val="00D20376"/>
    <w:rsid w:val="00D225A6"/>
    <w:rsid w:val="00D22711"/>
    <w:rsid w:val="00D234EA"/>
    <w:rsid w:val="00D24060"/>
    <w:rsid w:val="00D251CF"/>
    <w:rsid w:val="00D30491"/>
    <w:rsid w:val="00D33603"/>
    <w:rsid w:val="00D42870"/>
    <w:rsid w:val="00D45063"/>
    <w:rsid w:val="00D45554"/>
    <w:rsid w:val="00D551C7"/>
    <w:rsid w:val="00D55316"/>
    <w:rsid w:val="00D614DC"/>
    <w:rsid w:val="00D65100"/>
    <w:rsid w:val="00D66972"/>
    <w:rsid w:val="00D67E05"/>
    <w:rsid w:val="00D75B90"/>
    <w:rsid w:val="00D80944"/>
    <w:rsid w:val="00D8255F"/>
    <w:rsid w:val="00D9463F"/>
    <w:rsid w:val="00D969AF"/>
    <w:rsid w:val="00DA3CEB"/>
    <w:rsid w:val="00DA4EDD"/>
    <w:rsid w:val="00DA78D9"/>
    <w:rsid w:val="00DB085C"/>
    <w:rsid w:val="00DB1F12"/>
    <w:rsid w:val="00DB1F8B"/>
    <w:rsid w:val="00DB5151"/>
    <w:rsid w:val="00DB5625"/>
    <w:rsid w:val="00DC0AB5"/>
    <w:rsid w:val="00DC3082"/>
    <w:rsid w:val="00DC399A"/>
    <w:rsid w:val="00DD144F"/>
    <w:rsid w:val="00DD662F"/>
    <w:rsid w:val="00DD7415"/>
    <w:rsid w:val="00DE4A5A"/>
    <w:rsid w:val="00DE6B7F"/>
    <w:rsid w:val="00DF11B1"/>
    <w:rsid w:val="00DF16AA"/>
    <w:rsid w:val="00DF5157"/>
    <w:rsid w:val="00DF6EF3"/>
    <w:rsid w:val="00E00604"/>
    <w:rsid w:val="00E0157A"/>
    <w:rsid w:val="00E03695"/>
    <w:rsid w:val="00E23124"/>
    <w:rsid w:val="00E2679B"/>
    <w:rsid w:val="00E26F3D"/>
    <w:rsid w:val="00E31225"/>
    <w:rsid w:val="00E32883"/>
    <w:rsid w:val="00E3390C"/>
    <w:rsid w:val="00E3759B"/>
    <w:rsid w:val="00E42E44"/>
    <w:rsid w:val="00E43FB3"/>
    <w:rsid w:val="00E54DD0"/>
    <w:rsid w:val="00E6236B"/>
    <w:rsid w:val="00E759D2"/>
    <w:rsid w:val="00E7780E"/>
    <w:rsid w:val="00E84E06"/>
    <w:rsid w:val="00E8625B"/>
    <w:rsid w:val="00E9142E"/>
    <w:rsid w:val="00E96E69"/>
    <w:rsid w:val="00EA4676"/>
    <w:rsid w:val="00EA484D"/>
    <w:rsid w:val="00EB2E29"/>
    <w:rsid w:val="00EC0A4F"/>
    <w:rsid w:val="00ED0BF7"/>
    <w:rsid w:val="00ED473A"/>
    <w:rsid w:val="00EF4718"/>
    <w:rsid w:val="00EF4C1D"/>
    <w:rsid w:val="00EF7CFB"/>
    <w:rsid w:val="00F10514"/>
    <w:rsid w:val="00F13E9D"/>
    <w:rsid w:val="00F1657B"/>
    <w:rsid w:val="00F20734"/>
    <w:rsid w:val="00F41C89"/>
    <w:rsid w:val="00F47AD4"/>
    <w:rsid w:val="00F555B5"/>
    <w:rsid w:val="00F57A73"/>
    <w:rsid w:val="00F622E7"/>
    <w:rsid w:val="00F721E1"/>
    <w:rsid w:val="00F75E5B"/>
    <w:rsid w:val="00F767F6"/>
    <w:rsid w:val="00F76CB2"/>
    <w:rsid w:val="00F82957"/>
    <w:rsid w:val="00F83A13"/>
    <w:rsid w:val="00F90065"/>
    <w:rsid w:val="00F916AE"/>
    <w:rsid w:val="00FA1EF8"/>
    <w:rsid w:val="00FA65F0"/>
    <w:rsid w:val="00FB2600"/>
    <w:rsid w:val="00FB270F"/>
    <w:rsid w:val="00FB2DAA"/>
    <w:rsid w:val="00FB48D2"/>
    <w:rsid w:val="00FB7742"/>
    <w:rsid w:val="00FC7953"/>
    <w:rsid w:val="00FD5708"/>
    <w:rsid w:val="00FE1D77"/>
    <w:rsid w:val="00FE57F9"/>
    <w:rsid w:val="00FE6015"/>
    <w:rsid w:val="00FE7C07"/>
    <w:rsid w:val="00FF0CD1"/>
    <w:rsid w:val="00FF2E2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3570A"/>
  <w15:docId w15:val="{B2719EF0-276A-4E33-8D1D-8741AF352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rsid w:val="00153133"/>
    <w:pPr>
      <w:spacing w:after="0" w:line="276" w:lineRule="auto"/>
    </w:pPr>
    <w:rPr>
      <w:lang w:val="de-CH"/>
    </w:rPr>
  </w:style>
  <w:style w:type="paragraph" w:styleId="berschrift1">
    <w:name w:val="heading 1"/>
    <w:basedOn w:val="Standard"/>
    <w:next w:val="Textkrper"/>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berschrift2">
    <w:name w:val="heading 2"/>
    <w:basedOn w:val="Standard"/>
    <w:next w:val="Textkrper"/>
    <w:uiPriority w:val="9"/>
    <w:qFormat/>
    <w:rsid w:val="00855097"/>
    <w:pPr>
      <w:keepNext/>
      <w:keepLines/>
      <w:spacing w:before="240" w:after="60"/>
      <w:outlineLvl w:val="1"/>
    </w:pPr>
    <w:rPr>
      <w:rFonts w:eastAsiaTheme="majorEastAsia" w:cs="Open Sans SemiCondensed"/>
      <w:b/>
      <w:bCs/>
      <w:szCs w:val="24"/>
    </w:rPr>
  </w:style>
  <w:style w:type="paragraph" w:styleId="berschrift3">
    <w:name w:val="heading 3"/>
    <w:basedOn w:val="Standard"/>
    <w:next w:val="Textkrper"/>
    <w:uiPriority w:val="9"/>
    <w:qFormat/>
    <w:rsid w:val="009E5005"/>
    <w:pPr>
      <w:keepNext/>
      <w:keepLines/>
      <w:spacing w:before="120" w:after="60"/>
      <w:outlineLvl w:val="2"/>
    </w:pPr>
    <w:rPr>
      <w:rFonts w:eastAsiaTheme="majorEastAsia" w:cs="Open Sans SemiCondensed"/>
      <w:bCs/>
      <w:i/>
    </w:rPr>
  </w:style>
  <w:style w:type="paragraph" w:styleId="berschrift4">
    <w:name w:val="heading 4"/>
    <w:basedOn w:val="Standard"/>
    <w:next w:val="Textkrper"/>
    <w:uiPriority w:val="9"/>
    <w:unhideWhenUsed/>
    <w:rsid w:val="00153133"/>
    <w:pPr>
      <w:keepNext/>
      <w:keepLines/>
      <w:numPr>
        <w:ilvl w:val="3"/>
        <w:numId w:val="3"/>
      </w:numPr>
      <w:spacing w:before="200"/>
      <w:outlineLvl w:val="3"/>
    </w:pPr>
    <w:rPr>
      <w:rFonts w:eastAsiaTheme="majorEastAsia" w:cstheme="majorBidi"/>
      <w:bCs/>
      <w:i/>
      <w:sz w:val="24"/>
    </w:rPr>
  </w:style>
  <w:style w:type="paragraph" w:styleId="berschrift5">
    <w:name w:val="heading 5"/>
    <w:basedOn w:val="Standard"/>
    <w:next w:val="Textkrper"/>
    <w:uiPriority w:val="9"/>
    <w:unhideWhenUsed/>
    <w:rsid w:val="00153133"/>
    <w:pPr>
      <w:keepNext/>
      <w:keepLines/>
      <w:numPr>
        <w:ilvl w:val="4"/>
        <w:numId w:val="3"/>
      </w:numPr>
      <w:spacing w:before="200"/>
      <w:outlineLvl w:val="4"/>
    </w:pPr>
    <w:rPr>
      <w:rFonts w:eastAsiaTheme="majorEastAsia" w:cstheme="majorBidi"/>
      <w:iCs/>
      <w:sz w:val="24"/>
    </w:rPr>
  </w:style>
  <w:style w:type="paragraph" w:styleId="berschrift6">
    <w:name w:val="heading 6"/>
    <w:basedOn w:val="Standard"/>
    <w:next w:val="Textkrper"/>
    <w:uiPriority w:val="9"/>
    <w:unhideWhenUsed/>
    <w:rsid w:val="00153133"/>
    <w:pPr>
      <w:keepNext/>
      <w:keepLines/>
      <w:numPr>
        <w:ilvl w:val="5"/>
        <w:numId w:val="3"/>
      </w:numPr>
      <w:spacing w:before="200"/>
      <w:outlineLvl w:val="5"/>
    </w:pPr>
    <w:rPr>
      <w:rFonts w:eastAsiaTheme="majorEastAsia" w:cstheme="majorBidi"/>
      <w:sz w:val="24"/>
    </w:rPr>
  </w:style>
  <w:style w:type="paragraph" w:styleId="berschrift7">
    <w:name w:val="heading 7"/>
    <w:basedOn w:val="Standard"/>
    <w:next w:val="Textkrper"/>
    <w:uiPriority w:val="9"/>
    <w:unhideWhenUsed/>
    <w:rsid w:val="00153133"/>
    <w:pPr>
      <w:keepNext/>
      <w:keepLines/>
      <w:numPr>
        <w:ilvl w:val="6"/>
        <w:numId w:val="3"/>
      </w:numPr>
      <w:spacing w:before="200"/>
      <w:outlineLvl w:val="6"/>
    </w:pPr>
    <w:rPr>
      <w:rFonts w:eastAsiaTheme="majorEastAsia" w:cstheme="majorBidi"/>
      <w:sz w:val="24"/>
    </w:rPr>
  </w:style>
  <w:style w:type="paragraph" w:styleId="berschrift8">
    <w:name w:val="heading 8"/>
    <w:basedOn w:val="Standard"/>
    <w:next w:val="Textkrper"/>
    <w:uiPriority w:val="9"/>
    <w:unhideWhenUsed/>
    <w:rsid w:val="00153133"/>
    <w:pPr>
      <w:keepNext/>
      <w:keepLines/>
      <w:numPr>
        <w:ilvl w:val="7"/>
        <w:numId w:val="3"/>
      </w:numPr>
      <w:spacing w:before="200"/>
      <w:outlineLvl w:val="7"/>
    </w:pPr>
    <w:rPr>
      <w:rFonts w:eastAsiaTheme="majorEastAsia" w:cstheme="majorBidi"/>
      <w:sz w:val="24"/>
    </w:rPr>
  </w:style>
  <w:style w:type="paragraph" w:styleId="berschrift9">
    <w:name w:val="heading 9"/>
    <w:basedOn w:val="Standard"/>
    <w:next w:val="Textkrper"/>
    <w:uiPriority w:val="9"/>
    <w:unhideWhenUsed/>
    <w:rsid w:val="00153133"/>
    <w:pPr>
      <w:keepNext/>
      <w:keepLines/>
      <w:numPr>
        <w:ilvl w:val="8"/>
        <w:numId w:val="3"/>
      </w:numPr>
      <w:spacing w:before="200"/>
      <w:outlineLvl w:val="8"/>
    </w:pPr>
    <w:rPr>
      <w:rFonts w:eastAsiaTheme="majorEastAsia" w:cstheme="majorBidi"/>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qFormat/>
    <w:rsid w:val="007F5E1D"/>
    <w:pPr>
      <w:spacing w:before="60" w:after="60"/>
      <w:ind w:firstLine="170"/>
      <w:jc w:val="both"/>
    </w:pPr>
  </w:style>
  <w:style w:type="paragraph" w:customStyle="1" w:styleId="FirstParagraph">
    <w:name w:val="First Paragraph"/>
    <w:basedOn w:val="Textkrper"/>
    <w:next w:val="Textkrper"/>
  </w:style>
  <w:style w:type="paragraph" w:customStyle="1" w:styleId="Compact">
    <w:name w:val="Compact"/>
    <w:basedOn w:val="Textkrper2"/>
    <w:pPr>
      <w:spacing w:before="36" w:after="36"/>
    </w:pPr>
  </w:style>
  <w:style w:type="paragraph" w:styleId="Titel">
    <w:name w:val="Title"/>
    <w:basedOn w:val="Standard"/>
    <w:next w:val="Textkrper"/>
    <w:qFormat/>
    <w:rsid w:val="003D502F"/>
    <w:pPr>
      <w:keepNext/>
      <w:keepLines/>
      <w:spacing w:line="240" w:lineRule="auto"/>
    </w:pPr>
    <w:rPr>
      <w:rFonts w:eastAsiaTheme="majorEastAsia" w:cstheme="majorBidi"/>
      <w:b/>
      <w:bCs/>
      <w:color w:val="D31932" w:themeColor="accent1"/>
      <w:spacing w:val="20"/>
      <w:sz w:val="28"/>
      <w:szCs w:val="28"/>
    </w:rPr>
  </w:style>
  <w:style w:type="paragraph" w:styleId="Untertitel">
    <w:name w:val="Subtitle"/>
    <w:basedOn w:val="Titel"/>
    <w:next w:val="Textkrper"/>
    <w:link w:val="UntertitelZchn"/>
    <w:qFormat/>
    <w:rsid w:val="00EF7CFB"/>
    <w:pPr>
      <w:spacing w:before="120" w:after="120"/>
    </w:pPr>
    <w:rPr>
      <w:b w:val="0"/>
      <w:color w:val="auto"/>
      <w:sz w:val="24"/>
      <w:szCs w:val="30"/>
    </w:rPr>
  </w:style>
  <w:style w:type="paragraph" w:customStyle="1" w:styleId="Author">
    <w:name w:val="Author"/>
    <w:basedOn w:val="Standard"/>
    <w:next w:val="Textkrper"/>
    <w:qFormat/>
    <w:rsid w:val="000352CE"/>
    <w:pPr>
      <w:keepNext/>
      <w:keepLines/>
      <w:spacing w:after="240"/>
    </w:pPr>
    <w:rPr>
      <w:szCs w:val="18"/>
      <w:lang w:val="fr-CH"/>
    </w:rPr>
  </w:style>
  <w:style w:type="paragraph" w:styleId="Datum">
    <w:name w:val="Date"/>
    <w:next w:val="Textkrper"/>
    <w:pPr>
      <w:keepNext/>
      <w:keepLines/>
      <w:jc w:val="center"/>
    </w:pPr>
  </w:style>
  <w:style w:type="paragraph" w:customStyle="1" w:styleId="Abstract">
    <w:name w:val="Abstract"/>
    <w:basedOn w:val="Standard"/>
    <w:next w:val="Textkrper"/>
    <w:qFormat/>
    <w:rsid w:val="00855097"/>
    <w:pPr>
      <w:keepNext/>
      <w:keepLines/>
      <w:spacing w:after="240"/>
      <w:jc w:val="both"/>
    </w:pPr>
    <w:rPr>
      <w:i/>
    </w:rPr>
  </w:style>
  <w:style w:type="paragraph" w:styleId="Literaturverzeichnis">
    <w:name w:val="Bibliography"/>
    <w:basedOn w:val="Standard"/>
    <w:qFormat/>
    <w:rsid w:val="00CF788D"/>
    <w:pPr>
      <w:ind w:left="567" w:hanging="567"/>
    </w:pPr>
  </w:style>
  <w:style w:type="paragraph" w:styleId="Blocktext">
    <w:name w:val="Block Text"/>
    <w:basedOn w:val="Textkrper"/>
    <w:next w:val="Textkrper"/>
    <w:uiPriority w:val="9"/>
    <w:unhideWhenUsed/>
    <w:pPr>
      <w:spacing w:before="100" w:after="100"/>
      <w:ind w:left="480" w:right="480"/>
    </w:pPr>
  </w:style>
  <w:style w:type="paragraph" w:styleId="Funotentext">
    <w:name w:val="footnote text"/>
    <w:basedOn w:val="Standard"/>
    <w:link w:val="FunotentextZchn"/>
    <w:uiPriority w:val="99"/>
    <w:unhideWhenUsed/>
    <w:qFormat/>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Standard"/>
    <w:next w:val="Definition"/>
    <w:pPr>
      <w:keepNext/>
      <w:keepLines/>
    </w:pPr>
    <w:rPr>
      <w:b/>
    </w:rPr>
  </w:style>
  <w:style w:type="paragraph" w:customStyle="1" w:styleId="Definition">
    <w:name w:val="Definition"/>
    <w:basedOn w:val="Standard"/>
  </w:style>
  <w:style w:type="paragraph" w:customStyle="1" w:styleId="LegendeAbbildung">
    <w:name w:val="Legende Abbildung"/>
    <w:basedOn w:val="LegendeTabelle"/>
    <w:qFormat/>
    <w:rsid w:val="0047168D"/>
    <w:rPr>
      <w:lang w:val="fr-CH"/>
    </w:rPr>
  </w:style>
  <w:style w:type="paragraph" w:customStyle="1" w:styleId="NotizTabelle">
    <w:name w:val="Notiz Tabelle"/>
    <w:basedOn w:val="Standard"/>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Standard"/>
  </w:style>
  <w:style w:type="character" w:customStyle="1" w:styleId="VerbatimChar">
    <w:name w:val="Verbatim Char"/>
    <w:basedOn w:val="Absatz-Standardschriftart"/>
    <w:rsid w:val="006676E2"/>
    <w:rPr>
      <w:rFonts w:ascii="Open Sans SemiCondensed" w:hAnsi="Open Sans SemiCondensed"/>
      <w:b w:val="0"/>
      <w:bCs/>
      <w:i/>
      <w:iCs/>
      <w:color w:val="C00000"/>
      <w:sz w:val="22"/>
    </w:rPr>
  </w:style>
  <w:style w:type="character" w:customStyle="1" w:styleId="SectionNumber">
    <w:name w:val="Section Number"/>
    <w:basedOn w:val="Absatz-Standardschriftart"/>
    <w:rsid w:val="006676E2"/>
    <w:rPr>
      <w:rFonts w:ascii="Open Sans SemiCondensed" w:hAnsi="Open Sans SemiCondensed"/>
      <w:b w:val="0"/>
      <w:bCs/>
      <w:i/>
      <w:iCs/>
      <w:color w:val="C00000"/>
      <w:sz w:val="20"/>
    </w:rPr>
  </w:style>
  <w:style w:type="character" w:styleId="Funotenzeichen">
    <w:name w:val="footnote reference"/>
    <w:basedOn w:val="Absatz-Standardschriftart"/>
    <w:uiPriority w:val="99"/>
    <w:rsid w:val="00EF7CFB"/>
    <w:rPr>
      <w:rFonts w:ascii="Open Sans SemiCondensed" w:hAnsi="Open Sans SemiCondensed"/>
      <w:b w:val="0"/>
      <w:bCs/>
      <w:i w:val="0"/>
      <w:iCs/>
      <w:color w:val="auto"/>
      <w:sz w:val="20"/>
      <w:vertAlign w:val="superscript"/>
    </w:rPr>
  </w:style>
  <w:style w:type="character" w:styleId="Hyperlink">
    <w:name w:val="Hyperlink"/>
    <w:basedOn w:val="FunotentextZchn"/>
    <w:rsid w:val="003D502F"/>
    <w:rPr>
      <w:rFonts w:ascii="Open Sans SemiCondensed" w:hAnsi="Open Sans SemiCondensed"/>
      <w:b w:val="0"/>
      <w:bCs/>
      <w:i w:val="0"/>
      <w:iCs/>
      <w:color w:val="D31932" w:themeColor="accent1"/>
      <w:spacing w:val="-4"/>
      <w:sz w:val="20"/>
    </w:rPr>
  </w:style>
  <w:style w:type="paragraph" w:styleId="Inhaltsverzeichnisberschrift">
    <w:name w:val="TOC Heading"/>
    <w:basedOn w:val="berschrift1"/>
    <w:next w:val="Textkrper"/>
    <w:uiPriority w:val="39"/>
    <w:unhideWhenUsed/>
    <w:rsid w:val="00024143"/>
    <w:pPr>
      <w:spacing w:line="259" w:lineRule="auto"/>
      <w:outlineLvl w:val="9"/>
    </w:pPr>
    <w:rPr>
      <w:bCs w:val="0"/>
      <w:color w:val="auto"/>
    </w:rPr>
  </w:style>
  <w:style w:type="paragraph" w:styleId="Kopfzeile">
    <w:name w:val="header"/>
    <w:basedOn w:val="Standard"/>
    <w:link w:val="KopfzeileZchn"/>
    <w:unhideWhenUsed/>
    <w:rsid w:val="004B3A29"/>
    <w:pPr>
      <w:tabs>
        <w:tab w:val="center" w:pos="4513"/>
        <w:tab w:val="right" w:pos="9026"/>
      </w:tabs>
    </w:pPr>
  </w:style>
  <w:style w:type="character" w:customStyle="1" w:styleId="TextkrperZchn">
    <w:name w:val="Textkörper Zchn"/>
    <w:basedOn w:val="Absatz-Standardschriftart"/>
    <w:link w:val="Textkrper"/>
    <w:rsid w:val="007F5E1D"/>
  </w:style>
  <w:style w:type="character" w:customStyle="1" w:styleId="KopfzeileZchn">
    <w:name w:val="Kopfzeile Zchn"/>
    <w:basedOn w:val="Absatz-Standardschriftart"/>
    <w:link w:val="Kopfzeile"/>
    <w:rsid w:val="004B3A29"/>
    <w:rPr>
      <w:rFonts w:ascii="Open Sans SemiCondensed" w:hAnsi="Open Sans SemiCondensed"/>
      <w:sz w:val="20"/>
    </w:rPr>
  </w:style>
  <w:style w:type="paragraph" w:styleId="Fuzeile">
    <w:name w:val="footer"/>
    <w:basedOn w:val="Standard"/>
    <w:link w:val="FuzeileZchn"/>
    <w:unhideWhenUsed/>
    <w:rsid w:val="007B448B"/>
    <w:pPr>
      <w:tabs>
        <w:tab w:val="center" w:pos="4513"/>
        <w:tab w:val="right" w:pos="9026"/>
      </w:tabs>
    </w:pPr>
    <w:rPr>
      <w:sz w:val="18"/>
    </w:rPr>
  </w:style>
  <w:style w:type="character" w:customStyle="1" w:styleId="FuzeileZchn">
    <w:name w:val="Fußzeile Zchn"/>
    <w:basedOn w:val="Absatz-Standardschriftart"/>
    <w:link w:val="Fuzeile"/>
    <w:rsid w:val="007B448B"/>
    <w:rPr>
      <w:rFonts w:ascii="Open Sans SemiCondensed" w:hAnsi="Open Sans SemiCondensed"/>
      <w:spacing w:val="-4"/>
      <w:sz w:val="18"/>
    </w:rPr>
  </w:style>
  <w:style w:type="paragraph" w:customStyle="1" w:styleId="Themenschwerpunkt">
    <w:name w:val="Themenschwerpunkt"/>
    <w:basedOn w:val="Kopfzeil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KopfzeileZchn"/>
    <w:link w:val="Themenschwerpunkt"/>
    <w:rsid w:val="00CC1689"/>
    <w:rPr>
      <w:rFonts w:ascii="Open Sans SemiCondensed" w:hAnsi="Open Sans SemiCondensed"/>
      <w:b/>
      <w:noProof/>
      <w:spacing w:val="0"/>
      <w:sz w:val="14"/>
      <w:szCs w:val="22"/>
      <w:lang w:val="de-DE"/>
    </w:rPr>
  </w:style>
  <w:style w:type="paragraph" w:styleId="Textkrper2">
    <w:name w:val="Body Text 2"/>
    <w:basedOn w:val="Textkrper"/>
    <w:link w:val="Textkrper2Zchn"/>
    <w:rsid w:val="007F5E1D"/>
    <w:pPr>
      <w:ind w:firstLine="0"/>
    </w:pPr>
  </w:style>
  <w:style w:type="character" w:customStyle="1" w:styleId="Textkrper2Zchn">
    <w:name w:val="Textkörper 2 Zchn"/>
    <w:basedOn w:val="Absatz-Standardschriftart"/>
    <w:link w:val="Textkrper2"/>
    <w:rsid w:val="007F5E1D"/>
  </w:style>
  <w:style w:type="paragraph" w:styleId="Textkrper3">
    <w:name w:val="Body Text 3"/>
    <w:basedOn w:val="Textkrper"/>
    <w:link w:val="Textkrper3Zchn"/>
    <w:rsid w:val="00C24833"/>
    <w:pPr>
      <w:spacing w:before="0" w:after="0"/>
      <w:ind w:firstLine="0"/>
      <w:jc w:val="left"/>
    </w:pPr>
  </w:style>
  <w:style w:type="character" w:customStyle="1" w:styleId="Textkrper3Zchn">
    <w:name w:val="Textkörper 3 Zchn"/>
    <w:basedOn w:val="Absatz-Standardschriftart"/>
    <w:link w:val="Textkrper3"/>
    <w:rsid w:val="00C24833"/>
    <w:rPr>
      <w:lang w:val="de-CH"/>
    </w:rPr>
  </w:style>
  <w:style w:type="paragraph" w:customStyle="1" w:styleId="LegendeTabelle">
    <w:name w:val="Legende Tabelle"/>
    <w:basedOn w:val="Standard"/>
    <w:qFormat/>
    <w:rsid w:val="003D502F"/>
    <w:pPr>
      <w:keepNext/>
      <w:spacing w:before="120" w:after="120" w:line="240" w:lineRule="auto"/>
    </w:pPr>
    <w:rPr>
      <w:bCs/>
      <w:i/>
      <w:iCs/>
      <w:color w:val="D31932" w:themeColor="accent1"/>
    </w:rPr>
  </w:style>
  <w:style w:type="paragraph" w:styleId="Liste">
    <w:name w:val="List"/>
    <w:basedOn w:val="Standard"/>
    <w:unhideWhenUsed/>
    <w:qFormat/>
    <w:rsid w:val="00ED473A"/>
    <w:pPr>
      <w:numPr>
        <w:numId w:val="1"/>
      </w:numPr>
      <w:ind w:left="454" w:hanging="284"/>
      <w:contextualSpacing/>
    </w:pPr>
  </w:style>
  <w:style w:type="paragraph" w:styleId="Liste2">
    <w:name w:val="List 2"/>
    <w:basedOn w:val="Standard"/>
    <w:unhideWhenUsed/>
    <w:rsid w:val="00ED473A"/>
    <w:pPr>
      <w:numPr>
        <w:ilvl w:val="1"/>
        <w:numId w:val="1"/>
      </w:numPr>
      <w:ind w:left="794" w:hanging="284"/>
      <w:contextualSpacing/>
    </w:pPr>
  </w:style>
  <w:style w:type="paragraph" w:styleId="Liste3">
    <w:name w:val="List 3"/>
    <w:basedOn w:val="Standard"/>
    <w:unhideWhenUsed/>
    <w:rsid w:val="00ED473A"/>
    <w:pPr>
      <w:numPr>
        <w:ilvl w:val="2"/>
        <w:numId w:val="1"/>
      </w:numPr>
      <w:ind w:left="1135" w:hanging="284"/>
      <w:contextualSpacing/>
    </w:pPr>
  </w:style>
  <w:style w:type="paragraph" w:styleId="Index1">
    <w:name w:val="index 1"/>
    <w:basedOn w:val="Standard"/>
    <w:next w:val="Standard"/>
    <w:autoRedefine/>
    <w:rsid w:val="00571C0D"/>
    <w:pPr>
      <w:spacing w:line="240" w:lineRule="auto"/>
      <w:ind w:left="200" w:hanging="200"/>
    </w:pPr>
  </w:style>
  <w:style w:type="character" w:styleId="Erwhnung">
    <w:name w:val="Mention"/>
    <w:basedOn w:val="Absatz-Standardschriftart"/>
    <w:uiPriority w:val="99"/>
    <w:unhideWhenUsed/>
    <w:rsid w:val="00EA4676"/>
    <w:rPr>
      <w:color w:val="2B579A"/>
      <w:shd w:val="clear" w:color="auto" w:fill="E1DFDD"/>
    </w:rPr>
  </w:style>
  <w:style w:type="character" w:styleId="Fett">
    <w:name w:val="Strong"/>
    <w:basedOn w:val="Absatz-Standardschriftart"/>
    <w:rsid w:val="00EA4676"/>
    <w:rPr>
      <w:b/>
      <w:bCs/>
    </w:rPr>
  </w:style>
  <w:style w:type="character" w:customStyle="1" w:styleId="FunotentextZchn">
    <w:name w:val="Fußnotentext Zchn"/>
    <w:basedOn w:val="Absatz-Standardschriftart"/>
    <w:link w:val="Funotentext"/>
    <w:uiPriority w:val="99"/>
    <w:rsid w:val="007B448B"/>
    <w:rPr>
      <w:rFonts w:ascii="Open Sans SemiCondensed" w:hAnsi="Open Sans SemiCondensed"/>
      <w:spacing w:val="-4"/>
      <w:sz w:val="18"/>
    </w:rPr>
  </w:style>
  <w:style w:type="table" w:styleId="Gitternetztabelle1hell">
    <w:name w:val="Grid Table 1 Light"/>
    <w:basedOn w:val="NormaleTabelle"/>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unhideWhenUsed/>
    <w:rsid w:val="00853805"/>
    <w:rPr>
      <w:color w:val="605E5C"/>
      <w:shd w:val="clear" w:color="auto" w:fill="E1DFDD"/>
    </w:rPr>
  </w:style>
  <w:style w:type="character" w:styleId="Kommentarzeichen">
    <w:name w:val="annotation reference"/>
    <w:basedOn w:val="Absatz-Standardschriftart"/>
    <w:uiPriority w:val="99"/>
    <w:semiHidden/>
    <w:unhideWhenUsed/>
    <w:rsid w:val="00D02DE1"/>
    <w:rPr>
      <w:sz w:val="16"/>
      <w:szCs w:val="16"/>
    </w:rPr>
  </w:style>
  <w:style w:type="paragraph" w:styleId="Kommentartext">
    <w:name w:val="annotation text"/>
    <w:basedOn w:val="Standard"/>
    <w:link w:val="KommentartextZchn"/>
    <w:uiPriority w:val="99"/>
    <w:unhideWhenUsed/>
    <w:rsid w:val="00D02DE1"/>
    <w:pPr>
      <w:spacing w:line="240" w:lineRule="auto"/>
    </w:pPr>
  </w:style>
  <w:style w:type="character" w:customStyle="1" w:styleId="KommentartextZchn">
    <w:name w:val="Kommentartext Zchn"/>
    <w:basedOn w:val="Absatz-Standardschriftart"/>
    <w:link w:val="Kommentartext"/>
    <w:uiPriority w:val="99"/>
    <w:rsid w:val="00D02DE1"/>
    <w:rPr>
      <w:rFonts w:ascii="Open Sans SemiCondensed" w:hAnsi="Open Sans SemiCondensed"/>
      <w:sz w:val="20"/>
      <w:szCs w:val="20"/>
    </w:rPr>
  </w:style>
  <w:style w:type="character" w:customStyle="1" w:styleId="UntertitelZchn">
    <w:name w:val="Untertitel Zchn"/>
    <w:basedOn w:val="Absatz-Standardschriftart"/>
    <w:link w:val="Untertitel"/>
    <w:rsid w:val="00EF7CFB"/>
    <w:rPr>
      <w:rFonts w:ascii="Open Sans SemiCondensed" w:eastAsiaTheme="majorEastAsia" w:hAnsi="Open Sans SemiCondensed" w:cstheme="majorBidi"/>
      <w:bCs/>
      <w:spacing w:val="20"/>
      <w:szCs w:val="30"/>
    </w:rPr>
  </w:style>
  <w:style w:type="table" w:styleId="Tabellenraster">
    <w:name w:val="Table Grid"/>
    <w:basedOn w:val="NormaleTabelle"/>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Standard"/>
    <w:link w:val="HervorhebungCar"/>
    <w:qFormat/>
    <w:rsid w:val="003D502F"/>
    <w:rPr>
      <w:bCs/>
      <w:i/>
      <w:color w:val="D31932" w:themeColor="accent1"/>
      <w:spacing w:val="10"/>
      <w:szCs w:val="22"/>
    </w:rPr>
  </w:style>
  <w:style w:type="character" w:customStyle="1" w:styleId="HervorhebungCar">
    <w:name w:val="Hervorhebung Car"/>
    <w:basedOn w:val="Absatz-Standardschriftart"/>
    <w:link w:val="Hervorhebung1"/>
    <w:rsid w:val="003D502F"/>
    <w:rPr>
      <w:bCs/>
      <w:i/>
      <w:color w:val="D31932" w:themeColor="accent1"/>
      <w:spacing w:val="10"/>
      <w:szCs w:val="22"/>
    </w:rPr>
  </w:style>
  <w:style w:type="paragraph" w:customStyle="1" w:styleId="Zitat1">
    <w:name w:val="Zitat1"/>
    <w:basedOn w:val="Standard"/>
    <w:next w:val="Textkrper"/>
    <w:qFormat/>
    <w:rsid w:val="00157D7E"/>
    <w:pPr>
      <w:spacing w:before="120" w:after="240"/>
      <w:ind w:left="284" w:right="567"/>
      <w:jc w:val="both"/>
    </w:pPr>
    <w:rPr>
      <w:i/>
      <w:iCs/>
      <w:noProof/>
      <w:color w:val="262626" w:themeColor="text1" w:themeTint="D9"/>
    </w:rPr>
  </w:style>
  <w:style w:type="paragraph" w:styleId="Kommentarthema">
    <w:name w:val="annotation subject"/>
    <w:basedOn w:val="Kommentartext"/>
    <w:next w:val="Kommentartext"/>
    <w:link w:val="KommentarthemaZchn"/>
    <w:semiHidden/>
    <w:unhideWhenUsed/>
    <w:rsid w:val="000302CB"/>
    <w:rPr>
      <w:b/>
      <w:bCs/>
    </w:rPr>
  </w:style>
  <w:style w:type="character" w:customStyle="1" w:styleId="KommentarthemaZchn">
    <w:name w:val="Kommentarthema Zchn"/>
    <w:basedOn w:val="KommentartextZchn"/>
    <w:link w:val="Kommentarthema"/>
    <w:semiHidden/>
    <w:rsid w:val="000302CB"/>
    <w:rPr>
      <w:rFonts w:ascii="Open Sans SemiCondensed" w:hAnsi="Open Sans SemiCondensed"/>
      <w:b/>
      <w:bCs/>
      <w:spacing w:val="-4"/>
      <w:sz w:val="20"/>
      <w:szCs w:val="20"/>
    </w:rPr>
  </w:style>
  <w:style w:type="paragraph" w:styleId="Listennummer">
    <w:name w:val="List Number"/>
    <w:basedOn w:val="Standard"/>
    <w:unhideWhenUsed/>
    <w:qFormat/>
    <w:rsid w:val="00ED473A"/>
    <w:pPr>
      <w:numPr>
        <w:numId w:val="2"/>
      </w:numPr>
      <w:ind w:left="527" w:hanging="357"/>
      <w:contextualSpacing/>
    </w:pPr>
    <w:rPr>
      <w:lang w:val="fr-CH"/>
    </w:rPr>
  </w:style>
  <w:style w:type="character" w:styleId="HTMLTastatur">
    <w:name w:val="HTML Keyboard"/>
    <w:basedOn w:val="Absatz-Standardschriftart"/>
    <w:semiHidden/>
    <w:unhideWhenUsed/>
    <w:rsid w:val="00120CBF"/>
    <w:rPr>
      <w:rFonts w:ascii="Open Sans SemiCondensed" w:hAnsi="Open Sans SemiCondensed"/>
      <w:sz w:val="20"/>
      <w:szCs w:val="20"/>
    </w:rPr>
  </w:style>
  <w:style w:type="character" w:styleId="HTMLCode">
    <w:name w:val="HTML Code"/>
    <w:basedOn w:val="Absatz-Standardschriftart"/>
    <w:semiHidden/>
    <w:unhideWhenUsed/>
    <w:rsid w:val="00120CBF"/>
    <w:rPr>
      <w:rFonts w:ascii="Open Sans SemiCondensed" w:hAnsi="Open Sans SemiCondensed"/>
      <w:sz w:val="20"/>
      <w:szCs w:val="20"/>
    </w:rPr>
  </w:style>
  <w:style w:type="paragraph" w:styleId="Dokumentstruktur">
    <w:name w:val="Document Map"/>
    <w:basedOn w:val="Standard"/>
    <w:link w:val="DokumentstrukturZchn"/>
    <w:semiHidden/>
    <w:unhideWhenUsed/>
    <w:rsid w:val="00120CBF"/>
    <w:pPr>
      <w:spacing w:line="240" w:lineRule="auto"/>
    </w:pPr>
    <w:rPr>
      <w:sz w:val="16"/>
      <w:szCs w:val="16"/>
    </w:rPr>
  </w:style>
  <w:style w:type="character" w:customStyle="1" w:styleId="DokumentstrukturZchn">
    <w:name w:val="Dokumentstruktur Zchn"/>
    <w:basedOn w:val="Absatz-Standardschriftart"/>
    <w:link w:val="Dokumentstruktur"/>
    <w:semiHidden/>
    <w:rsid w:val="00120CBF"/>
    <w:rPr>
      <w:rFonts w:ascii="Open Sans SemiCondensed" w:hAnsi="Open Sans SemiCondensed"/>
      <w:spacing w:val="-4"/>
      <w:sz w:val="16"/>
      <w:szCs w:val="16"/>
    </w:rPr>
  </w:style>
  <w:style w:type="character" w:styleId="HTMLBeispiel">
    <w:name w:val="HTML Sample"/>
    <w:basedOn w:val="Absatz-Standardschriftart"/>
    <w:semiHidden/>
    <w:unhideWhenUsed/>
    <w:rsid w:val="00120CBF"/>
    <w:rPr>
      <w:rFonts w:ascii="Open Sans SemiCondensed" w:hAnsi="Open Sans SemiCondensed"/>
      <w:sz w:val="24"/>
      <w:szCs w:val="24"/>
    </w:rPr>
  </w:style>
  <w:style w:type="table" w:styleId="MittlereListe2">
    <w:name w:val="Medium List 2"/>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Umschlagadresse">
    <w:name w:val="envelope address"/>
    <w:basedOn w:val="Standard"/>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Umschlagabsenderadresse">
    <w:name w:val="envelope return"/>
    <w:basedOn w:val="Standard"/>
    <w:semiHidden/>
    <w:unhideWhenUsed/>
    <w:rsid w:val="006676E2"/>
    <w:pPr>
      <w:spacing w:line="240" w:lineRule="auto"/>
    </w:pPr>
    <w:rPr>
      <w:rFonts w:eastAsiaTheme="majorEastAsia" w:cstheme="majorBidi"/>
    </w:rPr>
  </w:style>
  <w:style w:type="paragraph" w:styleId="Nachrichtenkopf">
    <w:name w:val="Message Header"/>
    <w:basedOn w:val="Standard"/>
    <w:link w:val="NachrichtenkopfZchn"/>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NachrichtenkopfZchn">
    <w:name w:val="Nachrichtenkopf Zchn"/>
    <w:basedOn w:val="Absatz-Standardschriftart"/>
    <w:link w:val="Nachrichtenkopf"/>
    <w:semiHidden/>
    <w:rsid w:val="006676E2"/>
    <w:rPr>
      <w:rFonts w:eastAsiaTheme="majorEastAsia" w:cstheme="majorBidi"/>
      <w:sz w:val="24"/>
      <w:szCs w:val="24"/>
      <w:shd w:val="pct20" w:color="auto" w:fill="auto"/>
    </w:rPr>
  </w:style>
  <w:style w:type="table" w:styleId="MittleresRaster2">
    <w:name w:val="Medium Grid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MittlereListe2-Akzent2">
    <w:name w:val="Medium List 2 Accent 2"/>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HTMLSchreibmaschine">
    <w:name w:val="HTML Typewriter"/>
    <w:basedOn w:val="Absatz-Standardschriftart"/>
    <w:semiHidden/>
    <w:unhideWhenUsed/>
    <w:rsid w:val="006676E2"/>
    <w:rPr>
      <w:rFonts w:ascii="Open Sans SemiCondensed" w:hAnsi="Open Sans SemiCondensed"/>
      <w:sz w:val="20"/>
      <w:szCs w:val="20"/>
    </w:rPr>
  </w:style>
  <w:style w:type="paragraph" w:styleId="StandardWeb">
    <w:name w:val="Normal (Web)"/>
    <w:basedOn w:val="Standard"/>
    <w:semiHidden/>
    <w:unhideWhenUsed/>
    <w:rsid w:val="006676E2"/>
    <w:rPr>
      <w:rFonts w:cs="Times New Roman"/>
      <w:sz w:val="24"/>
      <w:szCs w:val="24"/>
    </w:rPr>
  </w:style>
  <w:style w:type="paragraph" w:styleId="HTMLVorformatiert">
    <w:name w:val="HTML Preformatted"/>
    <w:basedOn w:val="Standard"/>
    <w:link w:val="HTMLVorformatiertZchn"/>
    <w:semiHidden/>
    <w:unhideWhenUsed/>
    <w:rsid w:val="006676E2"/>
    <w:pPr>
      <w:spacing w:line="240" w:lineRule="auto"/>
    </w:pPr>
  </w:style>
  <w:style w:type="character" w:customStyle="1" w:styleId="HTMLVorformatiertZchn">
    <w:name w:val="HTML Vorformatiert Zchn"/>
    <w:basedOn w:val="Absatz-Standardschriftart"/>
    <w:link w:val="HTMLVorformatiert"/>
    <w:semiHidden/>
    <w:rsid w:val="006676E2"/>
  </w:style>
  <w:style w:type="paragraph" w:styleId="NurText">
    <w:name w:val="Plain Text"/>
    <w:basedOn w:val="Standard"/>
    <w:link w:val="NurTextZchn"/>
    <w:semiHidden/>
    <w:unhideWhenUsed/>
    <w:rsid w:val="006676E2"/>
    <w:pPr>
      <w:spacing w:line="240" w:lineRule="auto"/>
    </w:pPr>
    <w:rPr>
      <w:sz w:val="21"/>
      <w:szCs w:val="21"/>
    </w:rPr>
  </w:style>
  <w:style w:type="character" w:customStyle="1" w:styleId="NurTextZchn">
    <w:name w:val="Nur Text Zchn"/>
    <w:basedOn w:val="Absatz-Standardschriftart"/>
    <w:link w:val="NurText"/>
    <w:semiHidden/>
    <w:rsid w:val="006676E2"/>
    <w:rPr>
      <w:sz w:val="21"/>
      <w:szCs w:val="21"/>
    </w:rPr>
  </w:style>
  <w:style w:type="paragraph" w:styleId="Sprechblasentext">
    <w:name w:val="Balloon Text"/>
    <w:basedOn w:val="Standard"/>
    <w:link w:val="SprechblasentextZchn"/>
    <w:semiHidden/>
    <w:unhideWhenUsed/>
    <w:rsid w:val="006676E2"/>
    <w:pPr>
      <w:spacing w:line="240" w:lineRule="auto"/>
    </w:pPr>
    <w:rPr>
      <w:sz w:val="18"/>
      <w:szCs w:val="18"/>
    </w:rPr>
  </w:style>
  <w:style w:type="character" w:customStyle="1" w:styleId="SprechblasentextZchn">
    <w:name w:val="Sprechblasentext Zchn"/>
    <w:basedOn w:val="Absatz-Standardschriftart"/>
    <w:link w:val="Sprechblasentext"/>
    <w:semiHidden/>
    <w:rsid w:val="006676E2"/>
    <w:rPr>
      <w:rFonts w:ascii="Open Sans SemiCondensed" w:hAnsi="Open Sans SemiCondensed"/>
      <w:sz w:val="18"/>
      <w:szCs w:val="18"/>
    </w:rPr>
  </w:style>
  <w:style w:type="paragraph" w:styleId="Makrotext">
    <w:name w:val="macro"/>
    <w:link w:val="MakrotextZchn"/>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MakrotextZchn">
    <w:name w:val="Makrotext Zchn"/>
    <w:basedOn w:val="Absatz-Standardschriftart"/>
    <w:link w:val="Makrotext"/>
    <w:semiHidden/>
    <w:rsid w:val="006676E2"/>
  </w:style>
  <w:style w:type="paragraph" w:styleId="Indexberschrift">
    <w:name w:val="index heading"/>
    <w:basedOn w:val="Standard"/>
    <w:next w:val="Index1"/>
    <w:semiHidden/>
    <w:unhideWhenUsed/>
    <w:rsid w:val="006676E2"/>
    <w:rPr>
      <w:rFonts w:eastAsiaTheme="majorEastAsia" w:cstheme="majorBidi"/>
      <w:b/>
      <w:bCs/>
    </w:rPr>
  </w:style>
  <w:style w:type="paragraph" w:styleId="RGV-berschrift">
    <w:name w:val="toa heading"/>
    <w:basedOn w:val="Standard"/>
    <w:next w:val="Standard"/>
    <w:semiHidden/>
    <w:unhideWhenUsed/>
    <w:rsid w:val="006676E2"/>
    <w:pPr>
      <w:spacing w:before="120"/>
    </w:pPr>
    <w:rPr>
      <w:rFonts w:eastAsiaTheme="majorEastAsia" w:cstheme="majorBidi"/>
      <w:b/>
      <w:bCs/>
      <w:sz w:val="24"/>
      <w:szCs w:val="24"/>
    </w:rPr>
  </w:style>
  <w:style w:type="numbering" w:styleId="ArtikelAbschnitt">
    <w:name w:val="Outline List 3"/>
    <w:basedOn w:val="KeineListe"/>
    <w:semiHidden/>
    <w:unhideWhenUsed/>
    <w:rsid w:val="00153133"/>
    <w:pPr>
      <w:numPr>
        <w:numId w:val="3"/>
      </w:numPr>
    </w:pPr>
  </w:style>
  <w:style w:type="paragraph" w:styleId="Listennummer2">
    <w:name w:val="List Number 2"/>
    <w:basedOn w:val="Listennummer"/>
    <w:unhideWhenUsed/>
    <w:rsid w:val="00382314"/>
    <w:pPr>
      <w:numPr>
        <w:ilvl w:val="1"/>
      </w:numPr>
      <w:ind w:left="851" w:hanging="425"/>
    </w:pPr>
    <w:rPr>
      <w:rFonts w:cs="Open Sans SemiCondensed"/>
    </w:rPr>
  </w:style>
  <w:style w:type="paragraph" w:styleId="Listennummer3">
    <w:name w:val="List Number 3"/>
    <w:basedOn w:val="Listennummer"/>
    <w:unhideWhenUsed/>
    <w:rsid w:val="00382314"/>
    <w:pPr>
      <w:numPr>
        <w:ilvl w:val="2"/>
      </w:numPr>
    </w:pPr>
    <w:rPr>
      <w:rFonts w:cs="Open Sans SemiCondensed"/>
    </w:rPr>
  </w:style>
  <w:style w:type="character" w:styleId="BesuchterLink">
    <w:name w:val="FollowedHyperlink"/>
    <w:basedOn w:val="Absatz-Standardschriftart"/>
    <w:semiHidden/>
    <w:unhideWhenUsed/>
    <w:rsid w:val="009E5005"/>
    <w:rPr>
      <w:color w:val="252B46" w:themeColor="followedHyperlink"/>
      <w:u w:val="single"/>
    </w:rPr>
  </w:style>
  <w:style w:type="paragraph" w:customStyle="1" w:styleId="WichtigBox">
    <w:name w:val="Wichtig Box"/>
    <w:basedOn w:val="Textkrper"/>
    <w:qFormat/>
    <w:rsid w:val="00037AE3"/>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9EC5D6" w:themeFill="accent5" w:themeFillTint="99"/>
    </w:pPr>
    <w:rPr>
      <w:lang w:val="fr-CH"/>
    </w:rPr>
  </w:style>
  <w:style w:type="paragraph" w:customStyle="1" w:styleId="Fragen">
    <w:name w:val="Fragen"/>
    <w:basedOn w:val="Textkrper"/>
    <w:next w:val="Textkrper"/>
    <w:qFormat/>
    <w:rsid w:val="0003314D"/>
    <w:pPr>
      <w:pBdr>
        <w:left w:val="single" w:sz="12" w:space="4" w:color="D31932" w:themeColor="accent1"/>
      </w:pBdr>
      <w:spacing w:before="120"/>
      <w:ind w:left="170"/>
    </w:pPr>
    <w:rPr>
      <w:color w:val="D31932" w:themeColor="accent1"/>
    </w:rPr>
  </w:style>
  <w:style w:type="table" w:styleId="Gitternetztabelle2">
    <w:name w:val="Grid Table 2"/>
    <w:basedOn w:val="NormaleTabelle"/>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Akzent4">
    <w:name w:val="List Table 3 Accent 4"/>
    <w:basedOn w:val="NormaleTabelle"/>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Listentabelle4Akzent6">
    <w:name w:val="List Table 4 Accent 6"/>
    <w:basedOn w:val="NormaleTabelle"/>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4Akzent1">
    <w:name w:val="List Table 4 Accent 1"/>
    <w:basedOn w:val="NormaleTabelle"/>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4Akzent2">
    <w:name w:val="List Table 4 Accent 2"/>
    <w:basedOn w:val="NormaleTabelle"/>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4">
    <w:name w:val="List Table 1 Light Accent 4"/>
    <w:basedOn w:val="NormaleTabelle"/>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Listentabelle1hellAkzent3">
    <w:name w:val="List Table 1 Light Accent 3"/>
    <w:basedOn w:val="NormaleTabelle"/>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Listentabelle1hellAkzent2">
    <w:name w:val="List Table 1 Light Accent 2"/>
    <w:basedOn w:val="NormaleTabelle"/>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Listentabelle1hellAkzent1">
    <w:name w:val="List Table 1 Light Accent 1"/>
    <w:basedOn w:val="NormaleTabelle"/>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Listentabelle2Akzent5">
    <w:name w:val="List Table 2 Accent 5"/>
    <w:basedOn w:val="NormaleTabelle"/>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Gitternetztabelle5dunkelAkzent6">
    <w:name w:val="Grid Table 5 Dark Accent 6"/>
    <w:basedOn w:val="NormaleTabelle"/>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Gitternetztabelle3Akzent6">
    <w:name w:val="Grid Table 3 Accent 6"/>
    <w:basedOn w:val="NormaleTabelle"/>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Gitternetztabelle4Akzent6">
    <w:name w:val="Grid Table 4 Accent 6"/>
    <w:basedOn w:val="NormaleTabelle"/>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Listentabelle1hellAkzent6">
    <w:name w:val="List Table 1 Light Accent 6"/>
    <w:basedOn w:val="NormaleTabelle"/>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Listentabelle3Akzent6">
    <w:name w:val="List Table 3 Accent 6"/>
    <w:basedOn w:val="NormaleTabelle"/>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Listentabelle3Akzent5">
    <w:name w:val="List Table 3 Accent 5"/>
    <w:basedOn w:val="NormaleTabelle"/>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Listentabelle3Akzent3">
    <w:name w:val="List Table 3 Accent 3"/>
    <w:basedOn w:val="NormaleTabelle"/>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Listentabelle3Akzent2">
    <w:name w:val="List Table 3 Accent 2"/>
    <w:basedOn w:val="NormaleTabelle"/>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Listentabelle3Akzent1">
    <w:name w:val="List Table 3 Accent 1"/>
    <w:basedOn w:val="NormaleTabelle"/>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Listentabelle4">
    <w:name w:val="List Table 4"/>
    <w:basedOn w:val="NormaleTabelle"/>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ntabelle3">
    <w:name w:val="List Table 3"/>
    <w:basedOn w:val="NormaleTabelle"/>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erarbeitung">
    <w:name w:val="Revision"/>
    <w:hidden/>
    <w:semiHidden/>
    <w:rsid w:val="00C82253"/>
    <w:pPr>
      <w:spacing w:after="0"/>
    </w:pPr>
    <w:rPr>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hyperlink" Target="http://dx.doi.org/10.1111/jppi.12168" TargetMode="External"/><Relationship Id="rId26" Type="http://schemas.openxmlformats.org/officeDocument/2006/relationships/hyperlink" Target="https://doi.org/10.1007/BF00292050" TargetMode="External"/><Relationship Id="rId39" Type="http://schemas.openxmlformats.org/officeDocument/2006/relationships/hyperlink" Target="https://doi.org/10.1111/jar.12319" TargetMode="External"/><Relationship Id="rId3" Type="http://schemas.openxmlformats.org/officeDocument/2006/relationships/customXml" Target="../customXml/item3.xml"/><Relationship Id="rId21" Type="http://schemas.openxmlformats.org/officeDocument/2006/relationships/hyperlink" Target="https://doi.org/10.1007/s10803-015-2563-x" TargetMode="External"/><Relationship Id="rId34" Type="http://schemas.openxmlformats.org/officeDocument/2006/relationships/hyperlink" Target="http://dx.doi.org/10.9782/JISNE-D-20-00012" TargetMode="External"/><Relationship Id="rId42" Type="http://schemas.openxmlformats.org/officeDocument/2006/relationships/hyperlink" Target="https://ies.ed.gov/ncser/2025/01/20113004-pdf" TargetMode="External"/><Relationship Id="rId47" Type="http://schemas.openxmlformats.org/officeDocument/2006/relationships/hyperlink" Target="http://dx.doi.org/10.1111/j.1468-3148.2006.00277.x" TargetMode="External"/><Relationship Id="rId50"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mailto:gregorio.aviles@supsi.ch" TargetMode="External"/><Relationship Id="rId25" Type="http://schemas.openxmlformats.org/officeDocument/2006/relationships/hyperlink" Target="https://doi.org/10.1016/j.ridd.2011.08.024" TargetMode="External"/><Relationship Id="rId33" Type="http://schemas.openxmlformats.org/officeDocument/2006/relationships/hyperlink" Target="http://dx.doi.org/10.37366/jpgsd.v5i01.4638" TargetMode="External"/><Relationship Id="rId38" Type="http://schemas.openxmlformats.org/officeDocument/2006/relationships/hyperlink" Target="https://doi.org/10.1111/j.1365-2788.2005.00746.x" TargetMode="External"/><Relationship Id="rId46" Type="http://schemas.openxmlformats.org/officeDocument/2006/relationships/hyperlink" Target="https://doi.org/10.1080/08856257.2022.2148600" TargetMode="External"/><Relationship Id="rId2" Type="http://schemas.openxmlformats.org/officeDocument/2006/relationships/customXml" Target="../customXml/item2.xml"/><Relationship Id="rId16" Type="http://schemas.openxmlformats.org/officeDocument/2006/relationships/hyperlink" Target="mailto:elisa.geronimi@supsi.ch" TargetMode="External"/><Relationship Id="rId20" Type="http://schemas.openxmlformats.org/officeDocument/2006/relationships/hyperlink" Target="http://dx.doi.org/10.1111/j.1468-3148.2009.00534.x" TargetMode="External"/><Relationship Id="rId29" Type="http://schemas.openxmlformats.org/officeDocument/2006/relationships/hyperlink" Target="https://doi.org/10.4102/ajod.v6i0.298" TargetMode="External"/><Relationship Id="rId41" Type="http://schemas.openxmlformats.org/officeDocument/2006/relationships/hyperlink" Target="https://eric.ed.gov/?id=ED60508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r2025-02-06" TargetMode="External"/><Relationship Id="rId24" Type="http://schemas.openxmlformats.org/officeDocument/2006/relationships/hyperlink" Target="https://www.ilo.org/fr/publications/travail-decent-pour-les-personnes-handicapees-promouvoir-les-droits-dans-le" TargetMode="External"/><Relationship Id="rId32" Type="http://schemas.openxmlformats.org/officeDocument/2006/relationships/hyperlink" Target="https://doi.org/10.3109/09638288.2012.660603" TargetMode="External"/><Relationship Id="rId37" Type="http://schemas.openxmlformats.org/officeDocument/2006/relationships/hyperlink" Target="https://doi.org/10.3233/wor-2009-0851" TargetMode="External"/><Relationship Id="rId40" Type="http://schemas.openxmlformats.org/officeDocument/2006/relationships/hyperlink" Target="https://doi.org/10.3109/09638288.2010.514018" TargetMode="External"/><Relationship Id="rId45" Type="http://schemas.openxmlformats.org/officeDocument/2006/relationships/hyperlink" Target="https://doi.org/10.1111/jar.12632" TargetMode="External"/><Relationship Id="rId53"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hyperlink" Target="http://dx.doi.org/10.1016/j.ridd.2016.02.015" TargetMode="External"/><Relationship Id="rId28" Type="http://schemas.openxmlformats.org/officeDocument/2006/relationships/hyperlink" Target="https://journals.sagepub.com/doi/pdf/10.3233/JVR-1999-00047" TargetMode="External"/><Relationship Id="rId36" Type="http://schemas.openxmlformats.org/officeDocument/2006/relationships/hyperlink" Target="https://doi.org/10.1111/j.1468-3148.2007.00365.x" TargetMode="External"/><Relationship Id="rId49" Type="http://schemas.openxmlformats.org/officeDocument/2006/relationships/hyperlink" Target="https://psycnet.apa.org/doi/10.1080/09687590802535725" TargetMode="External"/><Relationship Id="rId10" Type="http://schemas.openxmlformats.org/officeDocument/2006/relationships/endnotes" Target="endnotes.xml"/><Relationship Id="rId19" Type="http://schemas.openxmlformats.org/officeDocument/2006/relationships/hyperlink" Target="https://www.researchgate.net/publication/310490696_Best_Practices_in_the_Transition_to_Work_Services_for_Students_with_Intellectual_Disability_Perspectives_by_Gender_from_Saudi_Arabia" TargetMode="External"/><Relationship Id="rId31" Type="http://schemas.openxmlformats.org/officeDocument/2006/relationships/hyperlink" Target="https://pubmed.ncbi.nlm.nih.gov/6460487/" TargetMode="External"/><Relationship Id="rId44" Type="http://schemas.openxmlformats.org/officeDocument/2006/relationships/hyperlink" Target="https://iris.who.int/handle/10665/42418"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hyperlink" Target="https://doi.org/10.1177/001440299606200502" TargetMode="External"/><Relationship Id="rId27" Type="http://schemas.openxmlformats.org/officeDocument/2006/relationships/hyperlink" Target="http://dx.doi.org/10.3233/JVR-180950" TargetMode="External"/><Relationship Id="rId30" Type="http://schemas.openxmlformats.org/officeDocument/2006/relationships/hyperlink" Target="https://doi.org/10.1111/j.1365-2788.1997.tb00689.x" TargetMode="External"/><Relationship Id="rId35" Type="http://schemas.openxmlformats.org/officeDocument/2006/relationships/hyperlink" Target="https://www.inserm.fr/expertise-collective/deficiences-intellectuelles/" TargetMode="External"/><Relationship Id="rId43" Type="http://schemas.openxmlformats.org/officeDocument/2006/relationships/hyperlink" Target="https://www.who.int/tools/whoqol" TargetMode="External"/><Relationship Id="rId48" Type="http://schemas.openxmlformats.org/officeDocument/2006/relationships/hyperlink" Target="https://doi.org/10.1007/s10926-014-9541-6" TargetMode="External"/><Relationship Id="rId8" Type="http://schemas.openxmlformats.org/officeDocument/2006/relationships/webSettings" Target="webSettings.xml"/><Relationship Id="rId51"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ancJosquin\SZH%20CSPS\Daten_Allgemein%20-%20Dokumente\General\2_Produkte\52_Revue\RV02_Redaction\Revue_2025\02_Sant&#233;%20mentale\Layout%20R02.2025.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27681858B7D484080A6C8E6830BC98C" ma:contentTypeVersion="19" ma:contentTypeDescription="Crée un document." ma:contentTypeScope="" ma:versionID="243fb023e4ddb608d117a77b56c3fbd3">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6fbe3316efade40d4e1c5b3edc4dc08a"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customXml/itemProps2.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3.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4.xml><?xml version="1.0" encoding="utf-8"?>
<ds:datastoreItem xmlns:ds="http://schemas.openxmlformats.org/officeDocument/2006/customXml" ds:itemID="{0FB3B9E6-84A1-44E1-9BC8-551EC1DAC4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555f21-dda2-40b2-9e67-0c5126acc9bb"/>
    <ds:schemaRef ds:uri="4fd9addd-010e-4f5f-8f1c-4194eaaa35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32538a4-939e-4f12-952e-e33cf9e5689d}" enabled="0" method="" siteId="{832538a4-939e-4f12-952e-e33cf9e5689d}" removed="1"/>
</clbl:labelList>
</file>

<file path=docProps/app.xml><?xml version="1.0" encoding="utf-8"?>
<Properties xmlns="http://schemas.openxmlformats.org/officeDocument/2006/extended-properties" xmlns:vt="http://schemas.openxmlformats.org/officeDocument/2006/docPropsVTypes">
  <Template>Layout R02.2025</Template>
  <TotalTime>0</TotalTime>
  <Pages>6</Pages>
  <Words>3793</Words>
  <Characters>20864</Characters>
  <Application>Microsoft Office Word</Application>
  <DocSecurity>0</DocSecurity>
  <Lines>173</Lines>
  <Paragraphs>49</Paragraphs>
  <ScaleCrop>false</ScaleCrop>
  <HeadingPairs>
    <vt:vector size="6" baseType="variant">
      <vt:variant>
        <vt:lpstr>Titre</vt:lpstr>
      </vt:variant>
      <vt:variant>
        <vt:i4>1</vt:i4>
      </vt:variant>
      <vt:variant>
        <vt:lpstr>Titel</vt:lpstr>
      </vt:variant>
      <vt:variant>
        <vt:i4>1</vt:i4>
      </vt:variant>
      <vt:variant>
        <vt:lpstr>Titolo</vt:lpstr>
      </vt:variant>
      <vt:variant>
        <vt:i4>1</vt:i4>
      </vt:variant>
    </vt:vector>
  </HeadingPairs>
  <TitlesOfParts>
    <vt:vector size="3" baseType="lpstr">
      <vt:lpstr>De l’école à l’emploi_x000d_</vt:lpstr>
      <vt:lpstr>De l’école à l’emploi_x000d_</vt:lpstr>
      <vt:lpstr>Title</vt:lpstr>
    </vt:vector>
  </TitlesOfParts>
  <Company/>
  <LinksUpToDate>false</LinksUpToDate>
  <CharactersWithSpaces>24608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l’école à l’emploi_x000d_</dc:title>
  <dc:creator>Elisa Geronimi;Gregorio Avilés _x000d_</dc:creator>
  <cp:keywords>emploi, handicap qualité de vie, jeune adulte, passage à la vie active, / Behinderung, Beschäftigung, junge Erwachsene, Lebensqualität, Übergang zur Arbeitswelt, </cp:keywords>
  <cp:lastModifiedBy>Winkler, Elodie</cp:lastModifiedBy>
  <cp:revision>154</cp:revision>
  <cp:lastPrinted>2022-07-01T12:31:00Z</cp:lastPrinted>
  <dcterms:created xsi:type="dcterms:W3CDTF">2025-04-16T17:10:00Z</dcterms:created>
  <dcterms:modified xsi:type="dcterms:W3CDTF">2025-05-28T09:07:00Z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