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E2D0" w14:textId="7AD0C222" w:rsidR="00B3770E" w:rsidRPr="00251FA2" w:rsidRDefault="008A1031" w:rsidP="000A3A52">
      <w:pPr>
        <w:pStyle w:val="Titel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>Enjeux et</w:t>
      </w:r>
      <w:r w:rsidR="005144F9" w:rsidRPr="00251FA2">
        <w:rPr>
          <w:rFonts w:eastAsiaTheme="minorEastAsia" w:cs="Open Sans SemiCondensed"/>
          <w:noProof/>
          <w:lang w:val="fr-CH"/>
        </w:rPr>
        <w:t xml:space="preserve"> inégalités du système de formation professionnelle suisse</w:t>
      </w:r>
      <w:r w:rsidR="00E909F1" w:rsidRPr="00251FA2">
        <w:rPr>
          <w:rFonts w:eastAsiaTheme="minorEastAsia" w:cs="Open Sans SemiCondensed"/>
          <w:noProof/>
          <w:lang w:val="fr-CH"/>
        </w:rPr>
        <w:t xml:space="preserve"> </w:t>
      </w:r>
      <w:r w:rsidR="00B3770E" w:rsidRPr="00251FA2">
        <w:rPr>
          <w:rFonts w:eastAsiaTheme="minorEastAsia" w:cs="Open Sans SemiCondensed"/>
          <w:noProof/>
          <w:lang w:val="fr-CH"/>
        </w:rPr>
        <w:t>dans le contexte</w:t>
      </w:r>
      <w:r w:rsidR="00E909F1" w:rsidRPr="00251FA2">
        <w:rPr>
          <w:rFonts w:eastAsiaTheme="minorEastAsia" w:cs="Open Sans SemiCondensed"/>
          <w:noProof/>
          <w:lang w:val="fr-CH"/>
        </w:rPr>
        <w:t xml:space="preserve"> de la transition école-travail</w:t>
      </w:r>
    </w:p>
    <w:p w14:paraId="39C50242" w14:textId="5ECE11C6" w:rsidR="008D356D" w:rsidRPr="00251FA2" w:rsidRDefault="00C005B1" w:rsidP="000A3A52">
      <w:pPr>
        <w:pStyle w:val="Untertitel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>É</w:t>
      </w:r>
      <w:r w:rsidR="00B3770E" w:rsidRPr="00251FA2">
        <w:rPr>
          <w:rFonts w:eastAsiaTheme="minorEastAsia" w:cs="Open Sans SemiCondensed"/>
          <w:noProof/>
          <w:lang w:val="fr-CH"/>
        </w:rPr>
        <w:t xml:space="preserve">clairage à partir du phénomène des </w:t>
      </w:r>
      <w:r w:rsidR="00E909F1" w:rsidRPr="00251FA2">
        <w:rPr>
          <w:rFonts w:eastAsiaTheme="minorEastAsia" w:cs="Open Sans SemiCondensed"/>
          <w:noProof/>
          <w:lang w:val="fr-CH"/>
        </w:rPr>
        <w:t>résiliations de contrat d’apprentissage</w:t>
      </w:r>
    </w:p>
    <w:p w14:paraId="4E8103EA" w14:textId="1FA492BD" w:rsidR="001114E2" w:rsidRPr="00251FA2" w:rsidRDefault="00405460" w:rsidP="000A3A52">
      <w:pPr>
        <w:pStyle w:val="Author"/>
        <w:rPr>
          <w:rFonts w:eastAsiaTheme="minorEastAsia" w:cs="Open Sans SemiCondensed"/>
          <w:noProof/>
        </w:rPr>
      </w:pPr>
      <w:r w:rsidRPr="00251FA2">
        <w:rPr>
          <w:rFonts w:eastAsiaTheme="minorEastAsia" w:cs="Open Sans SemiCondensed"/>
          <w:noProof/>
        </w:rPr>
        <w:t>Barbara</w:t>
      </w:r>
      <w:r w:rsidR="00D9362A" w:rsidRPr="00251FA2">
        <w:rPr>
          <w:rFonts w:eastAsiaTheme="minorEastAsia" w:cs="Open Sans SemiCondensed"/>
          <w:noProof/>
        </w:rPr>
        <w:t> </w:t>
      </w:r>
      <w:r w:rsidR="00D14ABA" w:rsidRPr="00251FA2">
        <w:rPr>
          <w:rFonts w:eastAsiaTheme="minorEastAsia" w:cs="Open Sans SemiCondensed"/>
          <w:noProof/>
        </w:rPr>
        <w:t xml:space="preserve">Duc </w:t>
      </w:r>
      <w:r w:rsidR="00640A17" w:rsidRPr="00251FA2">
        <w:rPr>
          <w:rFonts w:eastAsiaTheme="minorEastAsia" w:cs="Open Sans SemiCondensed"/>
          <w:noProof/>
        </w:rPr>
        <w:t>et Nadia</w:t>
      </w:r>
      <w:r w:rsidR="00D9362A" w:rsidRPr="00251FA2">
        <w:rPr>
          <w:rFonts w:eastAsiaTheme="minorEastAsia" w:cs="Open Sans SemiCondensed"/>
          <w:noProof/>
        </w:rPr>
        <w:t> </w:t>
      </w:r>
      <w:r w:rsidR="00D14ABA" w:rsidRPr="00251FA2">
        <w:rPr>
          <w:rFonts w:eastAsiaTheme="minorEastAsia" w:cs="Open Sans SemiCondensed"/>
          <w:noProof/>
        </w:rPr>
        <w:t>Lamamra</w:t>
      </w:r>
    </w:p>
    <w:p w14:paraId="7E93F102" w14:textId="2F41D6F6" w:rsidR="00956F30" w:rsidRPr="00251FA2" w:rsidRDefault="004C13EB" w:rsidP="000A3A52">
      <w:pPr>
        <w:pStyle w:val="Abstract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>Résumé</w:t>
      </w:r>
      <w:r w:rsidR="000352CE" w:rsidRPr="00251FA2">
        <w:rPr>
          <w:rFonts w:eastAsiaTheme="minorEastAsia" w:cs="Open Sans SemiCondensed"/>
          <w:noProof/>
          <w:lang w:val="fr-CH"/>
        </w:rPr>
        <w:br/>
      </w:r>
      <w:r w:rsidR="00956F30" w:rsidRPr="00251FA2">
        <w:rPr>
          <w:rFonts w:eastAsiaTheme="minorEastAsia" w:cs="Open Sans SemiCondensed"/>
          <w:noProof/>
          <w:lang w:val="fr-CH"/>
        </w:rPr>
        <w:t xml:space="preserve">Cette contribution propose d’étudier la transition école-travail </w:t>
      </w:r>
      <w:r w:rsidR="00B06D50" w:rsidRPr="00251FA2">
        <w:rPr>
          <w:rFonts w:eastAsiaTheme="minorEastAsia" w:cs="Open Sans SemiCondensed"/>
          <w:noProof/>
          <w:lang w:val="fr-CH"/>
        </w:rPr>
        <w:t>à partir du</w:t>
      </w:r>
      <w:r w:rsidR="00BE3015" w:rsidRPr="00251FA2">
        <w:rPr>
          <w:rFonts w:eastAsiaTheme="minorEastAsia" w:cs="Open Sans SemiCondensed"/>
          <w:noProof/>
          <w:lang w:val="fr-CH"/>
        </w:rPr>
        <w:t xml:space="preserve"> phénomène de</w:t>
      </w:r>
      <w:r w:rsidR="00B3770E" w:rsidRPr="00251FA2">
        <w:rPr>
          <w:rFonts w:eastAsiaTheme="minorEastAsia" w:cs="Open Sans SemiCondensed"/>
          <w:noProof/>
          <w:lang w:val="fr-CH"/>
        </w:rPr>
        <w:t>s</w:t>
      </w:r>
      <w:r w:rsidR="00BE3015" w:rsidRPr="00251FA2">
        <w:rPr>
          <w:rFonts w:eastAsiaTheme="minorEastAsia" w:cs="Open Sans SemiCondensed"/>
          <w:noProof/>
          <w:lang w:val="fr-CH"/>
        </w:rPr>
        <w:t xml:space="preserve"> résiliation</w:t>
      </w:r>
      <w:r w:rsidR="00B3770E" w:rsidRPr="00251FA2">
        <w:rPr>
          <w:rFonts w:eastAsiaTheme="minorEastAsia" w:cs="Open Sans SemiCondensed"/>
          <w:noProof/>
          <w:lang w:val="fr-CH"/>
        </w:rPr>
        <w:t>s</w:t>
      </w:r>
      <w:r w:rsidR="00BE3015" w:rsidRPr="00251FA2">
        <w:rPr>
          <w:rFonts w:eastAsiaTheme="minorEastAsia" w:cs="Open Sans SemiCondensed"/>
          <w:noProof/>
          <w:lang w:val="fr-CH"/>
        </w:rPr>
        <w:t xml:space="preserve"> de contrat d’apprentissage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 (RCA). </w:t>
      </w:r>
      <w:r w:rsidR="009F6258" w:rsidRPr="00251FA2">
        <w:rPr>
          <w:rFonts w:eastAsiaTheme="minorEastAsia" w:cs="Open Sans SemiCondensed"/>
          <w:noProof/>
          <w:lang w:val="fr-CH"/>
        </w:rPr>
        <w:t>Elle s’appuie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 sur </w:t>
      </w:r>
      <w:r w:rsidR="00554824" w:rsidRPr="00251FA2">
        <w:rPr>
          <w:rFonts w:eastAsiaTheme="minorEastAsia" w:cs="Open Sans SemiCondensed"/>
          <w:noProof/>
          <w:lang w:val="fr-CH"/>
        </w:rPr>
        <w:t xml:space="preserve">deux </w:t>
      </w:r>
      <w:r w:rsidR="008547EA" w:rsidRPr="00251FA2">
        <w:rPr>
          <w:rFonts w:eastAsiaTheme="minorEastAsia" w:cs="Open Sans SemiCondensed"/>
          <w:noProof/>
          <w:lang w:val="fr-CH"/>
        </w:rPr>
        <w:t xml:space="preserve">projets 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de recherche </w:t>
      </w:r>
      <w:r w:rsidR="00B06D50" w:rsidRPr="00251FA2">
        <w:rPr>
          <w:rFonts w:eastAsiaTheme="minorEastAsia" w:cs="Open Sans SemiCondensed"/>
          <w:noProof/>
          <w:lang w:val="fr-CH"/>
        </w:rPr>
        <w:t>portant sur</w:t>
      </w:r>
      <w:r w:rsidR="009F6258" w:rsidRPr="00251FA2">
        <w:rPr>
          <w:rFonts w:eastAsiaTheme="minorEastAsia" w:cs="Open Sans SemiCondensed"/>
          <w:noProof/>
          <w:lang w:val="fr-CH"/>
        </w:rPr>
        <w:t xml:space="preserve"> </w:t>
      </w:r>
      <w:r w:rsidR="002451E3" w:rsidRPr="00251FA2">
        <w:rPr>
          <w:rFonts w:eastAsiaTheme="minorEastAsia" w:cs="Open Sans SemiCondensed"/>
          <w:noProof/>
          <w:lang w:val="fr-CH"/>
        </w:rPr>
        <w:t>troi</w:t>
      </w:r>
      <w:r w:rsidR="008547EA" w:rsidRPr="00251FA2">
        <w:rPr>
          <w:rFonts w:eastAsiaTheme="minorEastAsia" w:cs="Open Sans SemiCondensed"/>
          <w:noProof/>
          <w:lang w:val="fr-CH"/>
        </w:rPr>
        <w:t>s filières de formation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 </w:t>
      </w:r>
      <w:r w:rsidR="00964112" w:rsidRPr="00251FA2">
        <w:rPr>
          <w:rFonts w:eastAsiaTheme="minorEastAsia" w:cs="Open Sans SemiCondensed"/>
          <w:noProof/>
          <w:lang w:val="fr-CH"/>
        </w:rPr>
        <w:t xml:space="preserve">conduisant à </w:t>
      </w:r>
      <w:r w:rsidR="00B06D50" w:rsidRPr="00251FA2">
        <w:rPr>
          <w:rFonts w:eastAsiaTheme="minorEastAsia" w:cs="Open Sans SemiCondensed"/>
          <w:noProof/>
          <w:lang w:val="fr-CH"/>
        </w:rPr>
        <w:t>des</w:t>
      </w:r>
      <w:r w:rsidR="00964112" w:rsidRPr="00251FA2">
        <w:rPr>
          <w:rFonts w:eastAsiaTheme="minorEastAsia" w:cs="Open Sans SemiCondensed"/>
          <w:noProof/>
          <w:lang w:val="fr-CH"/>
        </w:rPr>
        <w:t xml:space="preserve"> niveaux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 </w:t>
      </w:r>
      <w:r w:rsidR="00964112" w:rsidRPr="00251FA2">
        <w:rPr>
          <w:rFonts w:eastAsiaTheme="minorEastAsia" w:cs="Open Sans SemiCondensed"/>
          <w:noProof/>
          <w:lang w:val="fr-CH"/>
        </w:rPr>
        <w:t xml:space="preserve">de </w:t>
      </w:r>
      <w:r w:rsidR="00F27D22" w:rsidRPr="00251FA2">
        <w:rPr>
          <w:rFonts w:eastAsiaTheme="minorEastAsia" w:cs="Open Sans SemiCondensed"/>
          <w:noProof/>
          <w:lang w:val="fr-CH"/>
        </w:rPr>
        <w:t>certification différent</w:t>
      </w:r>
      <w:r w:rsidR="0036036E" w:rsidRPr="00251FA2">
        <w:rPr>
          <w:rFonts w:eastAsiaTheme="minorEastAsia" w:cs="Open Sans SemiCondensed"/>
          <w:noProof/>
          <w:lang w:val="fr-CH"/>
        </w:rPr>
        <w:t>s</w:t>
      </w:r>
      <w:r w:rsidR="00964112" w:rsidRPr="00251FA2">
        <w:rPr>
          <w:rFonts w:eastAsiaTheme="minorEastAsia" w:cs="Open Sans SemiCondensed"/>
          <w:noProof/>
          <w:lang w:val="fr-CH"/>
        </w:rPr>
        <w:t xml:space="preserve"> : </w:t>
      </w:r>
      <w:r w:rsidR="00B06D50" w:rsidRPr="00251FA2">
        <w:rPr>
          <w:rFonts w:eastAsiaTheme="minorEastAsia" w:cs="Open Sans SemiCondensed"/>
          <w:noProof/>
          <w:lang w:val="fr-CH"/>
        </w:rPr>
        <w:t xml:space="preserve">les filières menant à un 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certificat </w:t>
      </w:r>
      <w:r w:rsidR="00B06D50" w:rsidRPr="00251FA2">
        <w:rPr>
          <w:rFonts w:eastAsiaTheme="minorEastAsia" w:cs="Open Sans SemiCondensed"/>
          <w:noProof/>
          <w:lang w:val="fr-CH"/>
        </w:rPr>
        <w:t xml:space="preserve">fédéral </w:t>
      </w:r>
      <w:r w:rsidR="00F27D22" w:rsidRPr="00251FA2">
        <w:rPr>
          <w:rFonts w:eastAsiaTheme="minorEastAsia" w:cs="Open Sans SemiCondensed"/>
          <w:noProof/>
          <w:lang w:val="fr-CH"/>
        </w:rPr>
        <w:t>de capacité (CFC)</w:t>
      </w:r>
      <w:r w:rsidR="00B06D50" w:rsidRPr="00251FA2">
        <w:rPr>
          <w:rFonts w:eastAsiaTheme="minorEastAsia" w:cs="Open Sans SemiCondensed"/>
          <w:noProof/>
          <w:lang w:val="fr-CH"/>
        </w:rPr>
        <w:t xml:space="preserve"> et à une </w:t>
      </w:r>
      <w:r w:rsidR="00F27D22" w:rsidRPr="00251FA2">
        <w:rPr>
          <w:rFonts w:eastAsiaTheme="minorEastAsia" w:cs="Open Sans SemiCondensed"/>
          <w:noProof/>
          <w:lang w:val="fr-CH"/>
        </w:rPr>
        <w:t>attest</w:t>
      </w:r>
      <w:r w:rsidR="002451E3" w:rsidRPr="00251FA2">
        <w:rPr>
          <w:rFonts w:eastAsiaTheme="minorEastAsia" w:cs="Open Sans SemiCondensed"/>
          <w:noProof/>
          <w:lang w:val="fr-CH"/>
        </w:rPr>
        <w:t>ati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on </w:t>
      </w:r>
      <w:r w:rsidR="00B06D50" w:rsidRPr="00251FA2">
        <w:rPr>
          <w:rFonts w:eastAsiaTheme="minorEastAsia" w:cs="Open Sans SemiCondensed"/>
          <w:noProof/>
          <w:lang w:val="fr-CH"/>
        </w:rPr>
        <w:t>fédérale professionnelle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 (AFP)</w:t>
      </w:r>
      <w:r w:rsidR="00B06D50" w:rsidRPr="00251FA2">
        <w:rPr>
          <w:rFonts w:eastAsiaTheme="minorEastAsia" w:cs="Open Sans SemiCondensed"/>
          <w:noProof/>
          <w:lang w:val="fr-CH"/>
        </w:rPr>
        <w:t>, et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 la </w:t>
      </w:r>
      <w:r w:rsidR="00957BD7" w:rsidRPr="00251FA2">
        <w:rPr>
          <w:rFonts w:eastAsiaTheme="minorEastAsia" w:cs="Open Sans SemiCondensed"/>
          <w:noProof/>
          <w:lang w:val="fr-CH"/>
        </w:rPr>
        <w:t>F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ormation </w:t>
      </w:r>
      <w:r w:rsidR="00957BD7" w:rsidRPr="00251FA2">
        <w:rPr>
          <w:rFonts w:eastAsiaTheme="minorEastAsia" w:cs="Open Sans SemiCondensed"/>
          <w:noProof/>
          <w:lang w:val="fr-CH"/>
        </w:rPr>
        <w:t>P</w:t>
      </w:r>
      <w:r w:rsidR="00F27D22" w:rsidRPr="00251FA2">
        <w:rPr>
          <w:rFonts w:eastAsiaTheme="minorEastAsia" w:cs="Open Sans SemiCondensed"/>
          <w:noProof/>
          <w:lang w:val="fr-CH"/>
        </w:rPr>
        <w:t>ratique</w:t>
      </w:r>
      <w:r w:rsidR="00957BD7" w:rsidRPr="00251FA2">
        <w:rPr>
          <w:rFonts w:eastAsiaTheme="minorEastAsia" w:cs="Open Sans SemiCondensed"/>
          <w:noProof/>
          <w:lang w:val="fr-CH"/>
        </w:rPr>
        <w:t xml:space="preserve"> suisse</w:t>
      </w:r>
      <w:r w:rsidR="00F27D22" w:rsidRPr="00251FA2">
        <w:rPr>
          <w:rFonts w:eastAsiaTheme="minorEastAsia" w:cs="Open Sans SemiCondensed"/>
          <w:noProof/>
          <w:lang w:val="fr-CH"/>
        </w:rPr>
        <w:t xml:space="preserve"> (FPra). </w:t>
      </w:r>
      <w:r w:rsidR="009F6258" w:rsidRPr="00251FA2">
        <w:rPr>
          <w:rFonts w:eastAsiaTheme="minorEastAsia" w:cs="Open Sans SemiCondensed"/>
          <w:noProof/>
          <w:lang w:val="fr-CH"/>
        </w:rPr>
        <w:t xml:space="preserve">Les entretiens menés avec des apprenties et apprentis après une RCA </w:t>
      </w:r>
      <w:r w:rsidR="00CE026A" w:rsidRPr="00251FA2">
        <w:rPr>
          <w:rFonts w:eastAsiaTheme="minorEastAsia" w:cs="Open Sans SemiCondensed"/>
          <w:noProof/>
          <w:lang w:val="fr-CH"/>
        </w:rPr>
        <w:t xml:space="preserve">éclairent différents enjeux </w:t>
      </w:r>
      <w:r w:rsidR="00B3770E" w:rsidRPr="00251FA2">
        <w:rPr>
          <w:rFonts w:eastAsiaTheme="minorEastAsia" w:cs="Open Sans SemiCondensed"/>
          <w:noProof/>
          <w:lang w:val="fr-CH"/>
        </w:rPr>
        <w:t xml:space="preserve">et inégalités </w:t>
      </w:r>
      <w:r w:rsidR="00CE026A" w:rsidRPr="00251FA2">
        <w:rPr>
          <w:rFonts w:eastAsiaTheme="minorEastAsia" w:cs="Open Sans SemiCondensed"/>
          <w:noProof/>
          <w:lang w:val="fr-CH"/>
        </w:rPr>
        <w:t>de la transition</w:t>
      </w:r>
      <w:r w:rsidR="00C005B1" w:rsidRPr="00251FA2">
        <w:rPr>
          <w:rFonts w:eastAsiaTheme="minorEastAsia" w:cs="Open Sans SemiCondensed"/>
          <w:noProof/>
          <w:lang w:val="fr-CH"/>
        </w:rPr>
        <w:t>,</w:t>
      </w:r>
      <w:r w:rsidR="00CE026A" w:rsidRPr="00251FA2">
        <w:rPr>
          <w:rFonts w:eastAsiaTheme="minorEastAsia" w:cs="Open Sans SemiCondensed"/>
          <w:noProof/>
          <w:lang w:val="fr-CH"/>
        </w:rPr>
        <w:t xml:space="preserve"> mais aussi du système de formation</w:t>
      </w:r>
      <w:r w:rsidR="00A46E57" w:rsidRPr="00251FA2">
        <w:rPr>
          <w:rFonts w:eastAsiaTheme="minorEastAsia" w:cs="Open Sans SemiCondensed"/>
          <w:noProof/>
          <w:lang w:val="fr-CH"/>
        </w:rPr>
        <w:t xml:space="preserve"> qui lui est lié</w:t>
      </w:r>
      <w:r w:rsidR="00CE026A" w:rsidRPr="00251FA2">
        <w:rPr>
          <w:rFonts w:eastAsiaTheme="minorEastAsia" w:cs="Open Sans SemiCondensed"/>
          <w:noProof/>
          <w:lang w:val="fr-CH"/>
        </w:rPr>
        <w:t>.</w:t>
      </w:r>
    </w:p>
    <w:p w14:paraId="7658EB63" w14:textId="22EB08D2" w:rsidR="00782F60" w:rsidRPr="001469B7" w:rsidRDefault="00985126" w:rsidP="7956BE57">
      <w:pPr>
        <w:pStyle w:val="Abstract"/>
        <w:rPr>
          <w:rFonts w:eastAsiaTheme="minorEastAsia" w:cs="Open Sans SemiCondensed"/>
          <w:noProof/>
          <w:lang w:val="de-CH"/>
        </w:rPr>
      </w:pPr>
      <w:r w:rsidRPr="001469B7">
        <w:rPr>
          <w:rFonts w:eastAsiaTheme="minorEastAsia" w:cs="Open Sans SemiCondensed"/>
          <w:noProof/>
          <w:lang w:val="de-CH"/>
        </w:rPr>
        <w:t>Zusammenfassung</w:t>
      </w:r>
      <w:r w:rsidRPr="001469B7">
        <w:rPr>
          <w:lang w:val="de-CH"/>
        </w:rPr>
        <w:br/>
      </w:r>
      <w:r w:rsidR="00945D56" w:rsidRPr="001469B7">
        <w:rPr>
          <w:rFonts w:eastAsiaTheme="minorEastAsia" w:cs="Open Sans SemiCondensed"/>
          <w:noProof/>
          <w:lang w:val="de-CH"/>
        </w:rPr>
        <w:t xml:space="preserve">Dieser Beitrag schlägt vor, den Übergang Schule–Arbeit anhand des Phänomens der Lehrvertragsauflösungen zu untersuchen. Er </w:t>
      </w:r>
      <w:r w:rsidR="05834E2E" w:rsidRPr="001469B7">
        <w:rPr>
          <w:rFonts w:eastAsiaTheme="minorEastAsia" w:cs="Open Sans SemiCondensed"/>
          <w:noProof/>
          <w:lang w:val="de-CH"/>
        </w:rPr>
        <w:t xml:space="preserve">bezieht </w:t>
      </w:r>
      <w:r w:rsidR="00945D56" w:rsidRPr="001469B7">
        <w:rPr>
          <w:rFonts w:eastAsiaTheme="minorEastAsia" w:cs="Open Sans SemiCondensed"/>
          <w:noProof/>
          <w:lang w:val="de-CH"/>
        </w:rPr>
        <w:t xml:space="preserve">sich auf zwei Forschungsprojekte, die sich mit drei </w:t>
      </w:r>
      <w:r w:rsidR="7BB82539" w:rsidRPr="001469B7">
        <w:rPr>
          <w:rFonts w:eastAsiaTheme="minorEastAsia" w:cs="Open Sans SemiCondensed"/>
          <w:noProof/>
          <w:lang w:val="de-CH"/>
        </w:rPr>
        <w:t xml:space="preserve">Bildungswegen </w:t>
      </w:r>
      <w:r w:rsidR="31000636" w:rsidRPr="001469B7">
        <w:rPr>
          <w:rFonts w:eastAsiaTheme="minorEastAsia" w:cs="Open Sans SemiCondensed"/>
          <w:noProof/>
          <w:lang w:val="de-CH"/>
        </w:rPr>
        <w:t>mit</w:t>
      </w:r>
      <w:r w:rsidR="00945D56" w:rsidRPr="001469B7">
        <w:rPr>
          <w:rFonts w:eastAsiaTheme="minorEastAsia" w:cs="Open Sans SemiCondensed"/>
          <w:noProof/>
          <w:lang w:val="de-CH"/>
        </w:rPr>
        <w:t xml:space="preserve"> unterschiedlichen Zertifizierungsniveaus </w:t>
      </w:r>
      <w:r w:rsidR="1245780E" w:rsidRPr="001469B7">
        <w:rPr>
          <w:rFonts w:eastAsiaTheme="minorEastAsia" w:cs="Open Sans SemiCondensed"/>
          <w:noProof/>
          <w:lang w:val="de-CH"/>
        </w:rPr>
        <w:t>befassen</w:t>
      </w:r>
      <w:r w:rsidR="00945D56" w:rsidRPr="001469B7">
        <w:rPr>
          <w:rFonts w:eastAsiaTheme="minorEastAsia" w:cs="Open Sans SemiCondensed"/>
          <w:noProof/>
          <w:lang w:val="de-CH"/>
        </w:rPr>
        <w:t>: eidgenössisches Fähigkeitszeugnis (EFZ), eidgenössisches Berufsattest (EBA) sowie Praktische Ausbildung</w:t>
      </w:r>
      <w:r w:rsidR="00912A22" w:rsidRPr="001469B7">
        <w:rPr>
          <w:rFonts w:eastAsiaTheme="minorEastAsia" w:cs="Open Sans SemiCondensed"/>
          <w:noProof/>
          <w:lang w:val="de-CH"/>
        </w:rPr>
        <w:t xml:space="preserve"> (PrA)</w:t>
      </w:r>
      <w:r w:rsidR="00945D56" w:rsidRPr="001469B7">
        <w:rPr>
          <w:rFonts w:eastAsiaTheme="minorEastAsia" w:cs="Open Sans SemiCondensed"/>
          <w:noProof/>
          <w:lang w:val="de-CH"/>
        </w:rPr>
        <w:t xml:space="preserve">. Die Interviews, die mit Lernenden nach einer </w:t>
      </w:r>
      <w:r w:rsidR="17EB9641" w:rsidRPr="001469B7">
        <w:rPr>
          <w:rFonts w:eastAsiaTheme="minorEastAsia" w:cs="Open Sans SemiCondensed"/>
          <w:noProof/>
          <w:lang w:val="de-CH"/>
        </w:rPr>
        <w:t>Lehrvertragsauflösung</w:t>
      </w:r>
      <w:r w:rsidR="00945D56" w:rsidRPr="001469B7">
        <w:rPr>
          <w:rFonts w:eastAsiaTheme="minorEastAsia" w:cs="Open Sans SemiCondensed"/>
          <w:noProof/>
          <w:lang w:val="de-CH"/>
        </w:rPr>
        <w:t xml:space="preserve"> geführt wurden, </w:t>
      </w:r>
      <w:r w:rsidR="198766A2" w:rsidRPr="001469B7">
        <w:rPr>
          <w:rFonts w:eastAsiaTheme="minorEastAsia" w:cs="Open Sans SemiCondensed"/>
          <w:noProof/>
          <w:lang w:val="de-CH"/>
        </w:rPr>
        <w:t xml:space="preserve">zeigen </w:t>
      </w:r>
      <w:r w:rsidR="00945D56" w:rsidRPr="001469B7">
        <w:rPr>
          <w:rFonts w:eastAsiaTheme="minorEastAsia" w:cs="Open Sans SemiCondensed"/>
          <w:noProof/>
          <w:lang w:val="de-CH"/>
        </w:rPr>
        <w:t>verschiedene Herausforderungen und Ungleichheiten des Übergangs, aber auch des damit verbundenen Bildungssystems.</w:t>
      </w:r>
    </w:p>
    <w:p w14:paraId="31BC981F" w14:textId="39CA47EA" w:rsidR="00EA4676" w:rsidRPr="00AA733C" w:rsidRDefault="00EA4676" w:rsidP="00334EA3">
      <w:pPr>
        <w:pStyle w:val="Textkrper3"/>
        <w:rPr>
          <w:rFonts w:eastAsiaTheme="minorEastAsia" w:cs="Open Sans SemiCondensed"/>
          <w:noProof/>
        </w:rPr>
      </w:pPr>
      <w:r w:rsidRPr="00334EA3">
        <w:rPr>
          <w:rStyle w:val="Fett"/>
          <w:rFonts w:eastAsiaTheme="minorEastAsia" w:cs="Open Sans SemiCondensed"/>
          <w:noProof/>
        </w:rPr>
        <w:t>Keywords</w:t>
      </w:r>
      <w:r w:rsidRPr="00334EA3">
        <w:rPr>
          <w:noProof/>
        </w:rPr>
        <w:t xml:space="preserve">: </w:t>
      </w:r>
      <w:r w:rsidR="002A6C44" w:rsidRPr="00334EA3">
        <w:rPr>
          <w:noProof/>
        </w:rPr>
        <w:t>a</w:t>
      </w:r>
      <w:r w:rsidR="005C2234" w:rsidRPr="00334EA3">
        <w:rPr>
          <w:noProof/>
        </w:rPr>
        <w:t>ttestation fédérale professionnelle</w:t>
      </w:r>
      <w:r w:rsidR="00F27A19" w:rsidRPr="00334EA3">
        <w:rPr>
          <w:noProof/>
        </w:rPr>
        <w:t xml:space="preserve"> (AFP)</w:t>
      </w:r>
      <w:r w:rsidR="00176031" w:rsidRPr="00334EA3">
        <w:rPr>
          <w:noProof/>
        </w:rPr>
        <w:t xml:space="preserve">, </w:t>
      </w:r>
      <w:r w:rsidR="002A6C44" w:rsidRPr="00334EA3">
        <w:rPr>
          <w:noProof/>
        </w:rPr>
        <w:t>c</w:t>
      </w:r>
      <w:r w:rsidR="00986185" w:rsidRPr="00334EA3">
        <w:rPr>
          <w:noProof/>
        </w:rPr>
        <w:t>ertificat fédéral de capacité (CFC)</w:t>
      </w:r>
      <w:r w:rsidR="009D5452" w:rsidRPr="00334EA3">
        <w:rPr>
          <w:noProof/>
        </w:rPr>
        <w:t>,</w:t>
      </w:r>
      <w:r w:rsidR="00986185" w:rsidRPr="00334EA3">
        <w:rPr>
          <w:noProof/>
        </w:rPr>
        <w:t xml:space="preserve"> </w:t>
      </w:r>
      <w:r w:rsidR="009D5452" w:rsidRPr="00334EA3">
        <w:rPr>
          <w:noProof/>
        </w:rPr>
        <w:t>F</w:t>
      </w:r>
      <w:r w:rsidR="005C2234" w:rsidRPr="00334EA3">
        <w:rPr>
          <w:noProof/>
        </w:rPr>
        <w:t xml:space="preserve">ormation </w:t>
      </w:r>
      <w:r w:rsidR="00957BD7" w:rsidRPr="00334EA3">
        <w:rPr>
          <w:noProof/>
        </w:rPr>
        <w:t>P</w:t>
      </w:r>
      <w:r w:rsidR="005C2234" w:rsidRPr="00334EA3">
        <w:rPr>
          <w:noProof/>
        </w:rPr>
        <w:t>ratique</w:t>
      </w:r>
      <w:r w:rsidR="00957BD7" w:rsidRPr="00334EA3">
        <w:rPr>
          <w:noProof/>
        </w:rPr>
        <w:t xml:space="preserve"> suisse</w:t>
      </w:r>
      <w:r w:rsidR="00CE09CC" w:rsidRPr="00334EA3">
        <w:rPr>
          <w:noProof/>
        </w:rPr>
        <w:t> </w:t>
      </w:r>
      <w:r w:rsidR="00F27A19" w:rsidRPr="00334EA3">
        <w:rPr>
          <w:noProof/>
        </w:rPr>
        <w:t>(F</w:t>
      </w:r>
      <w:r w:rsidR="00957BD7" w:rsidRPr="00334EA3">
        <w:rPr>
          <w:noProof/>
        </w:rPr>
        <w:t>P</w:t>
      </w:r>
      <w:r w:rsidR="00F27A19" w:rsidRPr="00334EA3">
        <w:rPr>
          <w:noProof/>
        </w:rPr>
        <w:t>ra)</w:t>
      </w:r>
      <w:r w:rsidR="00F14115" w:rsidRPr="00334EA3">
        <w:rPr>
          <w:noProof/>
        </w:rPr>
        <w:t>,</w:t>
      </w:r>
      <w:r w:rsidR="005C2234" w:rsidRPr="00334EA3">
        <w:rPr>
          <w:noProof/>
        </w:rPr>
        <w:t xml:space="preserve"> inégalités</w:t>
      </w:r>
      <w:r w:rsidR="00F14115" w:rsidRPr="00334EA3">
        <w:rPr>
          <w:noProof/>
        </w:rPr>
        <w:t>,</w:t>
      </w:r>
      <w:r w:rsidR="005C2234" w:rsidRPr="00334EA3">
        <w:rPr>
          <w:noProof/>
        </w:rPr>
        <w:t xml:space="preserve"> résiliation de contrat d’apprentissage</w:t>
      </w:r>
      <w:r w:rsidR="009D5452" w:rsidRPr="00334EA3">
        <w:rPr>
          <w:noProof/>
        </w:rPr>
        <w:t xml:space="preserve">, </w:t>
      </w:r>
      <w:r w:rsidR="00986185" w:rsidRPr="00334EA3">
        <w:rPr>
          <w:noProof/>
        </w:rPr>
        <w:t>système de formation</w:t>
      </w:r>
      <w:r w:rsidR="00F14115" w:rsidRPr="00334EA3">
        <w:rPr>
          <w:noProof/>
        </w:rPr>
        <w:t>,</w:t>
      </w:r>
      <w:r w:rsidR="00986185" w:rsidRPr="00334EA3">
        <w:rPr>
          <w:noProof/>
        </w:rPr>
        <w:t xml:space="preserve"> </w:t>
      </w:r>
      <w:r w:rsidR="005C2234" w:rsidRPr="00334EA3">
        <w:rPr>
          <w:noProof/>
        </w:rPr>
        <w:t>transition école</w:t>
      </w:r>
      <w:r w:rsidR="006209A4" w:rsidRPr="00334EA3">
        <w:rPr>
          <w:noProof/>
        </w:rPr>
        <w:t>-</w:t>
      </w:r>
      <w:r w:rsidR="005C2234" w:rsidRPr="00334EA3">
        <w:rPr>
          <w:noProof/>
        </w:rPr>
        <w:t>travail</w:t>
      </w:r>
      <w:r w:rsidR="00DC4D4C" w:rsidRPr="00334EA3">
        <w:rPr>
          <w:noProof/>
        </w:rPr>
        <w:t> </w:t>
      </w:r>
      <w:r w:rsidR="005C2234" w:rsidRPr="00334EA3">
        <w:rPr>
          <w:noProof/>
        </w:rPr>
        <w:t>/</w:t>
      </w:r>
      <w:r w:rsidR="0067016D" w:rsidRPr="00334EA3">
        <w:rPr>
          <w:noProof/>
        </w:rPr>
        <w:t xml:space="preserve"> </w:t>
      </w:r>
      <w:r w:rsidR="00334EA3">
        <w:rPr>
          <w:noProof/>
        </w:rPr>
        <w:t>e</w:t>
      </w:r>
      <w:r w:rsidR="009B261F" w:rsidRPr="00AA733C">
        <w:rPr>
          <w:rFonts w:eastAsiaTheme="minorEastAsia" w:cs="Open Sans SemiCondensed"/>
          <w:noProof/>
        </w:rPr>
        <w:t>idgenössisches Berufsattest</w:t>
      </w:r>
      <w:r w:rsidR="009B557D" w:rsidRPr="00AA733C">
        <w:rPr>
          <w:rFonts w:eastAsiaTheme="minorEastAsia" w:cs="Open Sans SemiCondensed"/>
          <w:noProof/>
        </w:rPr>
        <w:t xml:space="preserve"> (EBA)</w:t>
      </w:r>
      <w:r w:rsidR="00F14115" w:rsidRPr="00AA733C">
        <w:rPr>
          <w:rFonts w:eastAsiaTheme="minorEastAsia" w:cs="Open Sans SemiCondensed"/>
          <w:noProof/>
        </w:rPr>
        <w:t>,</w:t>
      </w:r>
      <w:r w:rsidR="009B261F" w:rsidRPr="00AA733C">
        <w:rPr>
          <w:rFonts w:eastAsiaTheme="minorEastAsia" w:cs="Open Sans SemiCondensed"/>
          <w:noProof/>
        </w:rPr>
        <w:t xml:space="preserve"> </w:t>
      </w:r>
      <w:r w:rsidR="000A656E" w:rsidRPr="00AA733C">
        <w:rPr>
          <w:noProof/>
        </w:rPr>
        <w:t>eidgenössisches Fähigkeitszeugnis</w:t>
      </w:r>
      <w:r w:rsidR="007D3DE9" w:rsidRPr="00AA733C">
        <w:rPr>
          <w:noProof/>
        </w:rPr>
        <w:t xml:space="preserve"> (EFZ)</w:t>
      </w:r>
      <w:r w:rsidR="00F14115" w:rsidRPr="00AA733C">
        <w:rPr>
          <w:noProof/>
        </w:rPr>
        <w:t>,</w:t>
      </w:r>
      <w:r w:rsidR="000A656E" w:rsidRPr="00AA733C">
        <w:rPr>
          <w:noProof/>
        </w:rPr>
        <w:t xml:space="preserve"> </w:t>
      </w:r>
      <w:r w:rsidR="007D34E1" w:rsidRPr="00AA733C">
        <w:rPr>
          <w:noProof/>
        </w:rPr>
        <w:t xml:space="preserve">Praktische Ausbildung Schweiz </w:t>
      </w:r>
      <w:r w:rsidR="00EB6476" w:rsidRPr="00AA733C">
        <w:rPr>
          <w:rFonts w:eastAsiaTheme="minorEastAsia" w:cs="Open Sans SemiCondensed"/>
          <w:noProof/>
        </w:rPr>
        <w:t>(Pr</w:t>
      </w:r>
      <w:r w:rsidR="007D34E1" w:rsidRPr="00AA733C">
        <w:rPr>
          <w:rFonts w:eastAsiaTheme="minorEastAsia" w:cs="Open Sans SemiCondensed"/>
          <w:noProof/>
        </w:rPr>
        <w:t>A</w:t>
      </w:r>
      <w:r w:rsidR="00EB6476" w:rsidRPr="00AA733C">
        <w:rPr>
          <w:rFonts w:eastAsiaTheme="minorEastAsia" w:cs="Open Sans SemiCondensed"/>
          <w:noProof/>
        </w:rPr>
        <w:t>)</w:t>
      </w:r>
      <w:r w:rsidR="00F14115" w:rsidRPr="00AA733C">
        <w:rPr>
          <w:rFonts w:eastAsiaTheme="minorEastAsia" w:cs="Open Sans SemiCondensed"/>
          <w:noProof/>
        </w:rPr>
        <w:t>,</w:t>
      </w:r>
      <w:r w:rsidR="00EB6476" w:rsidRPr="00AA733C">
        <w:rPr>
          <w:rFonts w:eastAsiaTheme="minorEastAsia" w:cs="Open Sans SemiCondensed"/>
          <w:noProof/>
        </w:rPr>
        <w:t xml:space="preserve"> </w:t>
      </w:r>
      <w:r w:rsidR="00DA39B6" w:rsidRPr="00AA733C">
        <w:rPr>
          <w:rFonts w:eastAsiaTheme="minorEastAsia" w:cs="Open Sans SemiCondensed"/>
          <w:noProof/>
        </w:rPr>
        <w:t>Ungleichheit</w:t>
      </w:r>
      <w:r w:rsidR="00F14115" w:rsidRPr="00AA733C">
        <w:rPr>
          <w:rFonts w:eastAsiaTheme="minorEastAsia" w:cs="Open Sans SemiCondensed"/>
          <w:noProof/>
        </w:rPr>
        <w:t>,</w:t>
      </w:r>
      <w:r w:rsidR="00DA39B6" w:rsidRPr="00AA733C">
        <w:rPr>
          <w:rFonts w:eastAsiaTheme="minorEastAsia" w:cs="Open Sans SemiCondensed"/>
          <w:noProof/>
        </w:rPr>
        <w:t xml:space="preserve"> </w:t>
      </w:r>
      <w:r w:rsidR="005B085D" w:rsidRPr="00AA733C">
        <w:rPr>
          <w:noProof/>
        </w:rPr>
        <w:t>Auflösung des Lehrvertrags</w:t>
      </w:r>
      <w:r w:rsidR="00F14115" w:rsidRPr="00AA733C">
        <w:rPr>
          <w:noProof/>
        </w:rPr>
        <w:t>,</w:t>
      </w:r>
      <w:r w:rsidR="00F24882" w:rsidRPr="00AA733C">
        <w:rPr>
          <w:noProof/>
        </w:rPr>
        <w:t xml:space="preserve"> </w:t>
      </w:r>
      <w:r w:rsidR="007D34E1" w:rsidRPr="00AA733C">
        <w:rPr>
          <w:noProof/>
        </w:rPr>
        <w:t>B</w:t>
      </w:r>
      <w:r w:rsidR="006361C7" w:rsidRPr="00AA733C">
        <w:rPr>
          <w:noProof/>
        </w:rPr>
        <w:t>i</w:t>
      </w:r>
      <w:r w:rsidR="007D34E1" w:rsidRPr="00AA733C">
        <w:rPr>
          <w:noProof/>
        </w:rPr>
        <w:t>ldungssystem</w:t>
      </w:r>
      <w:r w:rsidR="006361C7" w:rsidRPr="00AA733C">
        <w:rPr>
          <w:noProof/>
        </w:rPr>
        <w:t>, Übergang Schule–Arbeit</w:t>
      </w:r>
    </w:p>
    <w:p w14:paraId="2B24A053" w14:textId="4D494F6D" w:rsidR="001D3BFB" w:rsidRPr="00334EA3" w:rsidRDefault="00EA4676" w:rsidP="00334EA3">
      <w:pPr>
        <w:pStyle w:val="Textkrper3"/>
        <w:rPr>
          <w:rFonts w:eastAsiaTheme="minorEastAsia" w:cs="Open Sans SemiCondensed"/>
          <w:bCs/>
          <w:iCs/>
          <w:noProof/>
          <w:lang w:val="fr-CH"/>
        </w:rPr>
      </w:pPr>
      <w:r w:rsidRPr="00251FA2">
        <w:rPr>
          <w:rStyle w:val="Fett"/>
          <w:rFonts w:eastAsiaTheme="minorEastAsia" w:cs="Open Sans SemiCondensed"/>
          <w:noProof/>
          <w:lang w:val="fr-CH"/>
        </w:rPr>
        <w:t>DOI</w:t>
      </w:r>
      <w:r w:rsidR="00FF3072" w:rsidRPr="00334EA3">
        <w:rPr>
          <w:rFonts w:eastAsiaTheme="minorEastAsia" w:cs="Open Sans SemiCondensed"/>
          <w:noProof/>
          <w:lang w:val="fr-CH"/>
        </w:rPr>
        <w:t xml:space="preserve">: </w:t>
      </w:r>
      <w:hyperlink r:id="rId11" w:history="1">
        <w:r w:rsidR="00044831" w:rsidRPr="00251FA2">
          <w:rPr>
            <w:rStyle w:val="Hyperlink"/>
            <w:rFonts w:eastAsiaTheme="minorEastAsia" w:cs="Open Sans SemiCondensed"/>
            <w:noProof/>
            <w:lang w:val="fr-CH"/>
          </w:rPr>
          <w:t>https://doi.org/10.57161/r2023-02-03</w:t>
        </w:r>
      </w:hyperlink>
      <w:r w:rsidR="00044831" w:rsidRPr="00251FA2">
        <w:rPr>
          <w:rStyle w:val="Hyperlink"/>
          <w:rFonts w:eastAsiaTheme="minorEastAsia" w:cs="Open Sans SemiCondensed"/>
          <w:noProof/>
          <w:lang w:val="fr-CH"/>
        </w:rPr>
        <w:t xml:space="preserve"> </w:t>
      </w:r>
    </w:p>
    <w:p w14:paraId="2CA1258D" w14:textId="77777777" w:rsidR="00325015" w:rsidRPr="00251FA2" w:rsidRDefault="00325015" w:rsidP="00325015">
      <w:pPr>
        <w:pStyle w:val="Textkrper2"/>
        <w:rPr>
          <w:noProof/>
          <w:lang w:val="fr-CH"/>
        </w:rPr>
      </w:pPr>
      <w:r w:rsidRPr="00251FA2">
        <w:rPr>
          <w:noProof/>
          <w:lang w:val="fr-CH"/>
        </w:rPr>
        <w:t>Revue Suisse de Pédagogie spécialisée, Vol. 13, 02/2023.</w:t>
      </w:r>
    </w:p>
    <w:p w14:paraId="14BFE178" w14:textId="77777777" w:rsidR="000E6A66" w:rsidRPr="00251FA2" w:rsidRDefault="000E6A66" w:rsidP="00334EA3">
      <w:pPr>
        <w:pStyle w:val="Textkrper3"/>
        <w:rPr>
          <w:noProof/>
        </w:rPr>
      </w:pPr>
      <w:r w:rsidRPr="00251FA2">
        <w:rPr>
          <w:noProof/>
        </w:rPr>
        <w:drawing>
          <wp:inline distT="0" distB="0" distL="0" distR="0" wp14:anchorId="7F77D0A5" wp14:editId="328C4AD2">
            <wp:extent cx="1143000" cy="400050"/>
            <wp:effectExtent l="0" t="0" r="0" b="0"/>
            <wp:docPr id="4" name="Graphique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06A10" w14:textId="679A6983" w:rsidR="00085DD0" w:rsidRPr="00251FA2" w:rsidRDefault="00085DD0" w:rsidP="000A3A52">
      <w:pPr>
        <w:pStyle w:val="berschrift1"/>
        <w:rPr>
          <w:rFonts w:eastAsiaTheme="minorEastAsia"/>
          <w:noProof/>
          <w:lang w:val="fr-CH"/>
        </w:rPr>
      </w:pPr>
      <w:bookmarkStart w:id="0" w:name="heading-1"/>
      <w:r w:rsidRPr="00251FA2">
        <w:rPr>
          <w:rFonts w:eastAsiaTheme="minorEastAsia"/>
          <w:noProof/>
          <w:lang w:val="fr-CH"/>
        </w:rPr>
        <w:t>L</w:t>
      </w:r>
      <w:r w:rsidR="00434B14" w:rsidRPr="00251FA2">
        <w:rPr>
          <w:rFonts w:eastAsiaTheme="minorEastAsia"/>
          <w:noProof/>
          <w:lang w:val="fr-CH"/>
        </w:rPr>
        <w:t xml:space="preserve">a </w:t>
      </w:r>
      <w:r w:rsidRPr="00251FA2">
        <w:rPr>
          <w:rFonts w:eastAsiaTheme="minorEastAsia"/>
          <w:noProof/>
          <w:lang w:val="fr-CH"/>
        </w:rPr>
        <w:t>formation professionnell</w:t>
      </w:r>
      <w:r w:rsidR="00434B14" w:rsidRPr="00251FA2">
        <w:rPr>
          <w:rFonts w:eastAsiaTheme="minorEastAsia"/>
          <w:noProof/>
          <w:lang w:val="fr-CH"/>
        </w:rPr>
        <w:t xml:space="preserve">e </w:t>
      </w:r>
      <w:r w:rsidR="00FC5C38" w:rsidRPr="00251FA2">
        <w:rPr>
          <w:rFonts w:eastAsiaTheme="minorEastAsia"/>
          <w:noProof/>
          <w:lang w:val="fr-CH"/>
        </w:rPr>
        <w:t xml:space="preserve">au cœur de </w:t>
      </w:r>
      <w:r w:rsidR="00434B14" w:rsidRPr="00251FA2">
        <w:rPr>
          <w:rFonts w:eastAsiaTheme="minorEastAsia"/>
          <w:noProof/>
          <w:lang w:val="fr-CH"/>
        </w:rPr>
        <w:t xml:space="preserve">la </w:t>
      </w:r>
      <w:r w:rsidRPr="00251FA2">
        <w:rPr>
          <w:rFonts w:eastAsiaTheme="minorEastAsia"/>
          <w:noProof/>
          <w:lang w:val="fr-CH"/>
        </w:rPr>
        <w:t>transition école-travail</w:t>
      </w:r>
    </w:p>
    <w:p w14:paraId="0E8B5464" w14:textId="0EFDD616" w:rsidR="003A43DC" w:rsidRPr="00251FA2" w:rsidRDefault="00DC0CE2" w:rsidP="004E65FA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>Un diplôme du secondaire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 xml:space="preserve">II est </w:t>
      </w:r>
      <w:r w:rsidR="0074584F" w:rsidRPr="00251FA2">
        <w:rPr>
          <w:noProof/>
          <w:lang w:val="fr-CH"/>
        </w:rPr>
        <w:t>c</w:t>
      </w:r>
      <w:r w:rsidRPr="00251FA2">
        <w:rPr>
          <w:noProof/>
          <w:lang w:val="fr-CH"/>
        </w:rPr>
        <w:t xml:space="preserve">onsidéré comme la base minimale </w:t>
      </w:r>
      <w:r w:rsidR="009915A0" w:rsidRPr="00251FA2">
        <w:rPr>
          <w:noProof/>
          <w:lang w:val="fr-CH"/>
        </w:rPr>
        <w:t>pour s’insérer dans le marché du travail</w:t>
      </w:r>
      <w:r w:rsidRPr="00251FA2">
        <w:rPr>
          <w:noProof/>
          <w:lang w:val="fr-CH"/>
        </w:rPr>
        <w:t>, et agit comme une norme sociale</w:t>
      </w:r>
      <w:r w:rsidR="004B61DD" w:rsidRPr="00251FA2">
        <w:rPr>
          <w:noProof/>
          <w:lang w:val="fr-CH"/>
        </w:rPr>
        <w:t xml:space="preserve">. </w:t>
      </w:r>
      <w:r w:rsidR="002720A7" w:rsidRPr="00251FA2">
        <w:rPr>
          <w:noProof/>
          <w:lang w:val="fr-CH"/>
        </w:rPr>
        <w:t xml:space="preserve">Son obtention est au centre de la politique de formation de la Confédération. Dès 2006, </w:t>
      </w:r>
      <w:r w:rsidR="004B61DD" w:rsidRPr="00251FA2">
        <w:rPr>
          <w:noProof/>
          <w:lang w:val="fr-CH"/>
        </w:rPr>
        <w:t>l’augmentation de 90 à 95</w:t>
      </w:r>
      <w:r w:rsidR="00F92AC1" w:rsidRPr="00251FA2">
        <w:rPr>
          <w:noProof/>
          <w:lang w:val="fr-CH"/>
        </w:rPr>
        <w:t> </w:t>
      </w:r>
      <w:r w:rsidR="004B61DD" w:rsidRPr="00251FA2">
        <w:rPr>
          <w:noProof/>
          <w:lang w:val="fr-CH"/>
        </w:rPr>
        <w:t>% du nombre de personnes diplômées du secondaire</w:t>
      </w:r>
      <w:r w:rsidR="00F92AC1" w:rsidRPr="00251FA2">
        <w:rPr>
          <w:noProof/>
          <w:lang w:val="fr-CH"/>
        </w:rPr>
        <w:t> </w:t>
      </w:r>
      <w:r w:rsidR="004B61DD" w:rsidRPr="00251FA2">
        <w:rPr>
          <w:noProof/>
          <w:lang w:val="fr-CH"/>
        </w:rPr>
        <w:t xml:space="preserve">II </w:t>
      </w:r>
      <w:r w:rsidR="002720A7" w:rsidRPr="00251FA2">
        <w:rPr>
          <w:noProof/>
          <w:lang w:val="fr-CH"/>
        </w:rPr>
        <w:t>a été fixée</w:t>
      </w:r>
      <w:r w:rsidR="00640A17" w:rsidRPr="00251FA2">
        <w:rPr>
          <w:noProof/>
          <w:lang w:val="fr-CH"/>
        </w:rPr>
        <w:t xml:space="preserve"> comme objectif.</w:t>
      </w:r>
      <w:r w:rsidR="002720A7" w:rsidRPr="00251FA2">
        <w:rPr>
          <w:noProof/>
          <w:lang w:val="fr-CH"/>
        </w:rPr>
        <w:t xml:space="preserve"> </w:t>
      </w:r>
      <w:r w:rsidR="00640A17" w:rsidRPr="00251FA2">
        <w:rPr>
          <w:noProof/>
          <w:lang w:val="fr-CH"/>
        </w:rPr>
        <w:t xml:space="preserve">C’est aussi </w:t>
      </w:r>
      <w:r w:rsidR="000A3786" w:rsidRPr="00251FA2">
        <w:rPr>
          <w:noProof/>
          <w:lang w:val="fr-CH"/>
        </w:rPr>
        <w:t xml:space="preserve">la visée </w:t>
      </w:r>
      <w:r w:rsidR="00640A17" w:rsidRPr="00251FA2">
        <w:rPr>
          <w:noProof/>
          <w:lang w:val="fr-CH"/>
        </w:rPr>
        <w:t xml:space="preserve">d’égalité des chances pour toutes et tous qui est </w:t>
      </w:r>
      <w:r w:rsidR="000A3786" w:rsidRPr="00251FA2">
        <w:rPr>
          <w:noProof/>
          <w:lang w:val="fr-CH"/>
        </w:rPr>
        <w:t xml:space="preserve">poursuivie </w:t>
      </w:r>
      <w:r w:rsidR="00655B66" w:rsidRPr="00251FA2">
        <w:rPr>
          <w:noProof/>
          <w:lang w:val="fr-CH"/>
        </w:rPr>
        <w:t xml:space="preserve">en Suisse </w:t>
      </w:r>
      <w:r w:rsidR="00640A17" w:rsidRPr="00251FA2">
        <w:rPr>
          <w:noProof/>
          <w:lang w:val="fr-CH"/>
        </w:rPr>
        <w:t>par l’adoption</w:t>
      </w:r>
      <w:r w:rsidR="00ED351D" w:rsidRPr="00251FA2">
        <w:rPr>
          <w:noProof/>
          <w:lang w:val="fr-CH"/>
        </w:rPr>
        <w:t xml:space="preserve"> </w:t>
      </w:r>
      <w:r w:rsidR="00640A17" w:rsidRPr="00251FA2">
        <w:rPr>
          <w:noProof/>
          <w:lang w:val="fr-CH"/>
        </w:rPr>
        <w:t>de la Convention de l’Organisation des Nations Unies (ONU) relative aux droits des personnes handicapées (CDPH) en 2014</w:t>
      </w:r>
      <w:r w:rsidR="00B0236E" w:rsidRPr="00251FA2">
        <w:rPr>
          <w:noProof/>
          <w:lang w:val="fr-CH"/>
        </w:rPr>
        <w:t>,</w:t>
      </w:r>
      <w:r w:rsidR="00640A17" w:rsidRPr="00251FA2">
        <w:rPr>
          <w:noProof/>
          <w:lang w:val="fr-CH"/>
        </w:rPr>
        <w:t xml:space="preserve"> et de l’Agenda</w:t>
      </w:r>
      <w:r w:rsidR="00F92AC1" w:rsidRPr="00251FA2">
        <w:rPr>
          <w:noProof/>
          <w:lang w:val="fr-CH"/>
        </w:rPr>
        <w:t> </w:t>
      </w:r>
      <w:r w:rsidR="00640A17" w:rsidRPr="00251FA2">
        <w:rPr>
          <w:noProof/>
          <w:lang w:val="fr-CH"/>
        </w:rPr>
        <w:t xml:space="preserve">2030 pour le développement durable de l’ONU en 2015. </w:t>
      </w:r>
      <w:r w:rsidR="00F01255" w:rsidRPr="00251FA2">
        <w:rPr>
          <w:noProof/>
          <w:lang w:val="fr-CH"/>
        </w:rPr>
        <w:t xml:space="preserve">C’est dans ce contexte </w:t>
      </w:r>
      <w:r w:rsidR="000A3786" w:rsidRPr="00251FA2">
        <w:rPr>
          <w:noProof/>
          <w:lang w:val="fr-CH"/>
        </w:rPr>
        <w:t>qu’</w:t>
      </w:r>
      <w:r w:rsidR="00B0236E" w:rsidRPr="00251FA2">
        <w:rPr>
          <w:noProof/>
          <w:lang w:val="fr-CH"/>
        </w:rPr>
        <w:t>a été</w:t>
      </w:r>
      <w:r w:rsidR="000A3786" w:rsidRPr="00251FA2">
        <w:rPr>
          <w:noProof/>
          <w:lang w:val="fr-CH"/>
        </w:rPr>
        <w:t xml:space="preserve"> développée</w:t>
      </w:r>
      <w:r w:rsidR="002C6E97" w:rsidRPr="00251FA2">
        <w:rPr>
          <w:noProof/>
          <w:lang w:val="fr-CH"/>
        </w:rPr>
        <w:t xml:space="preserve"> </w:t>
      </w:r>
      <w:r w:rsidR="00B33D0B" w:rsidRPr="00251FA2">
        <w:rPr>
          <w:noProof/>
          <w:lang w:val="fr-CH"/>
        </w:rPr>
        <w:t>une nouvelle filière de formation</w:t>
      </w:r>
      <w:r w:rsidR="002C6E97" w:rsidRPr="00251FA2">
        <w:rPr>
          <w:noProof/>
          <w:lang w:val="fr-CH"/>
        </w:rPr>
        <w:t xml:space="preserve"> professionnelle</w:t>
      </w:r>
      <w:r w:rsidR="00B33D0B" w:rsidRPr="00251FA2">
        <w:rPr>
          <w:noProof/>
          <w:lang w:val="fr-CH"/>
        </w:rPr>
        <w:t xml:space="preserve"> en deux ans menant à l’obtention d’une </w:t>
      </w:r>
      <w:r w:rsidR="007C2921" w:rsidRPr="00251FA2">
        <w:rPr>
          <w:noProof/>
          <w:lang w:val="fr-CH"/>
        </w:rPr>
        <w:t>attestation fédérale professionnelle (</w:t>
      </w:r>
      <w:r w:rsidR="00B33D0B" w:rsidRPr="00251FA2">
        <w:rPr>
          <w:noProof/>
          <w:lang w:val="fr-CH"/>
        </w:rPr>
        <w:t>AFP</w:t>
      </w:r>
      <w:r w:rsidR="007C2921" w:rsidRPr="00251FA2">
        <w:rPr>
          <w:noProof/>
          <w:lang w:val="fr-CH"/>
        </w:rPr>
        <w:t>)</w:t>
      </w:r>
      <w:r w:rsidR="002C6E97" w:rsidRPr="00251FA2">
        <w:rPr>
          <w:noProof/>
          <w:lang w:val="fr-CH"/>
        </w:rPr>
        <w:t xml:space="preserve"> </w:t>
      </w:r>
      <w:r w:rsidR="00B33D0B" w:rsidRPr="00251FA2">
        <w:rPr>
          <w:noProof/>
          <w:lang w:val="fr-CH"/>
        </w:rPr>
        <w:t xml:space="preserve">destinée </w:t>
      </w:r>
      <w:r w:rsidR="005F5B8C" w:rsidRPr="00251FA2">
        <w:rPr>
          <w:noProof/>
          <w:lang w:val="fr-CH"/>
        </w:rPr>
        <w:t>aux</w:t>
      </w:r>
      <w:r w:rsidR="00B33D0B" w:rsidRPr="00251FA2">
        <w:rPr>
          <w:noProof/>
          <w:lang w:val="fr-CH"/>
        </w:rPr>
        <w:t xml:space="preserve"> jeunes ayant des aptitudes essentiellement pratiques et dont on estime qu’elles et ils ne peuvent pas (ou pas encore) préparer un </w:t>
      </w:r>
      <w:r w:rsidR="00837AA5" w:rsidRPr="00251FA2">
        <w:rPr>
          <w:noProof/>
          <w:lang w:val="fr-CH"/>
        </w:rPr>
        <w:t>certificat fédéral de capacité (</w:t>
      </w:r>
      <w:r w:rsidR="00B33D0B" w:rsidRPr="00251FA2">
        <w:rPr>
          <w:noProof/>
          <w:lang w:val="fr-CH"/>
        </w:rPr>
        <w:t>CFC</w:t>
      </w:r>
      <w:r w:rsidR="00837AA5" w:rsidRPr="00251FA2">
        <w:rPr>
          <w:noProof/>
          <w:lang w:val="fr-CH"/>
        </w:rPr>
        <w:t>)</w:t>
      </w:r>
      <w:r w:rsidR="00B33D0B" w:rsidRPr="00251FA2">
        <w:rPr>
          <w:noProof/>
          <w:lang w:val="fr-CH"/>
        </w:rPr>
        <w:t>.</w:t>
      </w:r>
      <w:r w:rsidR="00F90B17" w:rsidRPr="00251FA2">
        <w:rPr>
          <w:noProof/>
          <w:lang w:val="fr-CH"/>
        </w:rPr>
        <w:t xml:space="preserve"> </w:t>
      </w:r>
      <w:r w:rsidR="000A3786" w:rsidRPr="00251FA2">
        <w:rPr>
          <w:noProof/>
          <w:lang w:val="fr-CH"/>
        </w:rPr>
        <w:t>Par ailleurs, d’autres</w:t>
      </w:r>
      <w:r w:rsidR="0057242C" w:rsidRPr="00251FA2">
        <w:rPr>
          <w:noProof/>
          <w:lang w:val="fr-CH"/>
        </w:rPr>
        <w:t xml:space="preserve"> mesures ont été </w:t>
      </w:r>
      <w:r w:rsidR="000A3786" w:rsidRPr="00251FA2">
        <w:rPr>
          <w:noProof/>
          <w:lang w:val="fr-CH"/>
        </w:rPr>
        <w:t>introduites</w:t>
      </w:r>
      <w:r w:rsidR="0057242C" w:rsidRPr="00251FA2">
        <w:rPr>
          <w:noProof/>
          <w:lang w:val="fr-CH"/>
        </w:rPr>
        <w:t xml:space="preserve"> </w:t>
      </w:r>
      <w:r w:rsidR="000A3786" w:rsidRPr="00251FA2">
        <w:rPr>
          <w:noProof/>
          <w:lang w:val="fr-CH"/>
        </w:rPr>
        <w:t xml:space="preserve">pour </w:t>
      </w:r>
      <w:r w:rsidR="0057242C" w:rsidRPr="00251FA2">
        <w:rPr>
          <w:noProof/>
          <w:lang w:val="fr-CH"/>
        </w:rPr>
        <w:t>soutenir</w:t>
      </w:r>
      <w:r w:rsidR="001E3089" w:rsidRPr="00251FA2">
        <w:rPr>
          <w:noProof/>
          <w:lang w:val="fr-CH"/>
        </w:rPr>
        <w:t xml:space="preserve"> les personnes les plus à risque de ne pas obtenir </w:t>
      </w:r>
      <w:r w:rsidR="0064704E" w:rsidRPr="00251FA2">
        <w:rPr>
          <w:noProof/>
          <w:lang w:val="fr-CH"/>
        </w:rPr>
        <w:t xml:space="preserve">de </w:t>
      </w:r>
      <w:r w:rsidR="001E3089" w:rsidRPr="00251FA2">
        <w:rPr>
          <w:noProof/>
          <w:lang w:val="fr-CH"/>
        </w:rPr>
        <w:t>diplôme du secondaire</w:t>
      </w:r>
      <w:r w:rsidR="00925D96" w:rsidRPr="00251FA2">
        <w:rPr>
          <w:noProof/>
          <w:lang w:val="fr-CH"/>
        </w:rPr>
        <w:t> </w:t>
      </w:r>
      <w:r w:rsidR="001E3089" w:rsidRPr="00251FA2">
        <w:rPr>
          <w:noProof/>
          <w:lang w:val="fr-CH"/>
        </w:rPr>
        <w:t>II</w:t>
      </w:r>
      <w:r w:rsidR="00A91064" w:rsidRPr="00251FA2">
        <w:rPr>
          <w:noProof/>
          <w:lang w:val="fr-CH"/>
        </w:rPr>
        <w:t xml:space="preserve"> : </w:t>
      </w:r>
      <w:r w:rsidR="00714F15" w:rsidRPr="00251FA2">
        <w:rPr>
          <w:noProof/>
          <w:lang w:val="fr-CH"/>
        </w:rPr>
        <w:t xml:space="preserve">solutions </w:t>
      </w:r>
      <w:r w:rsidR="00D14E8D" w:rsidRPr="00251FA2">
        <w:rPr>
          <w:noProof/>
          <w:lang w:val="fr-CH"/>
        </w:rPr>
        <w:t xml:space="preserve">transitoires </w:t>
      </w:r>
      <w:r w:rsidR="00714F15" w:rsidRPr="00251FA2">
        <w:rPr>
          <w:noProof/>
          <w:lang w:val="fr-CH"/>
        </w:rPr>
        <w:t>pour les personnes n’arrivant pas à entrer immédiatement dans une formation du secondaire</w:t>
      </w:r>
      <w:r w:rsidR="00925D96" w:rsidRPr="00251FA2">
        <w:rPr>
          <w:noProof/>
          <w:lang w:val="fr-CH"/>
        </w:rPr>
        <w:t> </w:t>
      </w:r>
      <w:r w:rsidR="00714F15" w:rsidRPr="00251FA2">
        <w:rPr>
          <w:noProof/>
          <w:lang w:val="fr-CH"/>
        </w:rPr>
        <w:t>II</w:t>
      </w:r>
      <w:r w:rsidR="001F541D" w:rsidRPr="00251FA2">
        <w:rPr>
          <w:noProof/>
          <w:lang w:val="fr-CH"/>
        </w:rPr>
        <w:t xml:space="preserve">, </w:t>
      </w:r>
      <w:r w:rsidR="00D14E8D" w:rsidRPr="00251FA2">
        <w:rPr>
          <w:noProof/>
          <w:lang w:val="fr-CH"/>
        </w:rPr>
        <w:t>encadrement individuel spécialisé</w:t>
      </w:r>
      <w:r w:rsidR="00575584" w:rsidRPr="00251FA2">
        <w:rPr>
          <w:noProof/>
          <w:lang w:val="fr-CH"/>
        </w:rPr>
        <w:t xml:space="preserve"> dans la filière AFP</w:t>
      </w:r>
      <w:r w:rsidR="00D14E8D" w:rsidRPr="00251FA2">
        <w:rPr>
          <w:noProof/>
          <w:lang w:val="fr-CH"/>
        </w:rPr>
        <w:t>, préapprentissage d’intégration pour les personnes réfugiées</w:t>
      </w:r>
      <w:r w:rsidR="00F92AC1" w:rsidRPr="00251FA2">
        <w:rPr>
          <w:noProof/>
          <w:lang w:val="fr-CH"/>
        </w:rPr>
        <w:t>…</w:t>
      </w:r>
    </w:p>
    <w:p w14:paraId="25D1EEF4" w14:textId="77777777" w:rsidR="00F60552" w:rsidRDefault="00F60552">
      <w:pPr>
        <w:spacing w:after="200" w:line="240" w:lineRule="auto"/>
        <w:rPr>
          <w:rFonts w:eastAsiaTheme="minorEastAsia" w:cs="Open Sans SemiCondensed"/>
          <w:noProof/>
          <w:lang w:val="fr-CH"/>
        </w:rPr>
      </w:pPr>
      <w:r>
        <w:rPr>
          <w:rFonts w:eastAsiaTheme="minorEastAsia" w:cs="Open Sans SemiCondensed"/>
          <w:noProof/>
          <w:lang w:val="fr-CH"/>
        </w:rPr>
        <w:br w:type="page"/>
      </w:r>
    </w:p>
    <w:p w14:paraId="311FF9AD" w14:textId="4441A7DF" w:rsidR="00711270" w:rsidRPr="00251FA2" w:rsidRDefault="00CC351B" w:rsidP="000A3A52">
      <w:pPr>
        <w:pStyle w:val="Textkrper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lastRenderedPageBreak/>
        <w:t>L</w:t>
      </w:r>
      <w:r w:rsidR="009C4711" w:rsidRPr="00251FA2">
        <w:rPr>
          <w:rFonts w:eastAsiaTheme="minorEastAsia" w:cs="Open Sans SemiCondensed"/>
          <w:noProof/>
          <w:lang w:val="fr-CH"/>
        </w:rPr>
        <w:t xml:space="preserve">a transition école-travail </w:t>
      </w:r>
      <w:r w:rsidR="00D1755C" w:rsidRPr="00251FA2">
        <w:rPr>
          <w:rFonts w:eastAsiaTheme="minorEastAsia" w:cs="Open Sans SemiCondensed"/>
          <w:noProof/>
          <w:lang w:val="fr-CH"/>
        </w:rPr>
        <w:t>reste</w:t>
      </w:r>
      <w:r w:rsidR="00711270" w:rsidRPr="00251FA2">
        <w:rPr>
          <w:rFonts w:eastAsiaTheme="minorEastAsia" w:cs="Open Sans SemiCondensed"/>
          <w:noProof/>
          <w:lang w:val="fr-CH"/>
        </w:rPr>
        <w:t xml:space="preserve"> </w:t>
      </w:r>
      <w:r w:rsidRPr="00251FA2">
        <w:rPr>
          <w:rFonts w:eastAsiaTheme="minorEastAsia" w:cs="Open Sans SemiCondensed"/>
          <w:noProof/>
          <w:lang w:val="fr-CH"/>
        </w:rPr>
        <w:t xml:space="preserve">néanmoins </w:t>
      </w:r>
      <w:r w:rsidR="00711270" w:rsidRPr="00251FA2">
        <w:rPr>
          <w:rFonts w:eastAsiaTheme="minorEastAsia" w:cs="Open Sans SemiCondensed"/>
          <w:noProof/>
          <w:lang w:val="fr-CH"/>
        </w:rPr>
        <w:t>problématiqu</w:t>
      </w:r>
      <w:r w:rsidR="00224D8C" w:rsidRPr="00251FA2">
        <w:rPr>
          <w:rFonts w:eastAsiaTheme="minorEastAsia" w:cs="Open Sans SemiCondensed"/>
          <w:noProof/>
          <w:lang w:val="fr-CH"/>
        </w:rPr>
        <w:t xml:space="preserve">e </w:t>
      </w:r>
      <w:r w:rsidR="007511D3" w:rsidRPr="00251FA2">
        <w:rPr>
          <w:rFonts w:eastAsiaTheme="minorEastAsia" w:cs="Open Sans SemiCondensed"/>
          <w:noProof/>
          <w:lang w:val="fr-CH"/>
        </w:rPr>
        <w:t>pour certaines catégories de jeunes</w:t>
      </w:r>
      <w:r w:rsidR="00F3725C" w:rsidRPr="00251FA2">
        <w:rPr>
          <w:rFonts w:eastAsiaTheme="minorEastAsia" w:cs="Open Sans SemiCondensed"/>
          <w:noProof/>
          <w:lang w:val="fr-CH"/>
        </w:rPr>
        <w:t xml:space="preserve">, en particulier lors </w:t>
      </w:r>
      <w:r w:rsidR="002779B9" w:rsidRPr="00251FA2">
        <w:rPr>
          <w:rFonts w:eastAsiaTheme="minorEastAsia" w:cs="Open Sans SemiCondensed"/>
          <w:noProof/>
          <w:lang w:val="fr-CH"/>
        </w:rPr>
        <w:t>du</w:t>
      </w:r>
      <w:r w:rsidR="007511D3" w:rsidRPr="00251FA2">
        <w:rPr>
          <w:rFonts w:eastAsiaTheme="minorEastAsia" w:cs="Open Sans SemiCondensed"/>
          <w:noProof/>
          <w:lang w:val="fr-CH"/>
        </w:rPr>
        <w:t xml:space="preserve"> passage de la fin de l’école obligatoire à une formation du secondaire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="007511D3" w:rsidRPr="00251FA2">
        <w:rPr>
          <w:rFonts w:eastAsiaTheme="minorEastAsia" w:cs="Open Sans SemiCondensed"/>
          <w:noProof/>
          <w:lang w:val="fr-CH"/>
        </w:rPr>
        <w:t xml:space="preserve">II. </w:t>
      </w:r>
      <w:r w:rsidR="005A143F" w:rsidRPr="00251FA2">
        <w:rPr>
          <w:rFonts w:eastAsiaTheme="minorEastAsia" w:cs="Open Sans SemiCondensed"/>
          <w:noProof/>
          <w:lang w:val="fr-CH"/>
        </w:rPr>
        <w:t>D’une part, l’entrée dans une formation du secondaire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="005A143F" w:rsidRPr="00251FA2">
        <w:rPr>
          <w:rFonts w:eastAsiaTheme="minorEastAsia" w:cs="Open Sans SemiCondensed"/>
          <w:noProof/>
          <w:lang w:val="fr-CH"/>
        </w:rPr>
        <w:t>II est différée d’un</w:t>
      </w:r>
      <w:r w:rsidR="003C010E" w:rsidRPr="00251FA2">
        <w:rPr>
          <w:rFonts w:eastAsiaTheme="minorEastAsia" w:cs="Open Sans SemiCondensed"/>
          <w:noProof/>
          <w:lang w:val="fr-CH"/>
        </w:rPr>
        <w:t>e</w:t>
      </w:r>
      <w:r w:rsidR="001E07F2" w:rsidRPr="00251FA2">
        <w:rPr>
          <w:rFonts w:eastAsiaTheme="minorEastAsia" w:cs="Open Sans SemiCondensed"/>
          <w:noProof/>
          <w:lang w:val="fr-CH"/>
        </w:rPr>
        <w:t xml:space="preserve"> à plusieurs années</w:t>
      </w:r>
      <w:r w:rsidR="005A143F" w:rsidRPr="00251FA2">
        <w:rPr>
          <w:rFonts w:eastAsiaTheme="minorEastAsia" w:cs="Open Sans SemiCondensed"/>
          <w:noProof/>
          <w:lang w:val="fr-CH"/>
        </w:rPr>
        <w:t xml:space="preserve"> pour un quart des jeunes, </w:t>
      </w:r>
      <w:r w:rsidR="00BB5003" w:rsidRPr="00251FA2">
        <w:rPr>
          <w:rFonts w:eastAsiaTheme="minorEastAsia" w:cs="Open Sans SemiCondensed"/>
          <w:noProof/>
          <w:lang w:val="fr-CH"/>
        </w:rPr>
        <w:t xml:space="preserve">voire pour </w:t>
      </w:r>
      <w:r w:rsidR="005A143F" w:rsidRPr="00251FA2">
        <w:rPr>
          <w:rFonts w:eastAsiaTheme="minorEastAsia" w:cs="Open Sans SemiCondensed"/>
          <w:noProof/>
          <w:lang w:val="fr-CH"/>
        </w:rPr>
        <w:t>la moitié</w:t>
      </w:r>
      <w:r w:rsidR="00BB5003" w:rsidRPr="00251FA2">
        <w:rPr>
          <w:rFonts w:eastAsiaTheme="minorEastAsia" w:cs="Open Sans SemiCondensed"/>
          <w:noProof/>
          <w:lang w:val="fr-CH"/>
        </w:rPr>
        <w:t xml:space="preserve"> des </w:t>
      </w:r>
      <w:r w:rsidR="00D1755C" w:rsidRPr="00251FA2">
        <w:rPr>
          <w:rFonts w:eastAsiaTheme="minorEastAsia" w:cs="Open Sans SemiCondensed"/>
          <w:noProof/>
          <w:lang w:val="fr-CH"/>
        </w:rPr>
        <w:t xml:space="preserve">personnes entrant dans une </w:t>
      </w:r>
      <w:r w:rsidR="00D31E1D" w:rsidRPr="00251FA2">
        <w:rPr>
          <w:rFonts w:eastAsiaTheme="minorEastAsia" w:cs="Open Sans SemiCondensed"/>
          <w:noProof/>
          <w:lang w:val="fr-CH"/>
        </w:rPr>
        <w:t>filière</w:t>
      </w:r>
      <w:r w:rsidR="00D1755C" w:rsidRPr="00251FA2">
        <w:rPr>
          <w:rFonts w:eastAsiaTheme="minorEastAsia" w:cs="Open Sans SemiCondensed"/>
          <w:noProof/>
          <w:lang w:val="fr-CH"/>
        </w:rPr>
        <w:t xml:space="preserve"> AFP</w:t>
      </w:r>
      <w:r w:rsidR="00EF2CC6" w:rsidRPr="00251FA2">
        <w:rPr>
          <w:rStyle w:val="Funotenzeichen"/>
          <w:rFonts w:eastAsiaTheme="minorEastAsia" w:cs="Open Sans SemiCondensed"/>
          <w:noProof/>
          <w:lang w:val="fr-CH"/>
        </w:rPr>
        <w:footnoteReference w:id="2"/>
      </w:r>
      <w:r w:rsidR="00714F15" w:rsidRPr="00251FA2">
        <w:rPr>
          <w:rFonts w:eastAsiaTheme="minorEastAsia" w:cs="Open Sans SemiCondensed"/>
          <w:noProof/>
          <w:lang w:val="fr-CH"/>
        </w:rPr>
        <w:t xml:space="preserve">. </w:t>
      </w:r>
      <w:r w:rsidR="008651F8" w:rsidRPr="00251FA2">
        <w:rPr>
          <w:rFonts w:eastAsiaTheme="minorEastAsia" w:cs="Open Sans SemiCondensed"/>
          <w:noProof/>
          <w:lang w:val="fr-CH"/>
        </w:rPr>
        <w:t>D’autre part, p</w:t>
      </w:r>
      <w:r w:rsidR="00221BF4" w:rsidRPr="00251FA2">
        <w:rPr>
          <w:rFonts w:eastAsiaTheme="minorEastAsia" w:cs="Open Sans SemiCondensed"/>
          <w:noProof/>
          <w:lang w:val="fr-CH"/>
        </w:rPr>
        <w:t>lus de 4</w:t>
      </w:r>
      <w:r w:rsidR="00F92AC1" w:rsidRPr="00251FA2">
        <w:rPr>
          <w:rFonts w:eastAsiaTheme="minorEastAsia" w:cs="Open Sans SemiCondensed"/>
          <w:noProof/>
          <w:lang w:val="fr-CH"/>
        </w:rPr>
        <w:t> </w:t>
      </w:r>
      <w:r w:rsidR="00221BF4" w:rsidRPr="00251FA2">
        <w:rPr>
          <w:rFonts w:eastAsiaTheme="minorEastAsia" w:cs="Open Sans SemiCondensed"/>
          <w:noProof/>
          <w:lang w:val="fr-CH"/>
        </w:rPr>
        <w:t>% de</w:t>
      </w:r>
      <w:r w:rsidR="0080742F" w:rsidRPr="00251FA2">
        <w:rPr>
          <w:rFonts w:eastAsiaTheme="minorEastAsia" w:cs="Open Sans SemiCondensed"/>
          <w:noProof/>
          <w:lang w:val="fr-CH"/>
        </w:rPr>
        <w:t>s</w:t>
      </w:r>
      <w:r w:rsidR="00221BF4" w:rsidRPr="00251FA2">
        <w:rPr>
          <w:rFonts w:eastAsiaTheme="minorEastAsia" w:cs="Open Sans SemiCondensed"/>
          <w:noProof/>
          <w:lang w:val="fr-CH"/>
        </w:rPr>
        <w:t xml:space="preserve"> jeunes </w:t>
      </w:r>
      <w:r w:rsidR="0055184B" w:rsidRPr="00251FA2">
        <w:rPr>
          <w:rFonts w:eastAsiaTheme="minorEastAsia" w:cs="Open Sans SemiCondensed"/>
          <w:noProof/>
          <w:lang w:val="fr-CH"/>
        </w:rPr>
        <w:t xml:space="preserve">n’ont toujours </w:t>
      </w:r>
      <w:r w:rsidR="00221BF4" w:rsidRPr="00251FA2">
        <w:rPr>
          <w:rFonts w:eastAsiaTheme="minorEastAsia" w:cs="Open Sans SemiCondensed"/>
          <w:noProof/>
          <w:lang w:val="fr-CH"/>
        </w:rPr>
        <w:t xml:space="preserve">pas </w:t>
      </w:r>
      <w:r w:rsidR="0055184B" w:rsidRPr="00251FA2">
        <w:rPr>
          <w:rFonts w:eastAsiaTheme="minorEastAsia" w:cs="Open Sans SemiCondensed"/>
          <w:noProof/>
          <w:lang w:val="fr-CH"/>
        </w:rPr>
        <w:t xml:space="preserve">accédé </w:t>
      </w:r>
      <w:r w:rsidR="00221BF4" w:rsidRPr="00251FA2">
        <w:rPr>
          <w:rFonts w:eastAsiaTheme="minorEastAsia" w:cs="Open Sans SemiCondensed"/>
          <w:noProof/>
          <w:lang w:val="fr-CH"/>
        </w:rPr>
        <w:t>à une formation certifiante du secondaire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="00221BF4" w:rsidRPr="00251FA2">
        <w:rPr>
          <w:rFonts w:eastAsiaTheme="minorEastAsia" w:cs="Open Sans SemiCondensed"/>
          <w:noProof/>
          <w:lang w:val="fr-CH"/>
        </w:rPr>
        <w:t xml:space="preserve">II trois ans après la fin de l’école obligatoire. </w:t>
      </w:r>
      <w:r w:rsidR="00DC026F" w:rsidRPr="00251FA2">
        <w:rPr>
          <w:rFonts w:eastAsiaTheme="minorEastAsia" w:cs="Open Sans SemiCondensed"/>
          <w:noProof/>
          <w:lang w:val="fr-CH"/>
        </w:rPr>
        <w:t>P</w:t>
      </w:r>
      <w:r w:rsidR="00711270" w:rsidRPr="00251FA2">
        <w:rPr>
          <w:rFonts w:eastAsiaTheme="minorEastAsia" w:cs="Open Sans SemiCondensed"/>
          <w:noProof/>
          <w:lang w:val="fr-CH"/>
        </w:rPr>
        <w:t>armi les jeunes les plus vulnérables</w:t>
      </w:r>
      <w:r w:rsidR="00085768" w:rsidRPr="00251FA2">
        <w:rPr>
          <w:rFonts w:eastAsiaTheme="minorEastAsia" w:cs="Open Sans SemiCondensed"/>
          <w:noProof/>
          <w:lang w:val="fr-CH"/>
        </w:rPr>
        <w:t xml:space="preserve"> se trouvent les personnes étrangères nées à l’étranger, </w:t>
      </w:r>
      <w:r w:rsidR="00711270" w:rsidRPr="00251FA2">
        <w:rPr>
          <w:rFonts w:eastAsiaTheme="minorEastAsia" w:cs="Open Sans SemiCondensed"/>
          <w:noProof/>
          <w:lang w:val="fr-CH"/>
        </w:rPr>
        <w:t>les personnes sortant de l’enseignement spécialisé</w:t>
      </w:r>
      <w:r w:rsidR="000B1171" w:rsidRPr="00251FA2">
        <w:rPr>
          <w:rFonts w:eastAsiaTheme="minorEastAsia" w:cs="Open Sans SemiCondensed"/>
          <w:noProof/>
          <w:lang w:val="fr-CH"/>
        </w:rPr>
        <w:t xml:space="preserve"> au secondaire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="000B1171" w:rsidRPr="00251FA2">
        <w:rPr>
          <w:rFonts w:eastAsiaTheme="minorEastAsia" w:cs="Open Sans SemiCondensed"/>
          <w:noProof/>
          <w:lang w:val="fr-CH"/>
        </w:rPr>
        <w:t>I</w:t>
      </w:r>
      <w:r w:rsidR="00085768" w:rsidRPr="00251FA2">
        <w:rPr>
          <w:rFonts w:eastAsiaTheme="minorEastAsia" w:cs="Open Sans SemiCondensed"/>
          <w:noProof/>
          <w:lang w:val="fr-CH"/>
        </w:rPr>
        <w:t xml:space="preserve"> </w:t>
      </w:r>
      <w:r w:rsidR="00711270" w:rsidRPr="00251FA2">
        <w:rPr>
          <w:rFonts w:eastAsiaTheme="minorEastAsia" w:cs="Open Sans SemiCondensed"/>
          <w:noProof/>
          <w:lang w:val="fr-CH"/>
        </w:rPr>
        <w:t>ainsi que celles dont les parents ont suivi l’école obligatoire uniquement.</w:t>
      </w:r>
      <w:r w:rsidR="00085768" w:rsidRPr="00251FA2">
        <w:rPr>
          <w:rFonts w:eastAsiaTheme="minorEastAsia" w:cs="Open Sans SemiCondensed"/>
          <w:noProof/>
          <w:lang w:val="fr-CH"/>
        </w:rPr>
        <w:t xml:space="preserve"> </w:t>
      </w:r>
      <w:r w:rsidR="00B3770E" w:rsidRPr="00251FA2">
        <w:rPr>
          <w:rFonts w:eastAsiaTheme="minorEastAsia" w:cs="Open Sans SemiCondensed"/>
          <w:noProof/>
          <w:lang w:val="fr-CH"/>
        </w:rPr>
        <w:t>Ce</w:t>
      </w:r>
      <w:r w:rsidR="001374CE" w:rsidRPr="00251FA2">
        <w:rPr>
          <w:rFonts w:eastAsiaTheme="minorEastAsia" w:cs="Open Sans SemiCondensed"/>
          <w:noProof/>
          <w:lang w:val="fr-CH"/>
        </w:rPr>
        <w:t xml:space="preserve"> sont d’ailleurs elles qui vont composer la majeure partie des apprenties et apprentis dans la filière AFP</w:t>
      </w:r>
      <w:r w:rsidR="00B3770E" w:rsidRPr="00251FA2">
        <w:rPr>
          <w:rFonts w:eastAsiaTheme="minorEastAsia" w:cs="Open Sans SemiCondensed"/>
          <w:noProof/>
          <w:lang w:val="fr-CH"/>
        </w:rPr>
        <w:t>, aux côtés des jeunes sortant</w:t>
      </w:r>
      <w:r w:rsidR="005A1BED" w:rsidRPr="00251FA2">
        <w:rPr>
          <w:rFonts w:eastAsiaTheme="minorEastAsia" w:cs="Open Sans SemiCondensed"/>
          <w:noProof/>
          <w:lang w:val="fr-CH"/>
        </w:rPr>
        <w:t>s</w:t>
      </w:r>
      <w:r w:rsidR="00B3770E" w:rsidRPr="00251FA2">
        <w:rPr>
          <w:rFonts w:eastAsiaTheme="minorEastAsia" w:cs="Open Sans SemiCondensed"/>
          <w:noProof/>
          <w:lang w:val="fr-CH"/>
        </w:rPr>
        <w:t xml:space="preserve"> de filières à exigences élémentaires au secondaire I</w:t>
      </w:r>
      <w:r w:rsidR="001374CE" w:rsidRPr="00251FA2">
        <w:rPr>
          <w:rFonts w:eastAsiaTheme="minorEastAsia" w:cs="Open Sans SemiCondensed"/>
          <w:noProof/>
          <w:lang w:val="fr-CH"/>
        </w:rPr>
        <w:t xml:space="preserve">. </w:t>
      </w:r>
      <w:r w:rsidR="00711270" w:rsidRPr="00251FA2">
        <w:rPr>
          <w:rFonts w:eastAsiaTheme="minorEastAsia" w:cs="Open Sans SemiCondensed"/>
          <w:noProof/>
          <w:lang w:val="fr-CH"/>
        </w:rPr>
        <w:t>Ces personnes sont aussi le</w:t>
      </w:r>
      <w:r w:rsidR="004F1779" w:rsidRPr="00251FA2">
        <w:rPr>
          <w:rFonts w:eastAsiaTheme="minorEastAsia" w:cs="Open Sans SemiCondensed"/>
          <w:noProof/>
          <w:lang w:val="fr-CH"/>
        </w:rPr>
        <w:t>s</w:t>
      </w:r>
      <w:r w:rsidR="00711270" w:rsidRPr="00251FA2">
        <w:rPr>
          <w:rFonts w:eastAsiaTheme="minorEastAsia" w:cs="Open Sans SemiCondensed"/>
          <w:noProof/>
          <w:lang w:val="fr-CH"/>
        </w:rPr>
        <w:t xml:space="preserve"> plus à risque de ne pas obtenir </w:t>
      </w:r>
      <w:r w:rsidR="00DC026F" w:rsidRPr="00251FA2">
        <w:rPr>
          <w:rFonts w:eastAsiaTheme="minorEastAsia" w:cs="Open Sans SemiCondensed"/>
          <w:noProof/>
          <w:lang w:val="fr-CH"/>
        </w:rPr>
        <w:t xml:space="preserve">de </w:t>
      </w:r>
      <w:r w:rsidR="00711270" w:rsidRPr="00251FA2">
        <w:rPr>
          <w:rFonts w:eastAsiaTheme="minorEastAsia" w:cs="Open Sans SemiCondensed"/>
          <w:noProof/>
          <w:lang w:val="fr-CH"/>
        </w:rPr>
        <w:t>diplôme du secondaire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="00711270" w:rsidRPr="00251FA2">
        <w:rPr>
          <w:rFonts w:eastAsiaTheme="minorEastAsia" w:cs="Open Sans SemiCondensed"/>
          <w:noProof/>
          <w:lang w:val="fr-CH"/>
        </w:rPr>
        <w:t>II</w:t>
      </w:r>
      <w:r w:rsidR="00085768" w:rsidRPr="00251FA2">
        <w:rPr>
          <w:rFonts w:eastAsiaTheme="minorEastAsia" w:cs="Open Sans SemiCondensed"/>
          <w:noProof/>
          <w:lang w:val="fr-CH"/>
        </w:rPr>
        <w:t>.</w:t>
      </w:r>
    </w:p>
    <w:p w14:paraId="6EB45FD1" w14:textId="1A08B9A1" w:rsidR="001D5629" w:rsidRPr="00251FA2" w:rsidRDefault="006626AB" w:rsidP="000A3A52">
      <w:pPr>
        <w:pStyle w:val="Textkrper"/>
        <w:rPr>
          <w:rFonts w:eastAsiaTheme="minorEastAsia" w:cs="Open Sans SemiCondensed"/>
          <w:noProof/>
          <w:lang w:val="fr-CH"/>
        </w:rPr>
      </w:pPr>
      <w:r w:rsidRPr="00251FA2">
        <w:rPr>
          <w:noProof/>
          <w:lang w:val="fr-CH"/>
        </w:rPr>
        <mc:AlternateContent>
          <mc:Choice Requires="wps">
            <w:drawing>
              <wp:anchor distT="45720" distB="45720" distL="46990" distR="46990" simplePos="0" relativeHeight="251658240" behindDoc="0" locked="0" layoutInCell="1" allowOverlap="0" wp14:anchorId="52AE4870" wp14:editId="725C833C">
                <wp:simplePos x="0" y="0"/>
                <wp:positionH relativeFrom="column">
                  <wp:posOffset>-900430</wp:posOffset>
                </wp:positionH>
                <wp:positionV relativeFrom="paragraph">
                  <wp:posOffset>2218225</wp:posOffset>
                </wp:positionV>
                <wp:extent cx="5622290" cy="654685"/>
                <wp:effectExtent l="0" t="0" r="0" b="0"/>
                <wp:wrapTopAndBottom/>
                <wp:docPr id="217" name="Zone de texte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735E" w14:textId="7F3CEB8C" w:rsidR="00722896" w:rsidRPr="00AA733C" w:rsidRDefault="003D4107" w:rsidP="006626AB">
                            <w:pPr>
                              <w:pStyle w:val="Hervorhebung2"/>
                              <w:jc w:val="both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Fonts w:eastAsiaTheme="minorEastAsia" w:cs="Open Sans SemiCondensed"/>
                                <w:noProof/>
                                <w:lang w:val="fr-CH"/>
                              </w:rPr>
                              <w:t>L</w:t>
                            </w:r>
                            <w:r w:rsidR="00722896" w:rsidRPr="00DE7BEB">
                              <w:rPr>
                                <w:rFonts w:eastAsiaTheme="minorEastAsia" w:cs="Open Sans SemiCondensed"/>
                                <w:noProof/>
                                <w:lang w:val="fr-CH"/>
                              </w:rPr>
                              <w:t>e rapport d’évaluation de l’ONU de 2022 quant à la mise en œuvre de la CDPH en Suisse relève le manque d’accès à des programmes inclusifs certifiés de formation professionnelle, notamment initiale, pour les personnes en situation de handicap</w:t>
                            </w:r>
                          </w:p>
                        </w:txbxContent>
                      </wps:txbx>
                      <wps:bodyPr rot="0" vert="horz" wrap="square" lIns="1044000" tIns="45720" rIns="9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4870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alt="&quot;&quot;" style="position:absolute;left:0;text-align:left;margin-left:-70.9pt;margin-top:174.65pt;width:442.7pt;height:51.55pt;z-index:251658240;visibility:visible;mso-wrap-style:square;mso-width-percent:0;mso-height-percent:0;mso-wrap-distance-left:3.7pt;mso-wrap-distance-top:3.6pt;mso-wrap-distance-right:3.7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" o:allowoverlap="f" filled="f" stroked="f">
                <v:textbox inset="29mm,,2.5mm">
                  <w:txbxContent>
                    <w:p w14:paraId="2F16735E" w14:textId="7F3CEB8C" w:rsidR="00722896" w:rsidRPr="00AA733C" w:rsidRDefault="003D4107" w:rsidP="006626AB">
                      <w:pPr>
                        <w:pStyle w:val="Hervorhebung2"/>
                        <w:jc w:val="both"/>
                        <w:rPr>
                          <w:lang w:val="fr-CH"/>
                        </w:rPr>
                      </w:pPr>
                      <w:r>
                        <w:rPr>
                          <w:rFonts w:eastAsiaTheme="minorEastAsia" w:cs="Open Sans SemiCondensed"/>
                          <w:noProof/>
                          <w:lang w:val="fr-CH"/>
                        </w:rPr>
                        <w:t>L</w:t>
                      </w:r>
                      <w:r w:rsidR="00722896" w:rsidRPr="00DE7BEB">
                        <w:rPr>
                          <w:rFonts w:eastAsiaTheme="minorEastAsia" w:cs="Open Sans SemiCondensed"/>
                          <w:noProof/>
                          <w:lang w:val="fr-CH"/>
                        </w:rPr>
                        <w:t>e rapport d’évaluation de l’ONU de 2022 quant à la mise en œuvre de la CDPH en Suisse relève le manque d’accès à des programmes inclusifs certifiés de formation professionnelle, notamment initiale, pour les personnes en situation de handicap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8011A" w:rsidRPr="00251FA2">
        <w:rPr>
          <w:rFonts w:eastAsiaTheme="minorEastAsia" w:cs="Open Sans SemiCondensed"/>
          <w:noProof/>
          <w:lang w:val="fr-CH"/>
        </w:rPr>
        <w:t>Les</w:t>
      </w:r>
      <w:r w:rsidR="00390029" w:rsidRPr="00251FA2">
        <w:rPr>
          <w:rFonts w:eastAsiaTheme="minorEastAsia" w:cs="Open Sans SemiCondensed"/>
          <w:noProof/>
          <w:lang w:val="fr-CH"/>
        </w:rPr>
        <w:t xml:space="preserve"> personnes issues de l’enseignement spécialisé </w:t>
      </w:r>
      <w:r w:rsidR="005913EF" w:rsidRPr="00251FA2">
        <w:rPr>
          <w:rFonts w:eastAsiaTheme="minorEastAsia" w:cs="Open Sans SemiCondensed"/>
          <w:noProof/>
          <w:lang w:val="fr-CH"/>
        </w:rPr>
        <w:t xml:space="preserve">à la fin de l’école obligatoire font partie </w:t>
      </w:r>
      <w:r w:rsidR="0055184B" w:rsidRPr="00251FA2">
        <w:rPr>
          <w:rFonts w:eastAsiaTheme="minorEastAsia" w:cs="Open Sans SemiCondensed"/>
          <w:noProof/>
          <w:lang w:val="fr-CH"/>
        </w:rPr>
        <w:t>de celles</w:t>
      </w:r>
      <w:r w:rsidR="005913EF" w:rsidRPr="00251FA2">
        <w:rPr>
          <w:rFonts w:eastAsiaTheme="minorEastAsia" w:cs="Open Sans SemiCondensed"/>
          <w:noProof/>
          <w:lang w:val="fr-CH"/>
        </w:rPr>
        <w:t xml:space="preserve"> qui ont </w:t>
      </w:r>
      <w:r w:rsidR="00FC6F42" w:rsidRPr="00251FA2">
        <w:rPr>
          <w:rFonts w:eastAsiaTheme="minorEastAsia" w:cs="Open Sans SemiCondensed"/>
          <w:noProof/>
          <w:lang w:val="fr-CH"/>
        </w:rPr>
        <w:t>pâti</w:t>
      </w:r>
      <w:r w:rsidR="005913EF" w:rsidRPr="00251FA2">
        <w:rPr>
          <w:rFonts w:eastAsiaTheme="minorEastAsia" w:cs="Open Sans SemiCondensed"/>
          <w:noProof/>
          <w:lang w:val="fr-CH"/>
        </w:rPr>
        <w:t xml:space="preserve"> du remplacement de la formation élémentaire</w:t>
      </w:r>
      <w:r w:rsidR="00E65D74" w:rsidRPr="00251FA2">
        <w:rPr>
          <w:rFonts w:eastAsiaTheme="minorEastAsia" w:cs="Open Sans SemiCondensed"/>
          <w:noProof/>
          <w:lang w:val="fr-CH"/>
        </w:rPr>
        <w:t>,</w:t>
      </w:r>
      <w:r w:rsidR="005913EF" w:rsidRPr="00251FA2">
        <w:rPr>
          <w:rFonts w:eastAsiaTheme="minorEastAsia" w:cs="Open Sans SemiCondensed"/>
          <w:noProof/>
          <w:lang w:val="fr-CH"/>
        </w:rPr>
        <w:t xml:space="preserve"> </w:t>
      </w:r>
      <w:r w:rsidR="00E65D74" w:rsidRPr="00251FA2">
        <w:rPr>
          <w:rFonts w:eastAsiaTheme="minorEastAsia" w:cs="Open Sans SemiCondensed"/>
          <w:noProof/>
          <w:lang w:val="fr-CH"/>
        </w:rPr>
        <w:t>basé sur un</w:t>
      </w:r>
      <w:r w:rsidR="005A794D" w:rsidRPr="00251FA2">
        <w:rPr>
          <w:rFonts w:eastAsiaTheme="minorEastAsia" w:cs="Open Sans SemiCondensed"/>
          <w:noProof/>
          <w:lang w:val="fr-CH"/>
        </w:rPr>
        <w:t xml:space="preserve"> programme individualisé</w:t>
      </w:r>
      <w:r w:rsidR="008724FB" w:rsidRPr="00251FA2">
        <w:rPr>
          <w:rFonts w:eastAsiaTheme="minorEastAsia" w:cs="Open Sans SemiCondensed"/>
          <w:noProof/>
          <w:lang w:val="fr-CH"/>
        </w:rPr>
        <w:t xml:space="preserve">, </w:t>
      </w:r>
      <w:r w:rsidR="005913EF" w:rsidRPr="00251FA2">
        <w:rPr>
          <w:rFonts w:eastAsiaTheme="minorEastAsia" w:cs="Open Sans SemiCondensed"/>
          <w:noProof/>
          <w:lang w:val="fr-CH"/>
        </w:rPr>
        <w:t xml:space="preserve">par la filière </w:t>
      </w:r>
      <w:r w:rsidR="000B59BD" w:rsidRPr="00251FA2">
        <w:rPr>
          <w:rFonts w:eastAsiaTheme="minorEastAsia" w:cs="Open Sans SemiCondensed"/>
          <w:noProof/>
          <w:lang w:val="fr-CH"/>
        </w:rPr>
        <w:t>AFP</w:t>
      </w:r>
      <w:r w:rsidR="005A794D" w:rsidRPr="00251FA2">
        <w:rPr>
          <w:rFonts w:eastAsiaTheme="minorEastAsia" w:cs="Open Sans SemiCondensed"/>
          <w:noProof/>
          <w:lang w:val="fr-CH"/>
        </w:rPr>
        <w:t xml:space="preserve">, qui offre une formation standardisée </w:t>
      </w:r>
      <w:r w:rsidR="00E65D74" w:rsidRPr="00251FA2">
        <w:rPr>
          <w:rFonts w:eastAsiaTheme="minorEastAsia" w:cs="Open Sans SemiCondensed"/>
          <w:noProof/>
          <w:lang w:val="fr-CH"/>
        </w:rPr>
        <w:t>calquée sur la filière CFC</w:t>
      </w:r>
      <w:r w:rsidR="000B59BD" w:rsidRPr="00251FA2">
        <w:rPr>
          <w:rFonts w:eastAsiaTheme="minorEastAsia" w:cs="Open Sans SemiCondensed"/>
          <w:noProof/>
          <w:lang w:val="fr-CH"/>
        </w:rPr>
        <w:t xml:space="preserve">. </w:t>
      </w:r>
      <w:r w:rsidR="008724FB" w:rsidRPr="00251FA2">
        <w:rPr>
          <w:rFonts w:eastAsiaTheme="minorEastAsia" w:cs="Open Sans SemiCondensed"/>
          <w:noProof/>
          <w:lang w:val="fr-CH"/>
        </w:rPr>
        <w:t xml:space="preserve">L’accès est difficile pour certaines d’entre elles en </w:t>
      </w:r>
      <w:r w:rsidR="00FC6F42" w:rsidRPr="00251FA2">
        <w:rPr>
          <w:rFonts w:eastAsiaTheme="minorEastAsia" w:cs="Open Sans SemiCondensed"/>
          <w:noProof/>
          <w:lang w:val="fr-CH"/>
        </w:rPr>
        <w:t>raison d’exigences trop élevées.</w:t>
      </w:r>
      <w:r w:rsidR="000B1171" w:rsidRPr="00251FA2">
        <w:rPr>
          <w:rFonts w:eastAsiaTheme="minorEastAsia" w:cs="Open Sans SemiCondensed"/>
          <w:noProof/>
          <w:lang w:val="fr-CH"/>
        </w:rPr>
        <w:t xml:space="preserve"> </w:t>
      </w:r>
      <w:r w:rsidR="002E79F7" w:rsidRPr="00251FA2">
        <w:rPr>
          <w:rFonts w:eastAsiaTheme="minorEastAsia" w:cs="Open Sans SemiCondensed"/>
          <w:noProof/>
          <w:lang w:val="fr-CH"/>
        </w:rPr>
        <w:t>Par conséquent,</w:t>
      </w:r>
      <w:r w:rsidR="000B1171" w:rsidRPr="00251FA2">
        <w:rPr>
          <w:rFonts w:eastAsiaTheme="minorEastAsia" w:cs="Open Sans SemiCondensed"/>
          <w:noProof/>
          <w:lang w:val="fr-CH"/>
        </w:rPr>
        <w:t xml:space="preserve"> d’autres formations ont été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 proposées</w:t>
      </w:r>
      <w:r w:rsidR="00BF1667" w:rsidRPr="00251FA2">
        <w:rPr>
          <w:rFonts w:eastAsiaTheme="minorEastAsia" w:cs="Open Sans SemiCondensed"/>
          <w:noProof/>
          <w:lang w:val="fr-CH"/>
        </w:rPr>
        <w:t xml:space="preserve"> hors du système de formation régi par la Confédération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, </w:t>
      </w:r>
      <w:r w:rsidR="00C964B3" w:rsidRPr="00251FA2">
        <w:rPr>
          <w:rFonts w:eastAsiaTheme="minorEastAsia" w:cs="Open Sans SemiCondensed"/>
          <w:noProof/>
          <w:lang w:val="fr-CH"/>
        </w:rPr>
        <w:t>à l’instar de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 la Formation Pratique</w:t>
      </w:r>
      <w:r w:rsidR="00957BD7" w:rsidRPr="00251FA2">
        <w:rPr>
          <w:rFonts w:eastAsiaTheme="minorEastAsia" w:cs="Open Sans SemiCondensed"/>
          <w:noProof/>
          <w:lang w:val="fr-CH"/>
        </w:rPr>
        <w:t xml:space="preserve"> suisse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 (FPra)</w:t>
      </w:r>
      <w:r w:rsidR="00C964B3" w:rsidRPr="00251FA2">
        <w:rPr>
          <w:rFonts w:eastAsiaTheme="minorEastAsia" w:cs="Open Sans SemiCondensed"/>
          <w:noProof/>
          <w:lang w:val="fr-CH"/>
        </w:rPr>
        <w:t>,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 r</w:t>
      </w:r>
      <w:r w:rsidR="005A1BED" w:rsidRPr="00251FA2">
        <w:rPr>
          <w:rFonts w:eastAsiaTheme="minorEastAsia" w:cs="Open Sans SemiCondensed"/>
          <w:noProof/>
          <w:lang w:val="fr-CH"/>
        </w:rPr>
        <w:t>è</w:t>
      </w:r>
      <w:r w:rsidR="00EE60CC" w:rsidRPr="00251FA2">
        <w:rPr>
          <w:rFonts w:eastAsiaTheme="minorEastAsia" w:cs="Open Sans SemiCondensed"/>
          <w:noProof/>
          <w:lang w:val="fr-CH"/>
        </w:rPr>
        <w:t>glementé</w:t>
      </w:r>
      <w:r w:rsidR="00C964B3" w:rsidRPr="00251FA2">
        <w:rPr>
          <w:rFonts w:eastAsiaTheme="minorEastAsia" w:cs="Open Sans SemiCondensed"/>
          <w:noProof/>
          <w:lang w:val="fr-CH"/>
        </w:rPr>
        <w:t>e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 </w:t>
      </w:r>
      <w:r w:rsidR="00FC6F42" w:rsidRPr="00251FA2">
        <w:rPr>
          <w:rFonts w:eastAsiaTheme="minorEastAsia" w:cs="Open Sans SemiCondensed"/>
          <w:noProof/>
          <w:lang w:val="fr-CH"/>
        </w:rPr>
        <w:t xml:space="preserve">au niveau suisse </w:t>
      </w:r>
      <w:r w:rsidR="00C964B3" w:rsidRPr="00251FA2">
        <w:rPr>
          <w:rFonts w:eastAsiaTheme="minorEastAsia" w:cs="Open Sans SemiCondensed"/>
          <w:noProof/>
          <w:lang w:val="fr-CH"/>
        </w:rPr>
        <w:t>par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 </w:t>
      </w:r>
      <w:r w:rsidR="00DF3A1D" w:rsidRPr="00251FA2">
        <w:rPr>
          <w:rFonts w:eastAsiaTheme="minorEastAsia" w:cs="Open Sans SemiCondensed"/>
          <w:noProof/>
          <w:lang w:val="fr-CH"/>
        </w:rPr>
        <w:t xml:space="preserve">l’association de branche nationale des prestataires au service des personnes en situation de handicap </w:t>
      </w:r>
      <w:r w:rsidR="00EE60CC" w:rsidRPr="00251FA2">
        <w:rPr>
          <w:rFonts w:eastAsiaTheme="minorEastAsia" w:cs="Open Sans SemiCondensed"/>
          <w:noProof/>
          <w:lang w:val="fr-CH"/>
        </w:rPr>
        <w:t xml:space="preserve">INSOS. </w:t>
      </w:r>
      <w:r w:rsidR="008724FB" w:rsidRPr="00251FA2">
        <w:rPr>
          <w:rFonts w:eastAsiaTheme="minorEastAsia" w:cs="Open Sans SemiCondensed"/>
          <w:noProof/>
          <w:lang w:val="fr-CH"/>
        </w:rPr>
        <w:t>Elle est d</w:t>
      </w:r>
      <w:r w:rsidR="00E76728" w:rsidRPr="00251FA2">
        <w:rPr>
          <w:rFonts w:eastAsiaTheme="minorEastAsia" w:cs="Open Sans SemiCondensed"/>
          <w:noProof/>
          <w:lang w:val="fr-CH"/>
        </w:rPr>
        <w:t xml:space="preserve">estinée </w:t>
      </w:r>
      <w:r w:rsidR="00234D15" w:rsidRPr="00251FA2">
        <w:rPr>
          <w:rFonts w:eastAsiaTheme="minorEastAsia" w:cs="Open Sans SemiCondensed"/>
          <w:noProof/>
          <w:lang w:val="fr-CH"/>
        </w:rPr>
        <w:t xml:space="preserve">en première ligne </w:t>
      </w:r>
      <w:r w:rsidR="0050395C" w:rsidRPr="00251FA2">
        <w:rPr>
          <w:rFonts w:eastAsiaTheme="minorEastAsia" w:cs="Open Sans SemiCondensed"/>
          <w:noProof/>
          <w:lang w:val="fr-CH"/>
        </w:rPr>
        <w:t>aux personnes</w:t>
      </w:r>
      <w:r w:rsidR="00E76728" w:rsidRPr="00251FA2">
        <w:rPr>
          <w:rFonts w:eastAsiaTheme="minorEastAsia" w:cs="Open Sans SemiCondensed"/>
          <w:noProof/>
          <w:lang w:val="fr-CH"/>
        </w:rPr>
        <w:t xml:space="preserve"> </w:t>
      </w:r>
      <w:r w:rsidR="00C964B3" w:rsidRPr="00251FA2">
        <w:rPr>
          <w:rFonts w:eastAsiaTheme="minorEastAsia" w:cs="Open Sans SemiCondensed"/>
          <w:noProof/>
          <w:lang w:val="fr-CH"/>
        </w:rPr>
        <w:t>au bénéfice</w:t>
      </w:r>
      <w:r w:rsidR="00EF5680" w:rsidRPr="00251FA2">
        <w:rPr>
          <w:rFonts w:eastAsiaTheme="minorEastAsia" w:cs="Open Sans SemiCondensed"/>
          <w:noProof/>
          <w:lang w:val="fr-CH"/>
        </w:rPr>
        <w:t xml:space="preserve"> d’une mesure de formation professionnelle de </w:t>
      </w:r>
      <w:r w:rsidR="00C964B3" w:rsidRPr="00251FA2">
        <w:rPr>
          <w:rFonts w:eastAsiaTheme="minorEastAsia" w:cs="Open Sans SemiCondensed"/>
          <w:noProof/>
          <w:lang w:val="fr-CH"/>
        </w:rPr>
        <w:t>l’</w:t>
      </w:r>
      <w:r w:rsidR="007E0AD4" w:rsidRPr="00251FA2">
        <w:rPr>
          <w:rFonts w:eastAsiaTheme="minorEastAsia" w:cs="Open Sans SemiCondensed"/>
          <w:noProof/>
          <w:lang w:val="fr-CH"/>
        </w:rPr>
        <w:t>a</w:t>
      </w:r>
      <w:r w:rsidR="00FC6F42" w:rsidRPr="00251FA2">
        <w:rPr>
          <w:rFonts w:eastAsiaTheme="minorEastAsia" w:cs="Open Sans SemiCondensed"/>
          <w:noProof/>
          <w:lang w:val="fr-CH"/>
        </w:rPr>
        <w:t>ssurance</w:t>
      </w:r>
      <w:r w:rsidR="007E0AD4" w:rsidRPr="00251FA2">
        <w:rPr>
          <w:rFonts w:eastAsiaTheme="minorEastAsia" w:cs="Open Sans SemiCondensed"/>
          <w:noProof/>
          <w:lang w:val="fr-CH"/>
        </w:rPr>
        <w:t>-i</w:t>
      </w:r>
      <w:r w:rsidR="00FC6F42" w:rsidRPr="00251FA2">
        <w:rPr>
          <w:rFonts w:eastAsiaTheme="minorEastAsia" w:cs="Open Sans SemiCondensed"/>
          <w:noProof/>
          <w:lang w:val="fr-CH"/>
        </w:rPr>
        <w:t>nvalidité (AI)</w:t>
      </w:r>
      <w:r w:rsidR="003C010E" w:rsidRPr="00251FA2">
        <w:rPr>
          <w:rFonts w:eastAsiaTheme="minorEastAsia" w:cs="Open Sans SemiCondensed"/>
          <w:noProof/>
          <w:lang w:val="fr-CH"/>
        </w:rPr>
        <w:t xml:space="preserve"> </w:t>
      </w:r>
      <w:r w:rsidR="0050395C" w:rsidRPr="00251FA2">
        <w:rPr>
          <w:rFonts w:eastAsiaTheme="minorEastAsia" w:cs="Open Sans SemiCondensed"/>
          <w:noProof/>
          <w:lang w:val="fr-CH"/>
        </w:rPr>
        <w:t xml:space="preserve">ne pouvant pas (ou pas encore) suivre une formation </w:t>
      </w:r>
      <w:r w:rsidR="00D31E1D" w:rsidRPr="00251FA2">
        <w:rPr>
          <w:rFonts w:eastAsiaTheme="minorEastAsia" w:cs="Open Sans SemiCondensed"/>
          <w:noProof/>
          <w:lang w:val="fr-CH"/>
        </w:rPr>
        <w:t>préparant à un</w:t>
      </w:r>
      <w:r w:rsidR="00C1127B" w:rsidRPr="00251FA2">
        <w:rPr>
          <w:rFonts w:eastAsiaTheme="minorEastAsia" w:cs="Open Sans SemiCondensed"/>
          <w:noProof/>
          <w:lang w:val="fr-CH"/>
        </w:rPr>
        <w:t>e</w:t>
      </w:r>
      <w:r w:rsidR="00D31E1D" w:rsidRPr="00251FA2">
        <w:rPr>
          <w:rFonts w:eastAsiaTheme="minorEastAsia" w:cs="Open Sans SemiCondensed"/>
          <w:noProof/>
          <w:lang w:val="fr-CH"/>
        </w:rPr>
        <w:t xml:space="preserve"> </w:t>
      </w:r>
      <w:r w:rsidR="0050395C" w:rsidRPr="00251FA2">
        <w:rPr>
          <w:rFonts w:eastAsiaTheme="minorEastAsia" w:cs="Open Sans SemiCondensed"/>
          <w:noProof/>
          <w:lang w:val="fr-CH"/>
        </w:rPr>
        <w:t>AFP ou</w:t>
      </w:r>
      <w:r w:rsidR="00D31E1D" w:rsidRPr="00251FA2">
        <w:rPr>
          <w:rFonts w:eastAsiaTheme="minorEastAsia" w:cs="Open Sans SemiCondensed"/>
          <w:noProof/>
          <w:lang w:val="fr-CH"/>
        </w:rPr>
        <w:t xml:space="preserve"> un</w:t>
      </w:r>
      <w:r w:rsidR="0050395C" w:rsidRPr="00251FA2">
        <w:rPr>
          <w:rFonts w:eastAsiaTheme="minorEastAsia" w:cs="Open Sans SemiCondensed"/>
          <w:noProof/>
          <w:lang w:val="fr-CH"/>
        </w:rPr>
        <w:t xml:space="preserve"> CFC</w:t>
      </w:r>
      <w:r w:rsidR="00C964B3" w:rsidRPr="00251FA2">
        <w:rPr>
          <w:rFonts w:eastAsiaTheme="minorEastAsia" w:cs="Open Sans SemiCondensed"/>
          <w:noProof/>
          <w:lang w:val="fr-CH"/>
        </w:rPr>
        <w:t xml:space="preserve">. </w:t>
      </w:r>
      <w:r w:rsidR="00240B70" w:rsidRPr="00251FA2">
        <w:rPr>
          <w:rFonts w:eastAsiaTheme="minorEastAsia" w:cs="Open Sans SemiCondensed"/>
          <w:caps/>
          <w:noProof/>
          <w:lang w:val="fr-CH"/>
        </w:rPr>
        <w:t>à</w:t>
      </w:r>
      <w:r w:rsidR="009F2F01" w:rsidRPr="00251FA2">
        <w:rPr>
          <w:rFonts w:eastAsiaTheme="minorEastAsia" w:cs="Open Sans SemiCondensed"/>
          <w:noProof/>
          <w:lang w:val="fr-CH"/>
        </w:rPr>
        <w:t xml:space="preserve"> propos de cette population, </w:t>
      </w:r>
      <w:r w:rsidR="008724FB" w:rsidRPr="00251FA2">
        <w:rPr>
          <w:rFonts w:eastAsiaTheme="minorEastAsia" w:cs="Open Sans SemiCondensed"/>
          <w:noProof/>
          <w:lang w:val="fr-CH"/>
        </w:rPr>
        <w:t xml:space="preserve">il est </w:t>
      </w:r>
      <w:r w:rsidR="00BB5003" w:rsidRPr="00251FA2">
        <w:rPr>
          <w:rFonts w:eastAsiaTheme="minorEastAsia" w:cs="Open Sans SemiCondensed"/>
          <w:noProof/>
          <w:lang w:val="fr-CH"/>
        </w:rPr>
        <w:t xml:space="preserve">également </w:t>
      </w:r>
      <w:r w:rsidR="008724FB" w:rsidRPr="00251FA2">
        <w:rPr>
          <w:rFonts w:eastAsiaTheme="minorEastAsia" w:cs="Open Sans SemiCondensed"/>
          <w:noProof/>
          <w:lang w:val="fr-CH"/>
        </w:rPr>
        <w:t xml:space="preserve">à noter que </w:t>
      </w:r>
      <w:r w:rsidR="00386160" w:rsidRPr="00251FA2">
        <w:rPr>
          <w:rFonts w:eastAsiaTheme="minorEastAsia" w:cs="Open Sans SemiCondensed"/>
          <w:noProof/>
          <w:lang w:val="fr-CH"/>
        </w:rPr>
        <w:t xml:space="preserve">le rapport d’évaluation </w:t>
      </w:r>
      <w:r w:rsidR="009F2F01" w:rsidRPr="00251FA2">
        <w:rPr>
          <w:rFonts w:eastAsiaTheme="minorEastAsia" w:cs="Open Sans SemiCondensed"/>
          <w:noProof/>
          <w:lang w:val="fr-CH"/>
        </w:rPr>
        <w:t>de l’ONU</w:t>
      </w:r>
      <w:r w:rsidR="00F11402" w:rsidRPr="00251FA2">
        <w:rPr>
          <w:rFonts w:eastAsiaTheme="minorEastAsia" w:cs="Open Sans SemiCondensed"/>
          <w:noProof/>
          <w:lang w:val="fr-CH"/>
        </w:rPr>
        <w:t xml:space="preserve"> de 2022</w:t>
      </w:r>
      <w:r w:rsidR="009F2F01" w:rsidRPr="00251FA2">
        <w:rPr>
          <w:rFonts w:eastAsiaTheme="minorEastAsia" w:cs="Open Sans SemiCondensed"/>
          <w:noProof/>
          <w:lang w:val="fr-CH"/>
        </w:rPr>
        <w:t xml:space="preserve"> quant à </w:t>
      </w:r>
      <w:r w:rsidR="00386160" w:rsidRPr="00251FA2">
        <w:rPr>
          <w:rFonts w:eastAsiaTheme="minorEastAsia" w:cs="Open Sans SemiCondensed"/>
          <w:noProof/>
          <w:lang w:val="fr-CH"/>
        </w:rPr>
        <w:t xml:space="preserve">la mise en œuvre de la </w:t>
      </w:r>
      <w:r w:rsidR="001D5629" w:rsidRPr="00251FA2">
        <w:rPr>
          <w:rFonts w:eastAsiaTheme="minorEastAsia" w:cs="Open Sans SemiCondensed"/>
          <w:noProof/>
          <w:lang w:val="fr-CH"/>
        </w:rPr>
        <w:t>CDPH</w:t>
      </w:r>
      <w:r w:rsidR="00386160" w:rsidRPr="00251FA2">
        <w:rPr>
          <w:rFonts w:eastAsiaTheme="minorEastAsia" w:cs="Open Sans SemiCondensed"/>
          <w:noProof/>
          <w:lang w:val="fr-CH"/>
        </w:rPr>
        <w:t xml:space="preserve"> </w:t>
      </w:r>
      <w:r w:rsidR="003C010E" w:rsidRPr="00251FA2">
        <w:rPr>
          <w:rFonts w:eastAsiaTheme="minorEastAsia" w:cs="Open Sans SemiCondensed"/>
          <w:noProof/>
          <w:lang w:val="fr-CH"/>
        </w:rPr>
        <w:t xml:space="preserve">en Suisse </w:t>
      </w:r>
      <w:r w:rsidR="001D5629" w:rsidRPr="00251FA2">
        <w:rPr>
          <w:rFonts w:eastAsiaTheme="minorEastAsia" w:cs="Open Sans SemiCondensed"/>
          <w:noProof/>
          <w:lang w:val="fr-CH"/>
        </w:rPr>
        <w:t>relève le manque d’accès à des programmes inclusifs certifiés de formation professionnelle, notamment initiale</w:t>
      </w:r>
      <w:r w:rsidR="000F3D27" w:rsidRPr="00251FA2">
        <w:rPr>
          <w:rFonts w:eastAsiaTheme="minorEastAsia" w:cs="Open Sans SemiCondensed"/>
          <w:noProof/>
          <w:lang w:val="fr-CH"/>
        </w:rPr>
        <w:t>, pour les personnes en situation de handicap</w:t>
      </w:r>
      <w:r w:rsidR="001D5629" w:rsidRPr="00251FA2">
        <w:rPr>
          <w:rFonts w:eastAsiaTheme="minorEastAsia" w:cs="Open Sans SemiCondensed"/>
          <w:noProof/>
          <w:lang w:val="fr-CH"/>
        </w:rPr>
        <w:t xml:space="preserve"> (</w:t>
      </w:r>
      <w:r w:rsidR="00F11402" w:rsidRPr="00251FA2">
        <w:rPr>
          <w:rFonts w:eastAsiaTheme="minorEastAsia" w:cs="Open Sans SemiCondensed"/>
          <w:noProof/>
          <w:lang w:val="fr-CH"/>
        </w:rPr>
        <w:t>Comité des droits des personnes handicapées</w:t>
      </w:r>
      <w:r w:rsidR="001D5629" w:rsidRPr="00251FA2">
        <w:rPr>
          <w:rFonts w:eastAsiaTheme="minorEastAsia" w:cs="Open Sans SemiCondensed"/>
          <w:noProof/>
          <w:lang w:val="fr-CH"/>
        </w:rPr>
        <w:t>, 2022).</w:t>
      </w:r>
    </w:p>
    <w:p w14:paraId="326C05A3" w14:textId="5B748E11" w:rsidR="00EB021B" w:rsidRPr="00251FA2" w:rsidRDefault="00A44D55" w:rsidP="000A3A52">
      <w:pPr>
        <w:pStyle w:val="Textkrper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Dans ce contexte, </w:t>
      </w:r>
      <w:r w:rsidR="00B87789" w:rsidRPr="00251FA2">
        <w:rPr>
          <w:rFonts w:eastAsiaTheme="minorEastAsia" w:cs="Open Sans SemiCondensed"/>
          <w:noProof/>
          <w:lang w:val="fr-CH"/>
        </w:rPr>
        <w:t xml:space="preserve">alors </w:t>
      </w:r>
      <w:r w:rsidR="0088718D" w:rsidRPr="00251FA2">
        <w:rPr>
          <w:rFonts w:eastAsiaTheme="minorEastAsia" w:cs="Open Sans SemiCondensed"/>
          <w:noProof/>
          <w:lang w:val="fr-CH"/>
        </w:rPr>
        <w:t xml:space="preserve">que </w:t>
      </w:r>
      <w:r w:rsidR="00B87789" w:rsidRPr="00251FA2">
        <w:rPr>
          <w:rFonts w:eastAsiaTheme="minorEastAsia" w:cs="Open Sans SemiCondensed"/>
          <w:noProof/>
          <w:lang w:val="fr-CH"/>
        </w:rPr>
        <w:t xml:space="preserve">la </w:t>
      </w:r>
      <w:r w:rsidR="00D31E1D" w:rsidRPr="00251FA2">
        <w:rPr>
          <w:rFonts w:eastAsiaTheme="minorEastAsia" w:cs="Open Sans SemiCondensed"/>
          <w:noProof/>
          <w:lang w:val="fr-CH"/>
        </w:rPr>
        <w:t>filière</w:t>
      </w:r>
      <w:r w:rsidR="00B87789" w:rsidRPr="00251FA2">
        <w:rPr>
          <w:rFonts w:eastAsiaTheme="minorEastAsia" w:cs="Open Sans SemiCondensed"/>
          <w:noProof/>
          <w:lang w:val="fr-CH"/>
        </w:rPr>
        <w:t xml:space="preserve"> </w:t>
      </w:r>
      <w:r w:rsidR="00595AB0" w:rsidRPr="00251FA2">
        <w:rPr>
          <w:rFonts w:eastAsiaTheme="minorEastAsia" w:cs="Open Sans SemiCondensed"/>
          <w:noProof/>
          <w:lang w:val="fr-CH"/>
        </w:rPr>
        <w:t>CFC est fortement valorisé</w:t>
      </w:r>
      <w:r w:rsidR="00E65D74" w:rsidRPr="00251FA2">
        <w:rPr>
          <w:rFonts w:eastAsiaTheme="minorEastAsia" w:cs="Open Sans SemiCondensed"/>
          <w:noProof/>
          <w:lang w:val="fr-CH"/>
        </w:rPr>
        <w:t>e</w:t>
      </w:r>
      <w:r w:rsidR="00595AB0" w:rsidRPr="00251FA2">
        <w:rPr>
          <w:rFonts w:eastAsiaTheme="minorEastAsia" w:cs="Open Sans SemiCondensed"/>
          <w:noProof/>
          <w:lang w:val="fr-CH"/>
        </w:rPr>
        <w:t xml:space="preserve">, </w:t>
      </w:r>
      <w:r w:rsidR="00CC351B" w:rsidRPr="00251FA2">
        <w:rPr>
          <w:rFonts w:eastAsiaTheme="minorEastAsia" w:cs="Open Sans SemiCondensed"/>
          <w:noProof/>
          <w:lang w:val="fr-CH"/>
        </w:rPr>
        <w:t xml:space="preserve">et </w:t>
      </w:r>
      <w:r w:rsidR="00E65D74" w:rsidRPr="00251FA2">
        <w:rPr>
          <w:rFonts w:eastAsiaTheme="minorEastAsia" w:cs="Open Sans SemiCondensed"/>
          <w:noProof/>
          <w:lang w:val="fr-CH"/>
        </w:rPr>
        <w:t xml:space="preserve">que </w:t>
      </w:r>
      <w:r w:rsidR="00AE66F3" w:rsidRPr="00251FA2">
        <w:rPr>
          <w:rFonts w:eastAsiaTheme="minorEastAsia" w:cs="Open Sans SemiCondensed"/>
          <w:noProof/>
          <w:lang w:val="fr-CH"/>
        </w:rPr>
        <w:t xml:space="preserve">les </w:t>
      </w:r>
      <w:r w:rsidR="00595AB0" w:rsidRPr="00251FA2">
        <w:rPr>
          <w:rFonts w:eastAsiaTheme="minorEastAsia" w:cs="Open Sans SemiCondensed"/>
          <w:noProof/>
          <w:lang w:val="fr-CH"/>
        </w:rPr>
        <w:t>filière</w:t>
      </w:r>
      <w:r w:rsidR="00AE66F3" w:rsidRPr="00251FA2">
        <w:rPr>
          <w:rFonts w:eastAsiaTheme="minorEastAsia" w:cs="Open Sans SemiCondensed"/>
          <w:noProof/>
          <w:lang w:val="fr-CH"/>
        </w:rPr>
        <w:t>s</w:t>
      </w:r>
      <w:r w:rsidR="00595AB0" w:rsidRPr="00251FA2">
        <w:rPr>
          <w:rFonts w:eastAsiaTheme="minorEastAsia" w:cs="Open Sans SemiCondensed"/>
          <w:noProof/>
          <w:lang w:val="fr-CH"/>
        </w:rPr>
        <w:t xml:space="preserve"> </w:t>
      </w:r>
      <w:r w:rsidR="00B87789" w:rsidRPr="00251FA2">
        <w:rPr>
          <w:rFonts w:eastAsiaTheme="minorEastAsia" w:cs="Open Sans SemiCondensed"/>
          <w:noProof/>
          <w:lang w:val="fr-CH"/>
        </w:rPr>
        <w:t xml:space="preserve">AFP et FPra sont considérées comme un succès </w:t>
      </w:r>
      <w:r w:rsidR="00BB5003" w:rsidRPr="00251FA2">
        <w:rPr>
          <w:rFonts w:eastAsiaTheme="minorEastAsia" w:cs="Open Sans SemiCondensed"/>
          <w:noProof/>
          <w:lang w:val="fr-CH"/>
        </w:rPr>
        <w:t>(</w:t>
      </w:r>
      <w:r w:rsidR="00B87789" w:rsidRPr="00251FA2">
        <w:rPr>
          <w:rFonts w:eastAsiaTheme="minorEastAsia" w:cs="Open Sans SemiCondensed"/>
          <w:noProof/>
          <w:lang w:val="fr-CH"/>
        </w:rPr>
        <w:t>augmentation du nombre de formations et de personnes en formation</w:t>
      </w:r>
      <w:r w:rsidR="00BB5003" w:rsidRPr="00251FA2">
        <w:rPr>
          <w:rFonts w:eastAsiaTheme="minorEastAsia" w:cs="Open Sans SemiCondensed"/>
          <w:noProof/>
          <w:lang w:val="fr-CH"/>
        </w:rPr>
        <w:t>,</w:t>
      </w:r>
      <w:r w:rsidR="00B87789" w:rsidRPr="00251FA2">
        <w:rPr>
          <w:rFonts w:eastAsiaTheme="minorEastAsia" w:cs="Open Sans SemiCondensed"/>
          <w:noProof/>
          <w:lang w:val="fr-CH"/>
        </w:rPr>
        <w:t xml:space="preserve"> satisfaction de ces dernières</w:t>
      </w:r>
      <w:r w:rsidR="00BB5003" w:rsidRPr="00251FA2">
        <w:rPr>
          <w:rFonts w:eastAsiaTheme="minorEastAsia" w:cs="Open Sans SemiCondensed"/>
          <w:noProof/>
          <w:lang w:val="fr-CH"/>
        </w:rPr>
        <w:t>)</w:t>
      </w:r>
      <w:r w:rsidR="00B87789" w:rsidRPr="00251FA2">
        <w:rPr>
          <w:rFonts w:eastAsiaTheme="minorEastAsia" w:cs="Open Sans SemiCondensed"/>
          <w:noProof/>
          <w:lang w:val="fr-CH"/>
        </w:rPr>
        <w:t xml:space="preserve"> (</w:t>
      </w:r>
      <w:r w:rsidR="0088718D" w:rsidRPr="00251FA2">
        <w:rPr>
          <w:rFonts w:eastAsiaTheme="minorEastAsia" w:cs="Open Sans SemiCondensed"/>
          <w:noProof/>
          <w:lang w:val="fr-CH"/>
        </w:rPr>
        <w:t>Hofmann et al., 2020 ; INSOS, 2022</w:t>
      </w:r>
      <w:r w:rsidR="004304C3" w:rsidRPr="00251FA2">
        <w:rPr>
          <w:rFonts w:eastAsiaTheme="minorEastAsia" w:cs="Open Sans SemiCondensed"/>
          <w:noProof/>
          <w:lang w:val="fr-CH"/>
        </w:rPr>
        <w:t>a</w:t>
      </w:r>
      <w:r w:rsidR="0088718D" w:rsidRPr="00251FA2">
        <w:rPr>
          <w:rFonts w:eastAsiaTheme="minorEastAsia" w:cs="Open Sans SemiCondensed"/>
          <w:noProof/>
          <w:lang w:val="fr-CH"/>
        </w:rPr>
        <w:t> ; Scharnorst &amp; Kammermann, 2020</w:t>
      </w:r>
      <w:r w:rsidR="00B87789" w:rsidRPr="00251FA2">
        <w:rPr>
          <w:rFonts w:eastAsiaTheme="minorEastAsia" w:cs="Open Sans SemiCondensed"/>
          <w:noProof/>
          <w:lang w:val="fr-CH"/>
        </w:rPr>
        <w:t xml:space="preserve">), </w:t>
      </w:r>
      <w:r w:rsidR="00900621" w:rsidRPr="00251FA2">
        <w:rPr>
          <w:rFonts w:eastAsiaTheme="minorEastAsia" w:cs="Open Sans SemiCondensed"/>
          <w:noProof/>
          <w:lang w:val="fr-CH"/>
        </w:rPr>
        <w:t>les taux de résiliation, en particulier dans l</w:t>
      </w:r>
      <w:r w:rsidR="00F90B17" w:rsidRPr="00251FA2">
        <w:rPr>
          <w:rFonts w:eastAsiaTheme="minorEastAsia" w:cs="Open Sans SemiCondensed"/>
          <w:noProof/>
          <w:lang w:val="fr-CH"/>
        </w:rPr>
        <w:t>es filières AFP et CFC, restent</w:t>
      </w:r>
      <w:r w:rsidR="00900621" w:rsidRPr="00251FA2">
        <w:rPr>
          <w:rFonts w:eastAsiaTheme="minorEastAsia" w:cs="Open Sans SemiCondensed"/>
          <w:noProof/>
          <w:lang w:val="fr-CH"/>
        </w:rPr>
        <w:t xml:space="preserve"> relativement élevé</w:t>
      </w:r>
      <w:r w:rsidR="00F90B17" w:rsidRPr="00251FA2">
        <w:rPr>
          <w:rFonts w:eastAsiaTheme="minorEastAsia" w:cs="Open Sans SemiCondensed"/>
          <w:noProof/>
          <w:lang w:val="fr-CH"/>
        </w:rPr>
        <w:t>s</w:t>
      </w:r>
      <w:r w:rsidR="00900621" w:rsidRPr="00251FA2">
        <w:rPr>
          <w:rFonts w:eastAsiaTheme="minorEastAsia" w:cs="Open Sans SemiCondensed"/>
          <w:noProof/>
          <w:lang w:val="fr-CH"/>
        </w:rPr>
        <w:t>. Pour</w:t>
      </w:r>
      <w:r w:rsidR="00DD28A5" w:rsidRPr="00251FA2">
        <w:rPr>
          <w:rFonts w:eastAsiaTheme="minorEastAsia" w:cs="Open Sans SemiCondensed"/>
          <w:noProof/>
          <w:lang w:val="fr-CH"/>
        </w:rPr>
        <w:t xml:space="preserve"> mieux comprendre les enjeux de ce phénomène et ce qu’il </w:t>
      </w:r>
      <w:r w:rsidR="00C302F1" w:rsidRPr="00251FA2">
        <w:rPr>
          <w:rFonts w:eastAsiaTheme="minorEastAsia" w:cs="Open Sans SemiCondensed"/>
          <w:noProof/>
          <w:lang w:val="fr-CH"/>
        </w:rPr>
        <w:t>dit</w:t>
      </w:r>
      <w:r w:rsidR="00DD28A5" w:rsidRPr="00251FA2">
        <w:rPr>
          <w:rFonts w:eastAsiaTheme="minorEastAsia" w:cs="Open Sans SemiCondensed"/>
          <w:noProof/>
          <w:lang w:val="fr-CH"/>
        </w:rPr>
        <w:t xml:space="preserve"> de la transition et du système de formation qui lui est lié</w:t>
      </w:r>
      <w:r w:rsidR="00580706" w:rsidRPr="00251FA2">
        <w:rPr>
          <w:rFonts w:eastAsiaTheme="minorEastAsia" w:cs="Open Sans SemiCondensed"/>
          <w:noProof/>
          <w:lang w:val="fr-CH"/>
        </w:rPr>
        <w:t xml:space="preserve">, </w:t>
      </w:r>
      <w:r w:rsidR="0088718D" w:rsidRPr="00251FA2">
        <w:rPr>
          <w:rFonts w:eastAsiaTheme="minorEastAsia" w:cs="Open Sans SemiCondensed"/>
          <w:noProof/>
          <w:lang w:val="fr-CH"/>
        </w:rPr>
        <w:t>cette contribution</w:t>
      </w:r>
      <w:r w:rsidR="00580706" w:rsidRPr="00251FA2">
        <w:rPr>
          <w:rFonts w:eastAsiaTheme="minorEastAsia" w:cs="Open Sans SemiCondensed"/>
          <w:noProof/>
          <w:lang w:val="fr-CH"/>
        </w:rPr>
        <w:t xml:space="preserve"> se base sur </w:t>
      </w:r>
      <w:r w:rsidR="00554824" w:rsidRPr="00251FA2">
        <w:rPr>
          <w:rFonts w:eastAsiaTheme="minorEastAsia" w:cs="Open Sans SemiCondensed"/>
          <w:noProof/>
          <w:lang w:val="fr-CH"/>
        </w:rPr>
        <w:t>deux</w:t>
      </w:r>
      <w:r w:rsidR="001F78D2" w:rsidRPr="00251FA2">
        <w:rPr>
          <w:rFonts w:eastAsiaTheme="minorEastAsia" w:cs="Open Sans SemiCondensed"/>
          <w:noProof/>
          <w:lang w:val="fr-CH"/>
        </w:rPr>
        <w:t xml:space="preserve"> projets </w:t>
      </w:r>
      <w:r w:rsidR="008017BB" w:rsidRPr="00251FA2">
        <w:rPr>
          <w:rFonts w:eastAsiaTheme="minorEastAsia" w:cs="Open Sans SemiCondensed"/>
          <w:noProof/>
          <w:lang w:val="fr-CH"/>
        </w:rPr>
        <w:t xml:space="preserve">portant sur les </w:t>
      </w:r>
      <w:r w:rsidR="00327D25" w:rsidRPr="00251FA2">
        <w:rPr>
          <w:rFonts w:eastAsiaTheme="minorEastAsia" w:cs="Open Sans SemiCondensed"/>
          <w:noProof/>
          <w:lang w:val="fr-CH"/>
        </w:rPr>
        <w:t>résiliations de contrat d’apprentissage (</w:t>
      </w:r>
      <w:r w:rsidR="00595AB0" w:rsidRPr="00251FA2">
        <w:rPr>
          <w:rFonts w:eastAsiaTheme="minorEastAsia" w:cs="Open Sans SemiCondensed"/>
          <w:noProof/>
          <w:lang w:val="fr-CH"/>
        </w:rPr>
        <w:t>RCA</w:t>
      </w:r>
      <w:r w:rsidR="00327D25" w:rsidRPr="00251FA2">
        <w:rPr>
          <w:rFonts w:eastAsiaTheme="minorEastAsia" w:cs="Open Sans SemiCondensed"/>
          <w:noProof/>
          <w:lang w:val="fr-CH"/>
        </w:rPr>
        <w:t xml:space="preserve">) </w:t>
      </w:r>
      <w:r w:rsidR="008017BB" w:rsidRPr="00251FA2">
        <w:rPr>
          <w:rFonts w:eastAsiaTheme="minorEastAsia" w:cs="Open Sans SemiCondensed"/>
          <w:noProof/>
          <w:lang w:val="fr-CH"/>
        </w:rPr>
        <w:t xml:space="preserve">dans les </w:t>
      </w:r>
      <w:r w:rsidR="00C964B3" w:rsidRPr="00251FA2">
        <w:rPr>
          <w:rFonts w:eastAsiaTheme="minorEastAsia" w:cs="Open Sans SemiCondensed"/>
          <w:noProof/>
          <w:lang w:val="fr-CH"/>
        </w:rPr>
        <w:t xml:space="preserve">trois </w:t>
      </w:r>
      <w:r w:rsidR="008017BB" w:rsidRPr="00251FA2">
        <w:rPr>
          <w:rFonts w:eastAsiaTheme="minorEastAsia" w:cs="Open Sans SemiCondensed"/>
          <w:noProof/>
          <w:lang w:val="fr-CH"/>
        </w:rPr>
        <w:t>filières</w:t>
      </w:r>
      <w:r w:rsidR="00C964B3" w:rsidRPr="00251FA2">
        <w:rPr>
          <w:rFonts w:eastAsiaTheme="minorEastAsia" w:cs="Open Sans SemiCondensed"/>
          <w:noProof/>
          <w:lang w:val="fr-CH"/>
        </w:rPr>
        <w:t xml:space="preserve"> </w:t>
      </w:r>
      <w:r w:rsidR="008017BB" w:rsidRPr="00251FA2">
        <w:rPr>
          <w:rFonts w:eastAsiaTheme="minorEastAsia" w:cs="Open Sans SemiCondensed"/>
          <w:noProof/>
          <w:lang w:val="fr-CH"/>
        </w:rPr>
        <w:t>(CFC, AFP, FPra).</w:t>
      </w:r>
    </w:p>
    <w:bookmarkEnd w:id="0"/>
    <w:p w14:paraId="2C8324E5" w14:textId="4A1F2305" w:rsidR="00581B3D" w:rsidRPr="00251FA2" w:rsidRDefault="003D2EF7" w:rsidP="000A3A52">
      <w:pPr>
        <w:pStyle w:val="berschrift1"/>
        <w:rPr>
          <w:rFonts w:eastAsiaTheme="minorEastAsia"/>
          <w:noProof/>
          <w:lang w:val="fr-CH"/>
        </w:rPr>
      </w:pPr>
      <w:r w:rsidRPr="00251FA2">
        <w:rPr>
          <w:rFonts w:eastAsiaTheme="minorEastAsia"/>
          <w:noProof/>
          <w:lang w:val="fr-CH"/>
        </w:rPr>
        <w:t>Les</w:t>
      </w:r>
      <w:r w:rsidR="00581B3D" w:rsidRPr="00251FA2">
        <w:rPr>
          <w:rFonts w:eastAsiaTheme="minorEastAsia"/>
          <w:noProof/>
          <w:lang w:val="fr-CH"/>
        </w:rPr>
        <w:t xml:space="preserve"> résiliation</w:t>
      </w:r>
      <w:r w:rsidRPr="00251FA2">
        <w:rPr>
          <w:rFonts w:eastAsiaTheme="minorEastAsia"/>
          <w:noProof/>
          <w:lang w:val="fr-CH"/>
        </w:rPr>
        <w:t>s</w:t>
      </w:r>
      <w:r w:rsidR="00581B3D" w:rsidRPr="00251FA2">
        <w:rPr>
          <w:rFonts w:eastAsiaTheme="minorEastAsia"/>
          <w:noProof/>
          <w:lang w:val="fr-CH"/>
        </w:rPr>
        <w:t xml:space="preserve"> de contrat d’apprentissage</w:t>
      </w:r>
      <w:r w:rsidR="00A36D67" w:rsidRPr="00251FA2">
        <w:rPr>
          <w:rFonts w:eastAsiaTheme="minorEastAsia"/>
          <w:noProof/>
          <w:lang w:val="fr-CH"/>
        </w:rPr>
        <w:t xml:space="preserve"> </w:t>
      </w:r>
    </w:p>
    <w:p w14:paraId="5055D8A4" w14:textId="76F215CA" w:rsidR="00DE05DE" w:rsidRPr="00251FA2" w:rsidRDefault="00A36D67" w:rsidP="004E65FA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 xml:space="preserve">Les </w:t>
      </w:r>
      <w:r w:rsidR="00054B6F" w:rsidRPr="00251FA2">
        <w:rPr>
          <w:noProof/>
          <w:lang w:val="fr-CH"/>
        </w:rPr>
        <w:t>RCA</w:t>
      </w:r>
      <w:r w:rsidR="00767DF6" w:rsidRPr="00251FA2">
        <w:rPr>
          <w:noProof/>
          <w:lang w:val="fr-CH"/>
        </w:rPr>
        <w:t xml:space="preserve"> </w:t>
      </w:r>
      <w:r w:rsidR="00581B3D" w:rsidRPr="00251FA2">
        <w:rPr>
          <w:noProof/>
          <w:lang w:val="fr-CH"/>
        </w:rPr>
        <w:t>avant le terme de la formation</w:t>
      </w:r>
      <w:r w:rsidRPr="00251FA2">
        <w:rPr>
          <w:noProof/>
          <w:lang w:val="fr-CH"/>
        </w:rPr>
        <w:t xml:space="preserve"> </w:t>
      </w:r>
      <w:r w:rsidR="00767DF6" w:rsidRPr="00251FA2">
        <w:rPr>
          <w:noProof/>
          <w:lang w:val="fr-CH"/>
        </w:rPr>
        <w:t>peuvent se faire</w:t>
      </w:r>
      <w:r w:rsidRPr="00251FA2">
        <w:rPr>
          <w:noProof/>
          <w:lang w:val="fr-CH"/>
        </w:rPr>
        <w:t xml:space="preserve"> </w:t>
      </w:r>
      <w:r w:rsidR="003D2EF7" w:rsidRPr="00251FA2">
        <w:rPr>
          <w:noProof/>
          <w:lang w:val="fr-CH"/>
        </w:rPr>
        <w:t>par consentement mutuel ou de façon unilatérale pour de juste</w:t>
      </w:r>
      <w:r w:rsidR="00F5023D" w:rsidRPr="00251FA2">
        <w:rPr>
          <w:noProof/>
          <w:lang w:val="fr-CH"/>
        </w:rPr>
        <w:t xml:space="preserve">s motifs </w:t>
      </w:r>
      <w:r w:rsidRPr="00251FA2">
        <w:rPr>
          <w:noProof/>
          <w:lang w:val="fr-CH"/>
        </w:rPr>
        <w:t xml:space="preserve">(absences de qualification des </w:t>
      </w:r>
      <w:r w:rsidR="0098011A" w:rsidRPr="00251FA2">
        <w:rPr>
          <w:noProof/>
          <w:lang w:val="fr-CH"/>
        </w:rPr>
        <w:t>personnes formatrices,</w:t>
      </w:r>
      <w:r w:rsidRPr="00251FA2">
        <w:rPr>
          <w:noProof/>
          <w:lang w:val="fr-CH"/>
        </w:rPr>
        <w:t xml:space="preserve"> </w:t>
      </w:r>
      <w:r w:rsidR="00767DF6" w:rsidRPr="00251FA2">
        <w:rPr>
          <w:noProof/>
          <w:lang w:val="fr-CH"/>
        </w:rPr>
        <w:t xml:space="preserve">inadéquation des aptitudes physiques ou intellectuelles </w:t>
      </w:r>
      <w:r w:rsidR="0098011A" w:rsidRPr="00251FA2">
        <w:rPr>
          <w:noProof/>
          <w:lang w:val="fr-CH"/>
        </w:rPr>
        <w:t>des</w:t>
      </w:r>
      <w:r w:rsidR="00767DF6" w:rsidRPr="00251FA2">
        <w:rPr>
          <w:noProof/>
          <w:lang w:val="fr-CH"/>
        </w:rPr>
        <w:t xml:space="preserve"> personne</w:t>
      </w:r>
      <w:r w:rsidR="0098011A" w:rsidRPr="00251FA2">
        <w:rPr>
          <w:noProof/>
          <w:lang w:val="fr-CH"/>
        </w:rPr>
        <w:t>s</w:t>
      </w:r>
      <w:r w:rsidR="00767DF6" w:rsidRPr="00251FA2">
        <w:rPr>
          <w:noProof/>
          <w:lang w:val="fr-CH"/>
        </w:rPr>
        <w:t xml:space="preserve"> en formation, </w:t>
      </w:r>
      <w:r w:rsidRPr="00251FA2">
        <w:rPr>
          <w:noProof/>
          <w:lang w:val="fr-CH"/>
        </w:rPr>
        <w:t>santé</w:t>
      </w:r>
      <w:r w:rsidR="00F92AC1" w:rsidRPr="00251FA2">
        <w:rPr>
          <w:noProof/>
          <w:lang w:val="fr-CH"/>
        </w:rPr>
        <w:t>…</w:t>
      </w:r>
      <w:r w:rsidRPr="00251FA2">
        <w:rPr>
          <w:noProof/>
          <w:lang w:val="fr-CH"/>
        </w:rPr>
        <w:t>)</w:t>
      </w:r>
      <w:r w:rsidR="00767DF6" w:rsidRPr="00251FA2">
        <w:rPr>
          <w:noProof/>
          <w:lang w:val="fr-CH"/>
        </w:rPr>
        <w:t>.</w:t>
      </w:r>
      <w:r w:rsidR="00145F43" w:rsidRPr="00251FA2">
        <w:rPr>
          <w:noProof/>
          <w:lang w:val="fr-CH"/>
        </w:rPr>
        <w:t xml:space="preserve"> </w:t>
      </w:r>
      <w:r w:rsidR="00AB2219" w:rsidRPr="00251FA2">
        <w:rPr>
          <w:noProof/>
          <w:lang w:val="fr-CH"/>
        </w:rPr>
        <w:t>Dans le cas des</w:t>
      </w:r>
      <w:r w:rsidR="00FE695F" w:rsidRPr="00251FA2">
        <w:rPr>
          <w:noProof/>
          <w:lang w:val="fr-CH"/>
        </w:rPr>
        <w:t xml:space="preserve"> personnes au bénéfice d’une mesure </w:t>
      </w:r>
      <w:r w:rsidR="0041161C" w:rsidRPr="00251FA2">
        <w:rPr>
          <w:noProof/>
          <w:lang w:val="fr-CH"/>
        </w:rPr>
        <w:t>de formation professionnelle initiale financé</w:t>
      </w:r>
      <w:r w:rsidR="00FF2543" w:rsidRPr="00251FA2">
        <w:rPr>
          <w:noProof/>
          <w:lang w:val="fr-CH"/>
        </w:rPr>
        <w:t>e</w:t>
      </w:r>
      <w:r w:rsidR="0041161C" w:rsidRPr="00251FA2">
        <w:rPr>
          <w:noProof/>
          <w:lang w:val="fr-CH"/>
        </w:rPr>
        <w:t xml:space="preserve"> par </w:t>
      </w:r>
      <w:r w:rsidR="00BB50E9" w:rsidRPr="00251FA2">
        <w:rPr>
          <w:noProof/>
          <w:lang w:val="fr-CH"/>
        </w:rPr>
        <w:t>l’</w:t>
      </w:r>
      <w:r w:rsidR="00FE695F" w:rsidRPr="00251FA2">
        <w:rPr>
          <w:noProof/>
          <w:lang w:val="fr-CH"/>
        </w:rPr>
        <w:t>AI</w:t>
      </w:r>
      <w:r w:rsidR="00AB2219" w:rsidRPr="00251FA2">
        <w:rPr>
          <w:noProof/>
          <w:lang w:val="fr-CH"/>
        </w:rPr>
        <w:t xml:space="preserve">, la formation </w:t>
      </w:r>
      <w:r w:rsidR="00FE695F" w:rsidRPr="00251FA2">
        <w:rPr>
          <w:noProof/>
          <w:lang w:val="fr-CH"/>
        </w:rPr>
        <w:t xml:space="preserve">peut être interrompue </w:t>
      </w:r>
      <w:r w:rsidR="0041161C" w:rsidRPr="00251FA2">
        <w:rPr>
          <w:noProof/>
          <w:lang w:val="fr-CH"/>
        </w:rPr>
        <w:t xml:space="preserve">par le financeur </w:t>
      </w:r>
      <w:r w:rsidR="00FE695F" w:rsidRPr="00251FA2">
        <w:rPr>
          <w:noProof/>
          <w:lang w:val="fr-CH"/>
        </w:rPr>
        <w:t>si elle ne correspond pas (ou plus) au niveau de développement et aux capacités de la personne assurée (</w:t>
      </w:r>
      <w:r w:rsidR="00C73088" w:rsidRPr="00251FA2">
        <w:rPr>
          <w:noProof/>
          <w:lang w:val="fr-CH"/>
        </w:rPr>
        <w:t>Office fédéral des assurances sociales [OFAS], 2023)</w:t>
      </w:r>
      <w:r w:rsidR="00FE695F" w:rsidRPr="00251FA2">
        <w:rPr>
          <w:noProof/>
          <w:lang w:val="fr-CH"/>
        </w:rPr>
        <w:t>. Par ailleurs, une formation professionnelle assimilée à la formation professionnelle initiale comme la FPra</w:t>
      </w:r>
      <w:r w:rsidR="00B81127" w:rsidRPr="00251FA2">
        <w:rPr>
          <w:noProof/>
          <w:lang w:val="fr-CH"/>
        </w:rPr>
        <w:t xml:space="preserve"> peut être interrompue en raison d’un déséquilibre entre </w:t>
      </w:r>
      <w:r w:rsidR="00DE05DE" w:rsidRPr="00251FA2">
        <w:rPr>
          <w:noProof/>
          <w:lang w:val="fr-CH"/>
        </w:rPr>
        <w:t xml:space="preserve">l’objectif de la </w:t>
      </w:r>
      <w:r w:rsidR="00F164B7" w:rsidRPr="00251FA2">
        <w:rPr>
          <w:noProof/>
          <w:lang w:val="fr-CH"/>
        </w:rPr>
        <w:t xml:space="preserve">mesure de </w:t>
      </w:r>
      <w:r w:rsidR="00DE05DE" w:rsidRPr="00251FA2">
        <w:rPr>
          <w:noProof/>
          <w:lang w:val="fr-CH"/>
        </w:rPr>
        <w:t xml:space="preserve">réadaptation et </w:t>
      </w:r>
      <w:r w:rsidR="00F164B7" w:rsidRPr="00251FA2">
        <w:rPr>
          <w:noProof/>
          <w:lang w:val="fr-CH"/>
        </w:rPr>
        <w:t>s</w:t>
      </w:r>
      <w:r w:rsidR="00DE05DE" w:rsidRPr="00251FA2">
        <w:rPr>
          <w:noProof/>
          <w:lang w:val="fr-CH"/>
        </w:rPr>
        <w:t>es co</w:t>
      </w:r>
      <w:r w:rsidR="005A1BED" w:rsidRPr="00251FA2">
        <w:rPr>
          <w:noProof/>
          <w:lang w:val="fr-CH"/>
        </w:rPr>
        <w:t>u</w:t>
      </w:r>
      <w:r w:rsidR="00DE05DE" w:rsidRPr="00251FA2">
        <w:rPr>
          <w:noProof/>
          <w:lang w:val="fr-CH"/>
        </w:rPr>
        <w:t xml:space="preserve">ts </w:t>
      </w:r>
      <w:r w:rsidR="00B81127" w:rsidRPr="00251FA2">
        <w:rPr>
          <w:noProof/>
          <w:lang w:val="fr-CH"/>
        </w:rPr>
        <w:t>(</w:t>
      </w:r>
      <w:r w:rsidR="002C59EE" w:rsidRPr="00251FA2">
        <w:rPr>
          <w:noProof/>
          <w:lang w:val="fr-CH"/>
        </w:rPr>
        <w:t>OFAS, 2023</w:t>
      </w:r>
      <w:r w:rsidR="00B81127" w:rsidRPr="00251FA2">
        <w:rPr>
          <w:noProof/>
          <w:lang w:val="fr-CH"/>
        </w:rPr>
        <w:t>).</w:t>
      </w:r>
    </w:p>
    <w:p w14:paraId="700C9EAF" w14:textId="77777777" w:rsidR="00782F60" w:rsidRPr="00251FA2" w:rsidRDefault="00581B3D" w:rsidP="00F80C74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lastRenderedPageBreak/>
        <w:t>Actuellement, le taux de résiliation</w:t>
      </w:r>
      <w:r w:rsidR="00774FAC" w:rsidRPr="00251FA2">
        <w:rPr>
          <w:noProof/>
          <w:lang w:val="fr-CH"/>
        </w:rPr>
        <w:t xml:space="preserve"> dans les filières</w:t>
      </w:r>
      <w:r w:rsidR="00860124" w:rsidRPr="00251FA2">
        <w:rPr>
          <w:noProof/>
          <w:lang w:val="fr-CH"/>
        </w:rPr>
        <w:t xml:space="preserve"> de formation professionnelle initiale</w:t>
      </w:r>
      <w:r w:rsidRPr="00251FA2">
        <w:rPr>
          <w:noProof/>
          <w:lang w:val="fr-CH"/>
        </w:rPr>
        <w:t xml:space="preserve"> est de 22,4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>%. Ce taux varie entre les filières</w:t>
      </w:r>
      <w:r w:rsidR="00C503BF" w:rsidRPr="00251FA2">
        <w:rPr>
          <w:noProof/>
          <w:lang w:val="fr-CH"/>
        </w:rPr>
        <w:t xml:space="preserve"> de formation. Il</w:t>
      </w:r>
      <w:r w:rsidRPr="00251FA2">
        <w:rPr>
          <w:noProof/>
          <w:lang w:val="fr-CH"/>
        </w:rPr>
        <w:t xml:space="preserve"> est légèrement plus élevé dans les formations </w:t>
      </w:r>
      <w:r w:rsidR="00C1127B" w:rsidRPr="00251FA2">
        <w:rPr>
          <w:noProof/>
          <w:lang w:val="fr-CH"/>
        </w:rPr>
        <w:t>préparant</w:t>
      </w:r>
      <w:r w:rsidR="00D31E1D" w:rsidRPr="00251FA2">
        <w:rPr>
          <w:noProof/>
          <w:lang w:val="fr-CH"/>
        </w:rPr>
        <w:t xml:space="preserve"> à </w:t>
      </w:r>
      <w:r w:rsidRPr="00251FA2">
        <w:rPr>
          <w:noProof/>
          <w:lang w:val="fr-CH"/>
        </w:rPr>
        <w:t>une AFP (24,4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 xml:space="preserve">%) que dans celles </w:t>
      </w:r>
      <w:r w:rsidR="00C1127B" w:rsidRPr="00251FA2">
        <w:rPr>
          <w:noProof/>
          <w:lang w:val="fr-CH"/>
        </w:rPr>
        <w:t>préparant</w:t>
      </w:r>
      <w:r w:rsidR="00D31E1D" w:rsidRPr="00251FA2">
        <w:rPr>
          <w:noProof/>
          <w:lang w:val="fr-CH"/>
        </w:rPr>
        <w:t xml:space="preserve"> à </w:t>
      </w:r>
      <w:r w:rsidRPr="00251FA2">
        <w:rPr>
          <w:noProof/>
          <w:lang w:val="fr-CH"/>
        </w:rPr>
        <w:t>un CFC en 3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>ans (21,9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>%) ou en 4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>ans (22,7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>%).</w:t>
      </w:r>
      <w:r w:rsidR="00BF15A0" w:rsidRPr="00251FA2">
        <w:rPr>
          <w:noProof/>
          <w:lang w:val="fr-CH"/>
        </w:rPr>
        <w:t xml:space="preserve"> </w:t>
      </w:r>
    </w:p>
    <w:p w14:paraId="617B4B52" w14:textId="3A1FC671" w:rsidR="00600D1E" w:rsidRPr="00251FA2" w:rsidRDefault="00502326" w:rsidP="00F80C74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>Du côté de la FPra, l</w:t>
      </w:r>
      <w:r w:rsidR="00600D1E" w:rsidRPr="00251FA2">
        <w:rPr>
          <w:noProof/>
          <w:lang w:val="fr-CH"/>
        </w:rPr>
        <w:t xml:space="preserve">e projet </w:t>
      </w:r>
      <w:r w:rsidR="00167D50" w:rsidRPr="00251FA2">
        <w:rPr>
          <w:noProof/>
          <w:lang w:val="fr-CH"/>
        </w:rPr>
        <w:t>« </w:t>
      </w:r>
      <w:r w:rsidR="001A7C79" w:rsidRPr="00251FA2">
        <w:rPr>
          <w:noProof/>
          <w:lang w:val="fr-CH"/>
        </w:rPr>
        <w:t>Situation des apprenti-e-s et processus de transition dans les filières à faible niveau d’exigences (</w:t>
      </w:r>
      <w:r w:rsidR="00600D1E" w:rsidRPr="00251FA2">
        <w:rPr>
          <w:noProof/>
          <w:lang w:val="fr-CH"/>
        </w:rPr>
        <w:t>LUNA</w:t>
      </w:r>
      <w:r w:rsidR="001A7C79" w:rsidRPr="00251FA2">
        <w:rPr>
          <w:noProof/>
          <w:lang w:val="fr-CH"/>
        </w:rPr>
        <w:t>)</w:t>
      </w:r>
      <w:r w:rsidR="00423F33" w:rsidRPr="00251FA2">
        <w:rPr>
          <w:noProof/>
          <w:lang w:val="fr-CH"/>
        </w:rPr>
        <w:t> »</w:t>
      </w:r>
      <w:r w:rsidR="00600D1E" w:rsidRPr="00251FA2">
        <w:rPr>
          <w:noProof/>
          <w:lang w:val="fr-CH"/>
        </w:rPr>
        <w:t xml:space="preserve"> </w:t>
      </w:r>
      <w:r w:rsidR="00BF15A0" w:rsidRPr="00251FA2">
        <w:rPr>
          <w:noProof/>
          <w:lang w:val="fr-CH"/>
        </w:rPr>
        <w:t>relève un taux de 26,9</w:t>
      </w:r>
      <w:r w:rsidR="00F92AC1" w:rsidRPr="00251FA2">
        <w:rPr>
          <w:noProof/>
          <w:lang w:val="fr-CH"/>
        </w:rPr>
        <w:t> </w:t>
      </w:r>
      <w:r w:rsidR="00BF15A0" w:rsidRPr="00251FA2">
        <w:rPr>
          <w:noProof/>
          <w:lang w:val="fr-CH"/>
        </w:rPr>
        <w:t xml:space="preserve">% </w:t>
      </w:r>
      <w:r w:rsidR="00774FAC" w:rsidRPr="00251FA2">
        <w:rPr>
          <w:noProof/>
          <w:lang w:val="fr-CH"/>
        </w:rPr>
        <w:t>(</w:t>
      </w:r>
      <w:r w:rsidR="00C26854" w:rsidRPr="00251FA2">
        <w:rPr>
          <w:noProof/>
          <w:lang w:val="fr-CH"/>
        </w:rPr>
        <w:t>Hofmann et al., 2020</w:t>
      </w:r>
      <w:r w:rsidR="00774FAC" w:rsidRPr="00251FA2">
        <w:rPr>
          <w:noProof/>
          <w:lang w:val="fr-CH"/>
        </w:rPr>
        <w:t>)</w:t>
      </w:r>
      <w:r w:rsidR="00BF15A0" w:rsidRPr="00251FA2">
        <w:rPr>
          <w:noProof/>
          <w:lang w:val="fr-CH"/>
        </w:rPr>
        <w:t xml:space="preserve">. </w:t>
      </w:r>
      <w:r w:rsidR="003C010E" w:rsidRPr="00251FA2">
        <w:rPr>
          <w:noProof/>
          <w:lang w:val="fr-CH"/>
        </w:rPr>
        <w:t xml:space="preserve">Cette étude montre que </w:t>
      </w:r>
      <w:r w:rsidR="00854169" w:rsidRPr="00251FA2">
        <w:rPr>
          <w:noProof/>
          <w:lang w:val="fr-CH"/>
        </w:rPr>
        <w:t>l</w:t>
      </w:r>
      <w:r w:rsidR="00600D1E" w:rsidRPr="00251FA2">
        <w:rPr>
          <w:noProof/>
          <w:lang w:val="fr-CH"/>
        </w:rPr>
        <w:t xml:space="preserve">es personnes en FPra ont été davantage touchées par </w:t>
      </w:r>
      <w:r w:rsidR="00AB2219" w:rsidRPr="00251FA2">
        <w:rPr>
          <w:noProof/>
          <w:lang w:val="fr-CH"/>
        </w:rPr>
        <w:t>les</w:t>
      </w:r>
      <w:r w:rsidR="004144F0" w:rsidRPr="00251FA2">
        <w:rPr>
          <w:noProof/>
          <w:lang w:val="fr-CH"/>
        </w:rPr>
        <w:t xml:space="preserve"> RCA </w:t>
      </w:r>
      <w:r w:rsidR="00600D1E" w:rsidRPr="00251FA2">
        <w:rPr>
          <w:noProof/>
          <w:lang w:val="fr-CH"/>
        </w:rPr>
        <w:t xml:space="preserve">que les personnes en formation </w:t>
      </w:r>
      <w:r w:rsidR="00C1127B" w:rsidRPr="00251FA2">
        <w:rPr>
          <w:noProof/>
          <w:lang w:val="fr-CH"/>
        </w:rPr>
        <w:t>préparant</w:t>
      </w:r>
      <w:r w:rsidR="00D31E1D" w:rsidRPr="00251FA2">
        <w:rPr>
          <w:noProof/>
          <w:lang w:val="fr-CH"/>
        </w:rPr>
        <w:t xml:space="preserve"> à </w:t>
      </w:r>
      <w:r w:rsidR="00600D1E" w:rsidRPr="00251FA2">
        <w:rPr>
          <w:noProof/>
          <w:lang w:val="fr-CH"/>
        </w:rPr>
        <w:t>une AFP (21,3</w:t>
      </w:r>
      <w:r w:rsidR="00F92AC1" w:rsidRPr="00251FA2">
        <w:rPr>
          <w:noProof/>
          <w:lang w:val="fr-CH"/>
        </w:rPr>
        <w:t> </w:t>
      </w:r>
      <w:r w:rsidR="00600D1E" w:rsidRPr="00251FA2">
        <w:rPr>
          <w:noProof/>
          <w:lang w:val="fr-CH"/>
        </w:rPr>
        <w:t xml:space="preserve">%). </w:t>
      </w:r>
      <w:r w:rsidRPr="00251FA2">
        <w:rPr>
          <w:noProof/>
          <w:lang w:val="fr-CH"/>
        </w:rPr>
        <w:t>Les statistiques INSOS</w:t>
      </w:r>
      <w:r w:rsidR="00925D96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>2019-2020 relèvent un taux de résiliation de 10</w:t>
      </w:r>
      <w:r w:rsidR="00F92AC1" w:rsidRPr="00251FA2">
        <w:rPr>
          <w:noProof/>
          <w:lang w:val="fr-CH"/>
        </w:rPr>
        <w:t> </w:t>
      </w:r>
      <w:r w:rsidRPr="00251FA2">
        <w:rPr>
          <w:noProof/>
          <w:lang w:val="fr-CH"/>
        </w:rPr>
        <w:t xml:space="preserve">% (INSOS, 2020). </w:t>
      </w:r>
      <w:r w:rsidR="00234D15" w:rsidRPr="00251FA2">
        <w:rPr>
          <w:noProof/>
          <w:lang w:val="fr-CH"/>
        </w:rPr>
        <w:t>Dans les deux cas</w:t>
      </w:r>
      <w:r w:rsidRPr="00251FA2">
        <w:rPr>
          <w:noProof/>
          <w:lang w:val="fr-CH"/>
        </w:rPr>
        <w:t xml:space="preserve">, </w:t>
      </w:r>
      <w:r w:rsidR="008418AD" w:rsidRPr="00251FA2">
        <w:rPr>
          <w:noProof/>
          <w:lang w:val="fr-CH"/>
        </w:rPr>
        <w:t xml:space="preserve">le taux comprend également les résiliations permettant un passage d’une FPra à une formation préparant à une AFP. </w:t>
      </w:r>
      <w:r w:rsidR="00BF15A0" w:rsidRPr="00251FA2">
        <w:rPr>
          <w:noProof/>
          <w:lang w:val="fr-CH"/>
        </w:rPr>
        <w:t xml:space="preserve">Sans pouvoir comparer ces </w:t>
      </w:r>
      <w:r w:rsidR="008418AD" w:rsidRPr="00251FA2">
        <w:rPr>
          <w:noProof/>
          <w:lang w:val="fr-CH"/>
        </w:rPr>
        <w:t xml:space="preserve">chiffres </w:t>
      </w:r>
      <w:r w:rsidR="00BF15A0" w:rsidRPr="00251FA2">
        <w:rPr>
          <w:noProof/>
          <w:lang w:val="fr-CH"/>
        </w:rPr>
        <w:t xml:space="preserve">aux données de l’OFS, l’écart entre les statistiques </w:t>
      </w:r>
      <w:r w:rsidR="00AB2219" w:rsidRPr="00251FA2">
        <w:rPr>
          <w:noProof/>
          <w:lang w:val="fr-CH"/>
        </w:rPr>
        <w:t>INSOS</w:t>
      </w:r>
      <w:r w:rsidR="00BF15A0" w:rsidRPr="00251FA2">
        <w:rPr>
          <w:noProof/>
          <w:lang w:val="fr-CH"/>
        </w:rPr>
        <w:t xml:space="preserve"> et le projet LUNA </w:t>
      </w:r>
      <w:r w:rsidR="004747F2" w:rsidRPr="00251FA2">
        <w:rPr>
          <w:noProof/>
          <w:lang w:val="fr-CH"/>
        </w:rPr>
        <w:t>met en évidence la nécessité d’un suivi systématique des jeunes entrant en FPra</w:t>
      </w:r>
      <w:r w:rsidR="00234D15" w:rsidRPr="00251FA2">
        <w:rPr>
          <w:noProof/>
          <w:lang w:val="fr-CH"/>
        </w:rPr>
        <w:t xml:space="preserve"> (INSOS, 2022b)</w:t>
      </w:r>
      <w:r w:rsidR="004747F2" w:rsidRPr="00251FA2">
        <w:rPr>
          <w:noProof/>
          <w:lang w:val="fr-CH"/>
        </w:rPr>
        <w:t>.</w:t>
      </w:r>
      <w:r w:rsidR="00C503BF" w:rsidRPr="00251FA2">
        <w:rPr>
          <w:noProof/>
          <w:lang w:val="fr-CH"/>
        </w:rPr>
        <w:t xml:space="preserve"> </w:t>
      </w:r>
      <w:r w:rsidR="00467C83" w:rsidRPr="00251FA2">
        <w:rPr>
          <w:noProof/>
          <w:lang w:val="fr-CH"/>
        </w:rPr>
        <w:t>Retenons des chiffres à disposition</w:t>
      </w:r>
      <w:r w:rsidR="00F164B7" w:rsidRPr="00251FA2">
        <w:rPr>
          <w:noProof/>
          <w:lang w:val="fr-CH"/>
        </w:rPr>
        <w:t xml:space="preserve"> </w:t>
      </w:r>
      <w:r w:rsidR="00C503BF" w:rsidRPr="00251FA2">
        <w:rPr>
          <w:noProof/>
          <w:lang w:val="fr-CH"/>
        </w:rPr>
        <w:t>un risque de RCA plus élevé du côté des formations préparant à une AFP, ce qui est à vérifier du côté de la FPra.</w:t>
      </w:r>
      <w:r w:rsidR="008418AD" w:rsidRPr="00251FA2">
        <w:rPr>
          <w:noProof/>
          <w:lang w:val="fr-CH"/>
        </w:rPr>
        <w:t xml:space="preserve"> </w:t>
      </w:r>
    </w:p>
    <w:p w14:paraId="189B3E05" w14:textId="18302E92" w:rsidR="003A2A2E" w:rsidRPr="00251FA2" w:rsidRDefault="003A2A2E" w:rsidP="000A3A52">
      <w:pPr>
        <w:pStyle w:val="berschrift2"/>
        <w:rPr>
          <w:rFonts w:eastAsiaTheme="minorEastAsia"/>
          <w:noProof/>
          <w:lang w:val="fr-CH"/>
        </w:rPr>
      </w:pPr>
      <w:r w:rsidRPr="00251FA2">
        <w:rPr>
          <w:rFonts w:eastAsiaTheme="minorEastAsia"/>
          <w:noProof/>
          <w:lang w:val="fr-CH"/>
        </w:rPr>
        <w:t>Des raisons d’interruption spécifiques selon les filières</w:t>
      </w:r>
    </w:p>
    <w:p w14:paraId="630F8EB9" w14:textId="1894BC91" w:rsidR="00FC5C38" w:rsidRPr="00251FA2" w:rsidRDefault="007666CB" w:rsidP="004E65FA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 xml:space="preserve">Les </w:t>
      </w:r>
      <w:r w:rsidR="007C18BE" w:rsidRPr="00251FA2">
        <w:rPr>
          <w:noProof/>
          <w:lang w:val="fr-CH"/>
        </w:rPr>
        <w:t xml:space="preserve">éléments </w:t>
      </w:r>
      <w:r w:rsidRPr="00251FA2">
        <w:rPr>
          <w:noProof/>
          <w:lang w:val="fr-CH"/>
        </w:rPr>
        <w:t>mis</w:t>
      </w:r>
      <w:r w:rsidR="003F2A90" w:rsidRPr="00251FA2">
        <w:rPr>
          <w:noProof/>
          <w:lang w:val="fr-CH"/>
        </w:rPr>
        <w:t xml:space="preserve"> </w:t>
      </w:r>
      <w:r w:rsidRPr="00251FA2">
        <w:rPr>
          <w:noProof/>
          <w:lang w:val="fr-CH"/>
        </w:rPr>
        <w:t>en avant par les jeunes pour expliquer leur arrêt</w:t>
      </w:r>
      <w:r w:rsidR="00054B6F" w:rsidRPr="00251FA2">
        <w:rPr>
          <w:noProof/>
          <w:lang w:val="fr-CH"/>
        </w:rPr>
        <w:t xml:space="preserve"> </w:t>
      </w:r>
      <w:r w:rsidR="00A36D67" w:rsidRPr="00251FA2">
        <w:rPr>
          <w:noProof/>
          <w:lang w:val="fr-CH"/>
        </w:rPr>
        <w:t xml:space="preserve">résultent </w:t>
      </w:r>
      <w:r w:rsidR="00581B3D" w:rsidRPr="00251FA2">
        <w:rPr>
          <w:noProof/>
          <w:lang w:val="fr-CH"/>
        </w:rPr>
        <w:t>d</w:t>
      </w:r>
      <w:r w:rsidR="00E950E9" w:rsidRPr="00251FA2">
        <w:rPr>
          <w:noProof/>
          <w:lang w:val="fr-CH"/>
        </w:rPr>
        <w:t>’une</w:t>
      </w:r>
      <w:r w:rsidR="00B83F9E" w:rsidRPr="00251FA2">
        <w:rPr>
          <w:noProof/>
          <w:lang w:val="fr-CH"/>
        </w:rPr>
        <w:t xml:space="preserve"> combinaison </w:t>
      </w:r>
      <w:r w:rsidR="00091A97" w:rsidRPr="00251FA2">
        <w:rPr>
          <w:noProof/>
          <w:lang w:val="fr-CH"/>
        </w:rPr>
        <w:t>de</w:t>
      </w:r>
      <w:r w:rsidR="00E950E9" w:rsidRPr="00251FA2">
        <w:rPr>
          <w:noProof/>
          <w:lang w:val="fr-CH"/>
        </w:rPr>
        <w:t xml:space="preserve"> </w:t>
      </w:r>
      <w:r w:rsidR="00581B3D" w:rsidRPr="00251FA2">
        <w:rPr>
          <w:noProof/>
          <w:lang w:val="fr-CH"/>
        </w:rPr>
        <w:t>plusieurs</w:t>
      </w:r>
      <w:r w:rsidR="00793FF6" w:rsidRPr="00251FA2">
        <w:rPr>
          <w:noProof/>
          <w:lang w:val="fr-CH"/>
        </w:rPr>
        <w:t xml:space="preserve"> </w:t>
      </w:r>
      <w:r w:rsidR="00E950E9" w:rsidRPr="00251FA2">
        <w:rPr>
          <w:noProof/>
          <w:lang w:val="fr-CH"/>
        </w:rPr>
        <w:t xml:space="preserve">raisons, qui </w:t>
      </w:r>
      <w:r w:rsidR="00A12E16" w:rsidRPr="00251FA2">
        <w:rPr>
          <w:noProof/>
          <w:lang w:val="fr-CH"/>
        </w:rPr>
        <w:t>sont présenté</w:t>
      </w:r>
      <w:r w:rsidR="00B83F9E" w:rsidRPr="00251FA2">
        <w:rPr>
          <w:noProof/>
          <w:lang w:val="fr-CH"/>
        </w:rPr>
        <w:t xml:space="preserve">es </w:t>
      </w:r>
      <w:r w:rsidR="00A12E16" w:rsidRPr="00251FA2">
        <w:rPr>
          <w:noProof/>
          <w:lang w:val="fr-CH"/>
        </w:rPr>
        <w:t xml:space="preserve">ci-dessous </w:t>
      </w:r>
      <w:r w:rsidR="00E950E9" w:rsidRPr="00251FA2">
        <w:rPr>
          <w:noProof/>
          <w:lang w:val="fr-CH"/>
        </w:rPr>
        <w:t>par</w:t>
      </w:r>
      <w:r w:rsidR="00A12E16" w:rsidRPr="00251FA2">
        <w:rPr>
          <w:noProof/>
          <w:lang w:val="fr-CH"/>
        </w:rPr>
        <w:t xml:space="preserve"> filière en spécifiant </w:t>
      </w:r>
      <w:r w:rsidR="003C010E" w:rsidRPr="00251FA2">
        <w:rPr>
          <w:noProof/>
          <w:lang w:val="fr-CH"/>
        </w:rPr>
        <w:t>leur fréquence (</w:t>
      </w:r>
      <w:r w:rsidR="00A12E16" w:rsidRPr="00251FA2">
        <w:rPr>
          <w:noProof/>
          <w:lang w:val="fr-CH"/>
        </w:rPr>
        <w:t>nombre d’occurrences entre parenthèses</w:t>
      </w:r>
      <w:r w:rsidR="003C010E" w:rsidRPr="00251FA2">
        <w:rPr>
          <w:noProof/>
          <w:lang w:val="fr-CH"/>
        </w:rPr>
        <w:t>)</w:t>
      </w:r>
      <w:r w:rsidR="00A12E16" w:rsidRPr="00251FA2">
        <w:rPr>
          <w:noProof/>
          <w:lang w:val="fr-CH"/>
        </w:rPr>
        <w:t>.</w:t>
      </w:r>
    </w:p>
    <w:p w14:paraId="38E04706" w14:textId="2FA7FA77" w:rsidR="00FC5C38" w:rsidRPr="00251FA2" w:rsidRDefault="00FC5C38" w:rsidP="000A3A52">
      <w:pPr>
        <w:pStyle w:val="berschrift3"/>
        <w:rPr>
          <w:rFonts w:eastAsiaTheme="minorEastAsia"/>
          <w:noProof/>
          <w:lang w:val="fr-CH"/>
        </w:rPr>
      </w:pPr>
      <w:r w:rsidRPr="00251FA2">
        <w:rPr>
          <w:rFonts w:eastAsiaTheme="minorEastAsia"/>
          <w:noProof/>
          <w:lang w:val="fr-CH"/>
        </w:rPr>
        <w:t>Des raisons relues sous l’ang</w:t>
      </w:r>
      <w:r w:rsidR="00EB12FB" w:rsidRPr="00251FA2">
        <w:rPr>
          <w:rFonts w:eastAsiaTheme="minorEastAsia"/>
          <w:noProof/>
          <w:lang w:val="fr-CH"/>
        </w:rPr>
        <w:t>l</w:t>
      </w:r>
      <w:r w:rsidRPr="00251FA2">
        <w:rPr>
          <w:rFonts w:eastAsiaTheme="minorEastAsia"/>
          <w:noProof/>
          <w:lang w:val="fr-CH"/>
        </w:rPr>
        <w:t xml:space="preserve">e de la transition </w:t>
      </w:r>
      <w:r w:rsidR="00585530" w:rsidRPr="00251FA2">
        <w:rPr>
          <w:rFonts w:eastAsiaTheme="minorEastAsia"/>
          <w:noProof/>
          <w:lang w:val="fr-CH"/>
        </w:rPr>
        <w:t>dans la filière CFC</w:t>
      </w:r>
    </w:p>
    <w:p w14:paraId="5283DD51" w14:textId="74371100" w:rsidR="00793FF6" w:rsidRPr="00251FA2" w:rsidRDefault="0028060A" w:rsidP="004E65FA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 xml:space="preserve">La première </w:t>
      </w:r>
      <w:r w:rsidR="00581B3D" w:rsidRPr="00251FA2">
        <w:rPr>
          <w:noProof/>
          <w:lang w:val="fr-CH"/>
        </w:rPr>
        <w:t xml:space="preserve">étude </w:t>
      </w:r>
      <w:r w:rsidRPr="00251FA2">
        <w:rPr>
          <w:noProof/>
          <w:lang w:val="fr-CH"/>
        </w:rPr>
        <w:t xml:space="preserve">porte </w:t>
      </w:r>
      <w:r w:rsidR="00581B3D" w:rsidRPr="00251FA2">
        <w:rPr>
          <w:noProof/>
          <w:lang w:val="fr-CH"/>
        </w:rPr>
        <w:t>sur la filière CFC</w:t>
      </w:r>
      <w:r w:rsidR="002F6585" w:rsidRPr="00251FA2">
        <w:rPr>
          <w:noProof/>
          <w:lang w:val="fr-CH"/>
        </w:rPr>
        <w:t xml:space="preserve"> (Lamamra &amp; Masdonati, 2009)</w:t>
      </w:r>
      <w:r w:rsidR="003F2A90" w:rsidRPr="00251FA2">
        <w:rPr>
          <w:noProof/>
          <w:lang w:val="fr-CH"/>
        </w:rPr>
        <w:t>.</w:t>
      </w:r>
      <w:r w:rsidRPr="00251FA2">
        <w:rPr>
          <w:noProof/>
          <w:lang w:val="fr-CH"/>
        </w:rPr>
        <w:t xml:space="preserve"> 46 entretiens semi-directifs ont été menés avec des apprenties et apprentis ayant résilié leur contrat d’apprentissage. C</w:t>
      </w:r>
      <w:r w:rsidR="00581B3D" w:rsidRPr="00251FA2">
        <w:rPr>
          <w:noProof/>
          <w:lang w:val="fr-CH"/>
        </w:rPr>
        <w:t xml:space="preserve">inq </w:t>
      </w:r>
      <w:r w:rsidR="005A3429" w:rsidRPr="00251FA2">
        <w:rPr>
          <w:noProof/>
          <w:lang w:val="fr-CH"/>
        </w:rPr>
        <w:t xml:space="preserve">groupes de raisons </w:t>
      </w:r>
      <w:r w:rsidR="00581B3D" w:rsidRPr="00251FA2">
        <w:rPr>
          <w:noProof/>
          <w:lang w:val="fr-CH"/>
        </w:rPr>
        <w:t>ont été identifiés</w:t>
      </w:r>
      <w:r w:rsidR="00C503BF" w:rsidRPr="00251FA2">
        <w:rPr>
          <w:noProof/>
          <w:lang w:val="fr-CH"/>
        </w:rPr>
        <w:t> :</w:t>
      </w:r>
    </w:p>
    <w:p w14:paraId="5AFD62F3" w14:textId="15429AD3" w:rsidR="00C83ED9" w:rsidRPr="00251FA2" w:rsidRDefault="008E6129" w:rsidP="00402693">
      <w:pPr>
        <w:pStyle w:val="Liste"/>
        <w:jc w:val="both"/>
        <w:rPr>
          <w:noProof/>
          <w:lang w:val="fr-CH"/>
        </w:rPr>
      </w:pPr>
      <w:r w:rsidRPr="00251FA2">
        <w:rPr>
          <w:b/>
          <w:bCs/>
          <w:noProof/>
          <w:lang w:val="fr-CH"/>
        </w:rPr>
        <w:t>les conditions d’apprentissage</w:t>
      </w:r>
      <w:r w:rsidRPr="00251FA2">
        <w:rPr>
          <w:noProof/>
          <w:lang w:val="fr-CH"/>
        </w:rPr>
        <w:t> : performances insuffisantes à l’école professionnelle et conditions de formation en entreprise</w:t>
      </w:r>
      <w:r w:rsidR="002B2E58" w:rsidRPr="00251FA2">
        <w:rPr>
          <w:noProof/>
          <w:lang w:val="fr-CH"/>
        </w:rPr>
        <w:t xml:space="preserve"> </w:t>
      </w:r>
      <w:r w:rsidRPr="00251FA2">
        <w:rPr>
          <w:noProof/>
          <w:lang w:val="fr-CH"/>
        </w:rPr>
        <w:t xml:space="preserve">(N = 23) ; </w:t>
      </w:r>
    </w:p>
    <w:p w14:paraId="0BF8FF96" w14:textId="37B5F237" w:rsidR="00C83ED9" w:rsidRPr="00251FA2" w:rsidRDefault="00C83ED9" w:rsidP="00402693">
      <w:pPr>
        <w:pStyle w:val="Liste"/>
        <w:jc w:val="both"/>
        <w:rPr>
          <w:noProof/>
          <w:lang w:val="fr-CH"/>
        </w:rPr>
      </w:pPr>
      <w:r w:rsidRPr="00251FA2">
        <w:rPr>
          <w:b/>
          <w:bCs/>
          <w:noProof/>
          <w:lang w:val="fr-CH"/>
        </w:rPr>
        <w:t>l</w:t>
      </w:r>
      <w:r w:rsidR="008E6129" w:rsidRPr="00251FA2">
        <w:rPr>
          <w:b/>
          <w:bCs/>
          <w:noProof/>
          <w:lang w:val="fr-CH"/>
        </w:rPr>
        <w:t>es relations au travail</w:t>
      </w:r>
      <w:r w:rsidRPr="00251FA2">
        <w:rPr>
          <w:noProof/>
          <w:lang w:val="fr-CH"/>
        </w:rPr>
        <w:t xml:space="preserve"> : </w:t>
      </w:r>
      <w:r w:rsidR="008E6129" w:rsidRPr="00251FA2">
        <w:rPr>
          <w:noProof/>
          <w:lang w:val="fr-CH"/>
        </w:rPr>
        <w:t>relations interpersonnelles avec la personne formatrice, l’employeu</w:t>
      </w:r>
      <w:r w:rsidR="00AF39A2" w:rsidRPr="00251FA2">
        <w:rPr>
          <w:noProof/>
          <w:lang w:val="fr-CH"/>
        </w:rPr>
        <w:t>se, l’employeur</w:t>
      </w:r>
      <w:r w:rsidR="008E6129" w:rsidRPr="00251FA2">
        <w:rPr>
          <w:noProof/>
          <w:lang w:val="fr-CH"/>
        </w:rPr>
        <w:t xml:space="preserve"> ou le collectif de travail</w:t>
      </w:r>
      <w:r w:rsidRPr="00251FA2">
        <w:rPr>
          <w:noProof/>
          <w:lang w:val="fr-CH"/>
        </w:rPr>
        <w:t xml:space="preserve"> </w:t>
      </w:r>
      <w:r w:rsidR="008E6129" w:rsidRPr="00251FA2">
        <w:rPr>
          <w:noProof/>
          <w:lang w:val="fr-CH"/>
        </w:rPr>
        <w:t>(N = 23)</w:t>
      </w:r>
      <w:r w:rsidRPr="00251FA2">
        <w:rPr>
          <w:noProof/>
          <w:lang w:val="fr-CH"/>
        </w:rPr>
        <w:t> </w:t>
      </w:r>
      <w:r w:rsidR="008E6129" w:rsidRPr="00251FA2">
        <w:rPr>
          <w:noProof/>
          <w:lang w:val="fr-CH"/>
        </w:rPr>
        <w:t xml:space="preserve">; </w:t>
      </w:r>
    </w:p>
    <w:p w14:paraId="401F18FF" w14:textId="64FFB551" w:rsidR="00C83ED9" w:rsidRPr="00251FA2" w:rsidRDefault="008E6129" w:rsidP="00402693">
      <w:pPr>
        <w:pStyle w:val="Liste"/>
        <w:jc w:val="both"/>
        <w:rPr>
          <w:noProof/>
          <w:lang w:val="fr-CH"/>
        </w:rPr>
      </w:pPr>
      <w:r w:rsidRPr="00251FA2">
        <w:rPr>
          <w:b/>
          <w:bCs/>
          <w:noProof/>
          <w:lang w:val="fr-CH"/>
        </w:rPr>
        <w:t>la transition</w:t>
      </w:r>
      <w:r w:rsidR="00C83ED9" w:rsidRPr="00251FA2">
        <w:rPr>
          <w:noProof/>
          <w:lang w:val="fr-CH"/>
        </w:rPr>
        <w:t xml:space="preserve"> : </w:t>
      </w:r>
      <w:r w:rsidRPr="00251FA2">
        <w:rPr>
          <w:noProof/>
          <w:lang w:val="fr-CH"/>
        </w:rPr>
        <w:t>orientation</w:t>
      </w:r>
      <w:r w:rsidR="00467C83" w:rsidRPr="00251FA2">
        <w:rPr>
          <w:noProof/>
          <w:lang w:val="fr-CH"/>
        </w:rPr>
        <w:t>, choix par défaut</w:t>
      </w:r>
      <w:r w:rsidRPr="00251FA2">
        <w:rPr>
          <w:noProof/>
          <w:lang w:val="fr-CH"/>
        </w:rPr>
        <w:t xml:space="preserve"> et difficultés de passage de l’école à l’apprentissage</w:t>
      </w:r>
      <w:r w:rsidR="00C83ED9" w:rsidRPr="00251FA2">
        <w:rPr>
          <w:noProof/>
          <w:lang w:val="fr-CH"/>
        </w:rPr>
        <w:t xml:space="preserve"> </w:t>
      </w:r>
      <w:r w:rsidRPr="00251FA2">
        <w:rPr>
          <w:noProof/>
          <w:lang w:val="fr-CH"/>
        </w:rPr>
        <w:t xml:space="preserve">(N = 10) ; </w:t>
      </w:r>
    </w:p>
    <w:p w14:paraId="2D8BFB15" w14:textId="44B29BA0" w:rsidR="00C83ED9" w:rsidRPr="00251FA2" w:rsidRDefault="008E6129" w:rsidP="00402693">
      <w:pPr>
        <w:pStyle w:val="Liste"/>
        <w:jc w:val="both"/>
        <w:rPr>
          <w:noProof/>
          <w:lang w:val="fr-CH"/>
        </w:rPr>
      </w:pPr>
      <w:r w:rsidRPr="00251FA2">
        <w:rPr>
          <w:b/>
          <w:bCs/>
          <w:noProof/>
          <w:lang w:val="fr-CH"/>
        </w:rPr>
        <w:t>les conditions de travail</w:t>
      </w:r>
      <w:r w:rsidR="00C83ED9" w:rsidRPr="00251FA2">
        <w:rPr>
          <w:noProof/>
          <w:lang w:val="fr-CH"/>
        </w:rPr>
        <w:t> : c</w:t>
      </w:r>
      <w:r w:rsidRPr="00251FA2">
        <w:rPr>
          <w:noProof/>
          <w:lang w:val="fr-CH"/>
        </w:rPr>
        <w:t>ontraintes liées au monde du travail ou à un métier en particulier</w:t>
      </w:r>
      <w:r w:rsidR="00C83ED9" w:rsidRPr="00251FA2">
        <w:rPr>
          <w:noProof/>
          <w:lang w:val="fr-CH"/>
        </w:rPr>
        <w:t xml:space="preserve"> </w:t>
      </w:r>
      <w:r w:rsidRPr="00251FA2">
        <w:rPr>
          <w:noProof/>
          <w:lang w:val="fr-CH"/>
        </w:rPr>
        <w:t xml:space="preserve">(N = 8) ; </w:t>
      </w:r>
    </w:p>
    <w:p w14:paraId="38AE67F2" w14:textId="241AF1F0" w:rsidR="008E6129" w:rsidRPr="00251FA2" w:rsidRDefault="008E6129" w:rsidP="00402693">
      <w:pPr>
        <w:pStyle w:val="Liste"/>
        <w:jc w:val="both"/>
        <w:rPr>
          <w:noProof/>
          <w:lang w:val="fr-CH"/>
        </w:rPr>
      </w:pPr>
      <w:r w:rsidRPr="00251FA2">
        <w:rPr>
          <w:b/>
          <w:bCs/>
          <w:noProof/>
          <w:lang w:val="fr-CH"/>
        </w:rPr>
        <w:t>les contingences externes</w:t>
      </w:r>
      <w:r w:rsidR="00C83ED9" w:rsidRPr="00251FA2">
        <w:rPr>
          <w:noProof/>
          <w:lang w:val="fr-CH"/>
        </w:rPr>
        <w:t xml:space="preserve"> : </w:t>
      </w:r>
      <w:r w:rsidRPr="00251FA2">
        <w:rPr>
          <w:noProof/>
          <w:lang w:val="fr-CH"/>
        </w:rPr>
        <w:t>problèmes de santé non professionnels, parentalité</w:t>
      </w:r>
      <w:r w:rsidR="00C83ED9" w:rsidRPr="00251FA2">
        <w:rPr>
          <w:noProof/>
          <w:lang w:val="fr-CH"/>
        </w:rPr>
        <w:t xml:space="preserve"> </w:t>
      </w:r>
      <w:r w:rsidRPr="00251FA2">
        <w:rPr>
          <w:noProof/>
          <w:lang w:val="fr-CH"/>
        </w:rPr>
        <w:t>(N = 2).</w:t>
      </w:r>
    </w:p>
    <w:p w14:paraId="0CAC7E91" w14:textId="06A84D59" w:rsidR="0077611E" w:rsidRPr="00251FA2" w:rsidRDefault="003A3EB4" w:rsidP="00402693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>L</w:t>
      </w:r>
      <w:r w:rsidR="0077611E" w:rsidRPr="00251FA2">
        <w:rPr>
          <w:noProof/>
          <w:lang w:val="fr-CH"/>
        </w:rPr>
        <w:t>a plupart de ces raisons peuvent être relues sous l’angle de la transition école-travail (Duc &amp; Lamamra, 201</w:t>
      </w:r>
      <w:r w:rsidR="006A4C99" w:rsidRPr="00251FA2">
        <w:rPr>
          <w:noProof/>
          <w:lang w:val="fr-CH"/>
        </w:rPr>
        <w:t>8</w:t>
      </w:r>
      <w:r w:rsidR="0077611E" w:rsidRPr="00251FA2">
        <w:rPr>
          <w:noProof/>
          <w:lang w:val="fr-CH"/>
        </w:rPr>
        <w:t xml:space="preserve">). Les conditions </w:t>
      </w:r>
      <w:r w:rsidR="0077611E" w:rsidRPr="00251FA2">
        <w:rPr>
          <w:rStyle w:val="TextkrperZchn"/>
          <w:noProof/>
          <w:lang w:val="fr-CH"/>
        </w:rPr>
        <w:t xml:space="preserve">d’apprentissage et de travail révèlent des enjeux en lien avec le changement de contexte opéré et qui est porteur de multiples </w:t>
      </w:r>
      <w:r w:rsidR="00EC5BFC" w:rsidRPr="00251FA2">
        <w:rPr>
          <w:rStyle w:val="TextkrperZchn"/>
          <w:noProof/>
          <w:lang w:val="fr-CH"/>
        </w:rPr>
        <w:t>modifications</w:t>
      </w:r>
      <w:r w:rsidR="0077611E" w:rsidRPr="00251FA2">
        <w:rPr>
          <w:rStyle w:val="TextkrperZchn"/>
          <w:noProof/>
          <w:lang w:val="fr-CH"/>
        </w:rPr>
        <w:t xml:space="preserve"> en termes de rythme, d’encadrement, </w:t>
      </w:r>
      <w:r w:rsidR="003C010E" w:rsidRPr="00251FA2">
        <w:rPr>
          <w:rStyle w:val="TextkrperZchn"/>
          <w:noProof/>
          <w:lang w:val="fr-CH"/>
        </w:rPr>
        <w:t xml:space="preserve">et </w:t>
      </w:r>
      <w:r w:rsidR="00EC5BFC" w:rsidRPr="00251FA2">
        <w:rPr>
          <w:rStyle w:val="TextkrperZchn"/>
          <w:noProof/>
          <w:lang w:val="fr-CH"/>
        </w:rPr>
        <w:t xml:space="preserve">de tension entre les logiques de formation et de production. </w:t>
      </w:r>
      <w:r w:rsidR="0077611E" w:rsidRPr="00251FA2">
        <w:rPr>
          <w:rStyle w:val="TextkrperZchn"/>
          <w:noProof/>
          <w:lang w:val="fr-CH"/>
        </w:rPr>
        <w:t xml:space="preserve">Les relations au </w:t>
      </w:r>
      <w:r w:rsidR="008F212C" w:rsidRPr="00251FA2">
        <w:rPr>
          <w:rStyle w:val="TextkrperZchn"/>
          <w:noProof/>
          <w:lang w:val="fr-CH"/>
        </w:rPr>
        <w:t xml:space="preserve">travail mettent </w:t>
      </w:r>
      <w:r w:rsidR="00467C83" w:rsidRPr="00251FA2">
        <w:rPr>
          <w:rStyle w:val="TextkrperZchn"/>
          <w:noProof/>
          <w:lang w:val="fr-CH"/>
        </w:rPr>
        <w:t xml:space="preserve">au </w:t>
      </w:r>
      <w:r w:rsidR="008F212C" w:rsidRPr="00251FA2">
        <w:rPr>
          <w:rStyle w:val="TextkrperZchn"/>
          <w:noProof/>
          <w:lang w:val="fr-CH"/>
        </w:rPr>
        <w:t>jour</w:t>
      </w:r>
      <w:r w:rsidR="0077611E" w:rsidRPr="00251FA2">
        <w:rPr>
          <w:rStyle w:val="TextkrperZchn"/>
          <w:noProof/>
          <w:lang w:val="fr-CH"/>
        </w:rPr>
        <w:t xml:space="preserve"> des problèmes d’adaptation à un environnement adulte</w:t>
      </w:r>
      <w:r w:rsidR="00EC5BFC" w:rsidRPr="00251FA2">
        <w:rPr>
          <w:rStyle w:val="TextkrperZchn"/>
          <w:noProof/>
          <w:lang w:val="fr-CH"/>
        </w:rPr>
        <w:t>.</w:t>
      </w:r>
      <w:r w:rsidRPr="00251FA2">
        <w:rPr>
          <w:rStyle w:val="TextkrperZchn"/>
          <w:noProof/>
          <w:lang w:val="fr-CH"/>
        </w:rPr>
        <w:t xml:space="preserve"> Par ailleurs, cette première étude abordait les questions de santé comme faisant partie du processus conduisant à l’arrêt, mais pas comme véritables raisons.</w:t>
      </w:r>
    </w:p>
    <w:p w14:paraId="0C3F93BA" w14:textId="337F7BC6" w:rsidR="00AB404D" w:rsidRPr="00251FA2" w:rsidRDefault="00AB404D" w:rsidP="000A3A52">
      <w:pPr>
        <w:pStyle w:val="berschrift3"/>
        <w:rPr>
          <w:rFonts w:eastAsiaTheme="minorEastAsia"/>
          <w:noProof/>
          <w:lang w:val="fr-CH"/>
        </w:rPr>
      </w:pPr>
      <w:r w:rsidRPr="00251FA2">
        <w:rPr>
          <w:rFonts w:eastAsiaTheme="minorEastAsia"/>
          <w:noProof/>
          <w:lang w:val="fr-CH"/>
        </w:rPr>
        <w:t xml:space="preserve">La place centrale du choix par défaut dans </w:t>
      </w:r>
      <w:r w:rsidR="00C14EDC" w:rsidRPr="00251FA2">
        <w:rPr>
          <w:rFonts w:eastAsiaTheme="minorEastAsia"/>
          <w:noProof/>
          <w:lang w:val="fr-CH"/>
        </w:rPr>
        <w:t>les</w:t>
      </w:r>
      <w:r w:rsidRPr="00251FA2">
        <w:rPr>
          <w:rFonts w:eastAsiaTheme="minorEastAsia"/>
          <w:noProof/>
          <w:lang w:val="fr-CH"/>
        </w:rPr>
        <w:t xml:space="preserve"> filière</w:t>
      </w:r>
      <w:r w:rsidR="00C14EDC" w:rsidRPr="00251FA2">
        <w:rPr>
          <w:rFonts w:eastAsiaTheme="minorEastAsia"/>
          <w:noProof/>
          <w:lang w:val="fr-CH"/>
        </w:rPr>
        <w:t>s</w:t>
      </w:r>
      <w:r w:rsidRPr="00251FA2">
        <w:rPr>
          <w:rFonts w:eastAsiaTheme="minorEastAsia"/>
          <w:noProof/>
          <w:lang w:val="fr-CH"/>
        </w:rPr>
        <w:t xml:space="preserve"> AFP et FPra</w:t>
      </w:r>
    </w:p>
    <w:p w14:paraId="6902695B" w14:textId="2E6BFCD0" w:rsidR="004F0C91" w:rsidRPr="00251FA2" w:rsidRDefault="0028060A" w:rsidP="00AD3C58">
      <w:pPr>
        <w:pStyle w:val="Textkrper"/>
        <w:ind w:firstLine="0"/>
        <w:rPr>
          <w:noProof/>
          <w:lang w:val="fr-CH"/>
        </w:rPr>
      </w:pPr>
      <w:r w:rsidRPr="00251FA2">
        <w:rPr>
          <w:noProof/>
          <w:lang w:val="fr-CH"/>
        </w:rPr>
        <w:t xml:space="preserve">La deuxième étude </w:t>
      </w:r>
      <w:r w:rsidR="001A7C79" w:rsidRPr="00251FA2">
        <w:rPr>
          <w:noProof/>
          <w:lang w:val="fr-CH"/>
        </w:rPr>
        <w:t xml:space="preserve">(LUNA) </w:t>
      </w:r>
      <w:r w:rsidRPr="00251FA2">
        <w:rPr>
          <w:noProof/>
          <w:lang w:val="fr-CH"/>
        </w:rPr>
        <w:t>s’intéresse aux deux autres filières AFP et FPra (Hofmann et al., 2020). 37 entretiens semi-directifs ont été menés avec des apprenties et apprentis ayant vécu une RCA (31 dans la filière AFP, 6 en FPra</w:t>
      </w:r>
      <w:r w:rsidR="00AB2219" w:rsidRPr="00251FA2">
        <w:rPr>
          <w:noProof/>
          <w:lang w:val="fr-CH"/>
        </w:rPr>
        <w:t>)</w:t>
      </w:r>
      <w:r w:rsidR="006640D9" w:rsidRPr="00251FA2">
        <w:rPr>
          <w:noProof/>
          <w:lang w:val="fr-CH"/>
        </w:rPr>
        <w:t xml:space="preserve"> (Bosset et al., 2020, 2022)</w:t>
      </w:r>
      <w:r w:rsidRPr="00251FA2">
        <w:rPr>
          <w:noProof/>
          <w:lang w:val="fr-CH"/>
        </w:rPr>
        <w:t>. S</w:t>
      </w:r>
      <w:r w:rsidR="00581B3D" w:rsidRPr="00251FA2">
        <w:rPr>
          <w:noProof/>
          <w:lang w:val="fr-CH"/>
        </w:rPr>
        <w:t xml:space="preserve">ept raisons </w:t>
      </w:r>
      <w:r w:rsidR="005A3429" w:rsidRPr="00251FA2">
        <w:rPr>
          <w:noProof/>
          <w:lang w:val="fr-CH"/>
        </w:rPr>
        <w:t xml:space="preserve">ou groupes de raisons </w:t>
      </w:r>
      <w:r w:rsidR="00581B3D" w:rsidRPr="00251FA2">
        <w:rPr>
          <w:noProof/>
          <w:lang w:val="fr-CH"/>
        </w:rPr>
        <w:t>ont été identifiés</w:t>
      </w:r>
      <w:r w:rsidR="00B275E7" w:rsidRPr="00251FA2">
        <w:rPr>
          <w:noProof/>
          <w:lang w:val="fr-CH"/>
        </w:rPr>
        <w:t xml:space="preserve">. </w:t>
      </w:r>
      <w:r w:rsidR="00ED1E97" w:rsidRPr="00251FA2">
        <w:rPr>
          <w:noProof/>
          <w:lang w:val="fr-CH"/>
        </w:rPr>
        <w:t>Trois</w:t>
      </w:r>
      <w:r w:rsidR="008B0485" w:rsidRPr="00251FA2">
        <w:rPr>
          <w:noProof/>
          <w:lang w:val="fr-CH"/>
        </w:rPr>
        <w:t xml:space="preserve"> d’entre elles sont très proches de l’étude précédente : les relations (N = 17), les conditions de </w:t>
      </w:r>
      <w:r w:rsidR="00ED1E97" w:rsidRPr="00251FA2">
        <w:rPr>
          <w:noProof/>
          <w:lang w:val="fr-CH"/>
        </w:rPr>
        <w:t>travail</w:t>
      </w:r>
      <w:r w:rsidR="008B0485" w:rsidRPr="00251FA2">
        <w:rPr>
          <w:noProof/>
          <w:lang w:val="fr-CH"/>
        </w:rPr>
        <w:t xml:space="preserve"> (N = 10), les conditions de formation (N = 8). </w:t>
      </w:r>
      <w:r w:rsidR="00F650A1" w:rsidRPr="00251FA2">
        <w:rPr>
          <w:noProof/>
          <w:lang w:val="fr-CH"/>
        </w:rPr>
        <w:t xml:space="preserve">Les performances (N = 15), incluses dans les conditions de formation auparavant, ont été identifiées en tant que telles, en raison de leur fréquence. </w:t>
      </w:r>
      <w:r w:rsidR="003A2A2E" w:rsidRPr="00251FA2">
        <w:rPr>
          <w:noProof/>
          <w:lang w:val="fr-CH"/>
        </w:rPr>
        <w:t>Elles se manifestent non seulement sous la forme de performances ins</w:t>
      </w:r>
      <w:r w:rsidR="00F650A1" w:rsidRPr="00251FA2">
        <w:rPr>
          <w:noProof/>
          <w:lang w:val="fr-CH"/>
        </w:rPr>
        <w:t>uffisantes</w:t>
      </w:r>
      <w:r w:rsidR="003A2A2E" w:rsidRPr="00251FA2">
        <w:rPr>
          <w:noProof/>
          <w:lang w:val="fr-CH"/>
        </w:rPr>
        <w:t xml:space="preserve"> </w:t>
      </w:r>
      <w:r w:rsidR="00ED1E97" w:rsidRPr="00251FA2">
        <w:rPr>
          <w:noProof/>
          <w:lang w:val="fr-CH"/>
        </w:rPr>
        <w:t>à l’école professionnelle</w:t>
      </w:r>
      <w:r w:rsidR="00C005B1" w:rsidRPr="00251FA2">
        <w:rPr>
          <w:noProof/>
          <w:lang w:val="fr-CH"/>
        </w:rPr>
        <w:t>,</w:t>
      </w:r>
      <w:r w:rsidR="00ED1E97" w:rsidRPr="00251FA2">
        <w:rPr>
          <w:noProof/>
          <w:lang w:val="fr-CH"/>
        </w:rPr>
        <w:t xml:space="preserve"> </w:t>
      </w:r>
      <w:r w:rsidR="003A2A2E" w:rsidRPr="00251FA2">
        <w:rPr>
          <w:noProof/>
          <w:lang w:val="fr-CH"/>
        </w:rPr>
        <w:t xml:space="preserve">mais aussi et surtout de </w:t>
      </w:r>
      <w:r w:rsidR="00F650A1" w:rsidRPr="00251FA2">
        <w:rPr>
          <w:noProof/>
          <w:lang w:val="fr-CH"/>
        </w:rPr>
        <w:t>difficultés cognitives</w:t>
      </w:r>
      <w:r w:rsidR="003C010E" w:rsidRPr="00251FA2">
        <w:rPr>
          <w:noProof/>
          <w:lang w:val="fr-CH"/>
        </w:rPr>
        <w:t>,</w:t>
      </w:r>
      <w:r w:rsidR="003A2A2E" w:rsidRPr="00251FA2">
        <w:rPr>
          <w:noProof/>
          <w:lang w:val="fr-CH"/>
        </w:rPr>
        <w:t xml:space="preserve"> </w:t>
      </w:r>
      <w:r w:rsidR="003F2A90" w:rsidRPr="00251FA2">
        <w:rPr>
          <w:noProof/>
          <w:lang w:val="fr-CH"/>
        </w:rPr>
        <w:t>et</w:t>
      </w:r>
      <w:r w:rsidR="004F0C91" w:rsidRPr="00251FA2">
        <w:rPr>
          <w:noProof/>
          <w:lang w:val="fr-CH"/>
        </w:rPr>
        <w:t xml:space="preserve"> </w:t>
      </w:r>
      <w:r w:rsidR="008F212C" w:rsidRPr="00251FA2">
        <w:rPr>
          <w:noProof/>
          <w:lang w:val="fr-CH"/>
        </w:rPr>
        <w:t xml:space="preserve">de lacunes </w:t>
      </w:r>
      <w:r w:rsidR="00F650A1" w:rsidRPr="00251FA2">
        <w:rPr>
          <w:noProof/>
          <w:lang w:val="fr-CH"/>
        </w:rPr>
        <w:t>en langue</w:t>
      </w:r>
      <w:r w:rsidR="00453546" w:rsidRPr="00251FA2">
        <w:rPr>
          <w:noProof/>
          <w:lang w:val="fr-CH"/>
        </w:rPr>
        <w:t>s</w:t>
      </w:r>
      <w:r w:rsidR="00F650A1" w:rsidRPr="00251FA2">
        <w:rPr>
          <w:noProof/>
          <w:lang w:val="fr-CH"/>
        </w:rPr>
        <w:t xml:space="preserve"> ou en mathématiques. Les contingences externes (N = 5) </w:t>
      </w:r>
      <w:r w:rsidR="004F0C91" w:rsidRPr="00251FA2">
        <w:rPr>
          <w:noProof/>
          <w:lang w:val="fr-CH"/>
        </w:rPr>
        <w:t xml:space="preserve">regroupent des cas de </w:t>
      </w:r>
      <w:r w:rsidR="00F650A1" w:rsidRPr="00251FA2">
        <w:rPr>
          <w:noProof/>
          <w:lang w:val="fr-CH"/>
        </w:rPr>
        <w:t>faillite de l’entreprise formatrice ou des priorités personnelles (famille).</w:t>
      </w:r>
    </w:p>
    <w:p w14:paraId="4CEE4D8B" w14:textId="77777777" w:rsidR="001637EE" w:rsidRDefault="001637EE">
      <w:pPr>
        <w:spacing w:after="200" w:line="240" w:lineRule="auto"/>
        <w:rPr>
          <w:noProof/>
          <w:lang w:val="fr-CH"/>
        </w:rPr>
      </w:pPr>
      <w:r>
        <w:rPr>
          <w:noProof/>
          <w:lang w:val="fr-CH"/>
        </w:rPr>
        <w:br w:type="page"/>
      </w:r>
    </w:p>
    <w:p w14:paraId="37F08F80" w14:textId="5FA4B631" w:rsidR="00581B3D" w:rsidRPr="00251FA2" w:rsidRDefault="00F650A1" w:rsidP="00C3342B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lastRenderedPageBreak/>
        <w:t>Deux groupes de raisons</w:t>
      </w:r>
      <w:r w:rsidR="008F212C" w:rsidRPr="00251FA2">
        <w:rPr>
          <w:noProof/>
          <w:lang w:val="fr-CH"/>
        </w:rPr>
        <w:t xml:space="preserve"> fréquemment </w:t>
      </w:r>
      <w:r w:rsidR="00352A0B" w:rsidRPr="00251FA2">
        <w:rPr>
          <w:noProof/>
          <w:lang w:val="fr-CH"/>
        </w:rPr>
        <w:t xml:space="preserve">évoquées </w:t>
      </w:r>
      <w:r w:rsidR="008F212C" w:rsidRPr="00251FA2">
        <w:rPr>
          <w:noProof/>
          <w:lang w:val="fr-CH"/>
        </w:rPr>
        <w:t>– l’orientation professionnelle</w:t>
      </w:r>
      <w:r w:rsidR="00ED1E97" w:rsidRPr="00251FA2">
        <w:rPr>
          <w:noProof/>
          <w:lang w:val="fr-CH"/>
        </w:rPr>
        <w:t xml:space="preserve"> (N = 17)</w:t>
      </w:r>
      <w:r w:rsidR="008F212C" w:rsidRPr="00251FA2">
        <w:rPr>
          <w:noProof/>
          <w:lang w:val="fr-CH"/>
        </w:rPr>
        <w:t xml:space="preserve"> et la santé</w:t>
      </w:r>
      <w:r w:rsidR="00ED1E97" w:rsidRPr="00251FA2">
        <w:rPr>
          <w:noProof/>
          <w:lang w:val="fr-CH"/>
        </w:rPr>
        <w:t xml:space="preserve"> (N = 15)</w:t>
      </w:r>
      <w:r w:rsidR="008F212C" w:rsidRPr="00251FA2">
        <w:rPr>
          <w:noProof/>
          <w:lang w:val="fr-CH"/>
        </w:rPr>
        <w:t xml:space="preserve"> – </w:t>
      </w:r>
      <w:r w:rsidRPr="00251FA2">
        <w:rPr>
          <w:noProof/>
          <w:lang w:val="fr-CH"/>
        </w:rPr>
        <w:t xml:space="preserve">se différencient davantage de la première étude. </w:t>
      </w:r>
      <w:r w:rsidR="00ED1E97" w:rsidRPr="00251FA2">
        <w:rPr>
          <w:noProof/>
          <w:lang w:val="fr-CH"/>
        </w:rPr>
        <w:t>Concernant l</w:t>
      </w:r>
      <w:r w:rsidRPr="00251FA2">
        <w:rPr>
          <w:noProof/>
          <w:lang w:val="fr-CH"/>
        </w:rPr>
        <w:t>’orientation professionnelle</w:t>
      </w:r>
      <w:r w:rsidR="00340A74" w:rsidRPr="00251FA2">
        <w:rPr>
          <w:noProof/>
          <w:lang w:val="fr-CH"/>
        </w:rPr>
        <w:t xml:space="preserve">, </w:t>
      </w:r>
      <w:r w:rsidR="00AB2219" w:rsidRPr="00251FA2">
        <w:rPr>
          <w:noProof/>
          <w:lang w:val="fr-CH"/>
        </w:rPr>
        <w:t>la</w:t>
      </w:r>
      <w:r w:rsidR="00340A74" w:rsidRPr="00251FA2">
        <w:rPr>
          <w:noProof/>
          <w:lang w:val="fr-CH"/>
        </w:rPr>
        <w:t xml:space="preserve"> récurrence du choix par défaut du métier ou de la filière </w:t>
      </w:r>
      <w:r w:rsidR="00AB2219" w:rsidRPr="00251FA2">
        <w:rPr>
          <w:noProof/>
          <w:lang w:val="fr-CH"/>
        </w:rPr>
        <w:t>est frappante</w:t>
      </w:r>
      <w:r w:rsidR="00340A74" w:rsidRPr="00251FA2">
        <w:rPr>
          <w:noProof/>
          <w:lang w:val="fr-CH"/>
        </w:rPr>
        <w:t xml:space="preserve">. </w:t>
      </w:r>
      <w:r w:rsidR="00AD6462" w:rsidRPr="00251FA2">
        <w:rPr>
          <w:noProof/>
          <w:lang w:val="fr-CH"/>
        </w:rPr>
        <w:t>Différentes raisons appar</w:t>
      </w:r>
      <w:r w:rsidR="00F167B4" w:rsidRPr="00251FA2">
        <w:rPr>
          <w:noProof/>
          <w:lang w:val="fr-CH"/>
        </w:rPr>
        <w:t>aissent comme menant à un choix par défaut :</w:t>
      </w:r>
      <w:r w:rsidR="00C3342B" w:rsidRPr="00251FA2">
        <w:rPr>
          <w:noProof/>
          <w:lang w:val="fr-CH"/>
        </w:rPr>
        <w:t xml:space="preserve"> </w:t>
      </w:r>
      <w:r w:rsidR="005A348A" w:rsidRPr="00251FA2">
        <w:rPr>
          <w:noProof/>
          <w:lang w:val="fr-CH"/>
        </w:rPr>
        <w:t>l</w:t>
      </w:r>
      <w:r w:rsidR="0003546E" w:rsidRPr="00251FA2">
        <w:rPr>
          <w:noProof/>
          <w:lang w:val="fr-CH"/>
        </w:rPr>
        <w:t xml:space="preserve">es </w:t>
      </w:r>
      <w:r w:rsidR="005A348A" w:rsidRPr="00251FA2">
        <w:rPr>
          <w:noProof/>
          <w:lang w:val="fr-CH"/>
        </w:rPr>
        <w:t>performance</w:t>
      </w:r>
      <w:r w:rsidR="0003546E" w:rsidRPr="00251FA2">
        <w:rPr>
          <w:noProof/>
          <w:lang w:val="fr-CH"/>
        </w:rPr>
        <w:t>s</w:t>
      </w:r>
      <w:r w:rsidR="005A348A" w:rsidRPr="00251FA2">
        <w:rPr>
          <w:noProof/>
          <w:lang w:val="fr-CH"/>
        </w:rPr>
        <w:t xml:space="preserve"> scolaire</w:t>
      </w:r>
      <w:r w:rsidR="0003546E" w:rsidRPr="00251FA2">
        <w:rPr>
          <w:noProof/>
          <w:lang w:val="fr-CH"/>
        </w:rPr>
        <w:t>s</w:t>
      </w:r>
      <w:r w:rsidR="005A348A" w:rsidRPr="00251FA2">
        <w:rPr>
          <w:noProof/>
          <w:lang w:val="fr-CH"/>
        </w:rPr>
        <w:t xml:space="preserve"> et la filière suivie au secondaire</w:t>
      </w:r>
      <w:r w:rsidR="00925D96" w:rsidRPr="00251FA2">
        <w:rPr>
          <w:noProof/>
          <w:lang w:val="fr-CH"/>
        </w:rPr>
        <w:t> </w:t>
      </w:r>
      <w:r w:rsidR="005A348A" w:rsidRPr="00251FA2">
        <w:rPr>
          <w:noProof/>
          <w:lang w:val="fr-CH"/>
        </w:rPr>
        <w:t xml:space="preserve">I, </w:t>
      </w:r>
      <w:r w:rsidR="0003546E" w:rsidRPr="00251FA2">
        <w:rPr>
          <w:noProof/>
          <w:lang w:val="fr-CH"/>
        </w:rPr>
        <w:t xml:space="preserve">des problématiques de santé, </w:t>
      </w:r>
      <w:r w:rsidR="005A348A" w:rsidRPr="00251FA2">
        <w:rPr>
          <w:noProof/>
          <w:lang w:val="fr-CH"/>
        </w:rPr>
        <w:t xml:space="preserve">les contraintes de l’AI quand elle finance la formation, l’absence du métier </w:t>
      </w:r>
      <w:r w:rsidR="00813069" w:rsidRPr="00251FA2">
        <w:rPr>
          <w:noProof/>
          <w:lang w:val="fr-CH"/>
        </w:rPr>
        <w:t>souhaité dans l’offre des formations ou dans les centres de formation professionnelle</w:t>
      </w:r>
      <w:r w:rsidR="0003546E" w:rsidRPr="00251FA2">
        <w:rPr>
          <w:noProof/>
          <w:lang w:val="fr-CH"/>
        </w:rPr>
        <w:t xml:space="preserve"> spécialisée. </w:t>
      </w:r>
      <w:r w:rsidR="005A3429" w:rsidRPr="00251FA2">
        <w:rPr>
          <w:noProof/>
          <w:lang w:val="fr-CH"/>
        </w:rPr>
        <w:t>L</w:t>
      </w:r>
      <w:r w:rsidR="00581B3D" w:rsidRPr="00251FA2">
        <w:rPr>
          <w:noProof/>
          <w:lang w:val="fr-CH"/>
        </w:rPr>
        <w:t xml:space="preserve">a santé </w:t>
      </w:r>
      <w:r w:rsidR="005A3429" w:rsidRPr="00251FA2">
        <w:rPr>
          <w:noProof/>
          <w:lang w:val="fr-CH"/>
        </w:rPr>
        <w:t xml:space="preserve">renvoie à des </w:t>
      </w:r>
      <w:r w:rsidR="00187C41" w:rsidRPr="00251FA2">
        <w:rPr>
          <w:noProof/>
          <w:lang w:val="fr-CH"/>
        </w:rPr>
        <w:t>problèmes</w:t>
      </w:r>
      <w:r w:rsidR="005A3429" w:rsidRPr="00251FA2">
        <w:rPr>
          <w:noProof/>
          <w:lang w:val="fr-CH"/>
        </w:rPr>
        <w:t xml:space="preserve"> physiques ou ment</w:t>
      </w:r>
      <w:r w:rsidR="00187C41" w:rsidRPr="00251FA2">
        <w:rPr>
          <w:noProof/>
          <w:lang w:val="fr-CH"/>
        </w:rPr>
        <w:t>aux qui existent déjà en amont de l’apprentissage, perdurent pendant la durée de celui-ci, voire sont exacerbés par la formation elle-même. Dans certains cas, des problèmes de santé se développent à travers la mauvaise expérience en apprentissage.</w:t>
      </w:r>
    </w:p>
    <w:p w14:paraId="1E37B38A" w14:textId="718BD7F2" w:rsidR="00FB1149" w:rsidRPr="00251FA2" w:rsidRDefault="00F87E70" w:rsidP="00AF39A2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mc:AlternateContent>
          <mc:Choice Requires="wps">
            <w:drawing>
              <wp:anchor distT="45720" distB="45720" distL="46990" distR="46990" simplePos="0" relativeHeight="251658241" behindDoc="0" locked="0" layoutInCell="1" allowOverlap="0" wp14:anchorId="42F32AFF" wp14:editId="5C5DD41A">
                <wp:simplePos x="0" y="0"/>
                <wp:positionH relativeFrom="column">
                  <wp:posOffset>-900430</wp:posOffset>
                </wp:positionH>
                <wp:positionV relativeFrom="paragraph">
                  <wp:posOffset>2058035</wp:posOffset>
                </wp:positionV>
                <wp:extent cx="6024880" cy="688975"/>
                <wp:effectExtent l="0" t="0" r="0" b="0"/>
                <wp:wrapTopAndBottom/>
                <wp:docPr id="2" name="Zone de text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374F" w14:textId="4A5FFEDE" w:rsidR="00F87E70" w:rsidRPr="00AA733C" w:rsidRDefault="00F87E70" w:rsidP="00781687">
                            <w:pPr>
                              <w:pStyle w:val="Hervorhebung2"/>
                              <w:jc w:val="both"/>
                              <w:rPr>
                                <w:lang w:val="fr-CH"/>
                              </w:rPr>
                            </w:pPr>
                            <w:r w:rsidRPr="00DE7BEB">
                              <w:rPr>
                                <w:noProof/>
                                <w:lang w:val="fr-CH"/>
                              </w:rPr>
                              <w:t>Performances et choix par défaut renvoient à nouveau à la place de l’AI qui, en tant que financeur de la formation, peut participer de façon contraignante au choix de la formation (métier et filière) et mettre un terme à la formation si les conditions ne sont plus remplies</w:t>
                            </w:r>
                          </w:p>
                        </w:txbxContent>
                      </wps:txbx>
                      <wps:bodyPr rot="0" vert="horz" wrap="square" lIns="1044000" tIns="45720" rIns="9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2AFF" id="Zone de texte 2" o:spid="_x0000_s1027" type="#_x0000_t202" alt="&quot;&quot;" style="position:absolute;left:0;text-align:left;margin-left:-70.9pt;margin-top:162.05pt;width:474.4pt;height:54.25pt;z-index:251658241;visibility:visible;mso-wrap-style:square;mso-width-percent:0;mso-height-percent:0;mso-wrap-distance-left:3.7pt;mso-wrap-distance-top:3.6pt;mso-wrap-distance-right:3.7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" o:allowoverlap="f" filled="f" stroked="f">
                <v:textbox inset="29mm,,2.5mm">
                  <w:txbxContent>
                    <w:p w14:paraId="35A3374F" w14:textId="4A5FFEDE" w:rsidR="00F87E70" w:rsidRPr="00AA733C" w:rsidRDefault="00F87E70" w:rsidP="00781687">
                      <w:pPr>
                        <w:pStyle w:val="Hervorhebung2"/>
                        <w:jc w:val="both"/>
                        <w:rPr>
                          <w:lang w:val="fr-CH"/>
                        </w:rPr>
                      </w:pPr>
                      <w:r w:rsidRPr="00DE7BEB">
                        <w:rPr>
                          <w:noProof/>
                          <w:lang w:val="fr-CH"/>
                        </w:rPr>
                        <w:t>Performances et choix par défaut renvoient à nouveau à la place de l’AI qui, en tant que financeur de la formation, peut participer de façon contraignante au choix de la formation (métier et filière) et mettre un terme à la formation si les conditions ne sont plus remplies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81B3D" w:rsidRPr="00251FA2">
        <w:rPr>
          <w:noProof/>
          <w:lang w:val="fr-CH"/>
        </w:rPr>
        <w:t xml:space="preserve">Du côté de la FPra, </w:t>
      </w:r>
      <w:r w:rsidR="0008757C" w:rsidRPr="00251FA2">
        <w:rPr>
          <w:noProof/>
          <w:lang w:val="fr-CH"/>
        </w:rPr>
        <w:t xml:space="preserve">une même tendance </w:t>
      </w:r>
      <w:r w:rsidR="00723B42" w:rsidRPr="00251FA2">
        <w:rPr>
          <w:noProof/>
          <w:lang w:val="fr-CH"/>
        </w:rPr>
        <w:t>se dessine quant à l’importance des raisons liées à l’orientation professionnelle (N = 6)</w:t>
      </w:r>
      <w:r w:rsidR="0028060A" w:rsidRPr="00251FA2">
        <w:rPr>
          <w:noProof/>
          <w:lang w:val="fr-CH"/>
        </w:rPr>
        <w:t>, en particulier au choix par défaut du métier ou de la filière</w:t>
      </w:r>
      <w:r w:rsidR="00723B42" w:rsidRPr="00251FA2">
        <w:rPr>
          <w:noProof/>
          <w:lang w:val="fr-CH"/>
        </w:rPr>
        <w:t>. L</w:t>
      </w:r>
      <w:r w:rsidR="00793FF6" w:rsidRPr="00251FA2">
        <w:rPr>
          <w:noProof/>
          <w:lang w:val="fr-CH"/>
        </w:rPr>
        <w:t>a question d</w:t>
      </w:r>
      <w:r w:rsidR="00723B42" w:rsidRPr="00251FA2">
        <w:rPr>
          <w:noProof/>
          <w:lang w:val="fr-CH"/>
        </w:rPr>
        <w:t xml:space="preserve">es performances occupe aussi une place de choix </w:t>
      </w:r>
      <w:r w:rsidR="00491849" w:rsidRPr="00251FA2">
        <w:rPr>
          <w:noProof/>
          <w:lang w:val="fr-CH"/>
        </w:rPr>
        <w:t xml:space="preserve">dans les raisons menant à une résiliation </w:t>
      </w:r>
      <w:r w:rsidR="00723B42" w:rsidRPr="00251FA2">
        <w:rPr>
          <w:noProof/>
          <w:lang w:val="fr-CH"/>
        </w:rPr>
        <w:t>(N = 6)</w:t>
      </w:r>
      <w:r w:rsidR="003A3EB4" w:rsidRPr="00251FA2">
        <w:rPr>
          <w:noProof/>
          <w:lang w:val="fr-CH"/>
        </w:rPr>
        <w:t xml:space="preserve"> et se décline de deux façons : soit elles sont supérieures à ce qui est exigé, conduisant à une réorientation vers « le haut » en direction de l’AFP, soit elles sont inférieures aux attendus, ce qui empêche la poursuite de la formation</w:t>
      </w:r>
      <w:r w:rsidR="001879BA" w:rsidRPr="00251FA2">
        <w:rPr>
          <w:noProof/>
          <w:lang w:val="fr-CH"/>
        </w:rPr>
        <w:t xml:space="preserve">. </w:t>
      </w:r>
      <w:r w:rsidR="0028060A" w:rsidRPr="00251FA2">
        <w:rPr>
          <w:noProof/>
          <w:lang w:val="fr-CH"/>
        </w:rPr>
        <w:t>P</w:t>
      </w:r>
      <w:r w:rsidR="006E1BA4" w:rsidRPr="00251FA2">
        <w:rPr>
          <w:noProof/>
          <w:lang w:val="fr-CH"/>
        </w:rPr>
        <w:t xml:space="preserve">erformances et choix par défaut renvoient à </w:t>
      </w:r>
      <w:r w:rsidR="00967711" w:rsidRPr="00251FA2">
        <w:rPr>
          <w:noProof/>
          <w:lang w:val="fr-CH"/>
        </w:rPr>
        <w:t>nouveau</w:t>
      </w:r>
      <w:r w:rsidR="00FB1149" w:rsidRPr="00251FA2">
        <w:rPr>
          <w:noProof/>
          <w:lang w:val="fr-CH"/>
        </w:rPr>
        <w:t xml:space="preserve"> </w:t>
      </w:r>
      <w:r w:rsidR="00967711" w:rsidRPr="00251FA2">
        <w:rPr>
          <w:noProof/>
          <w:lang w:val="fr-CH"/>
        </w:rPr>
        <w:t>à l</w:t>
      </w:r>
      <w:r w:rsidR="00765CD1" w:rsidRPr="00251FA2">
        <w:rPr>
          <w:noProof/>
          <w:lang w:val="fr-CH"/>
        </w:rPr>
        <w:t>a place de l</w:t>
      </w:r>
      <w:r w:rsidR="00967711" w:rsidRPr="00251FA2">
        <w:rPr>
          <w:noProof/>
          <w:lang w:val="fr-CH"/>
        </w:rPr>
        <w:t xml:space="preserve">’AI qui, en tant que financeur de la formation, peut participer de façon contraignante au choix de la formation (métier et filière) </w:t>
      </w:r>
      <w:r w:rsidR="00FB1149" w:rsidRPr="00251FA2">
        <w:rPr>
          <w:noProof/>
          <w:lang w:val="fr-CH"/>
        </w:rPr>
        <w:t>et mettre un terme à la formation si les conditions ne sont plus remplies.</w:t>
      </w:r>
      <w:r w:rsidR="00C36436" w:rsidRPr="00251FA2">
        <w:rPr>
          <w:noProof/>
          <w:lang w:val="fr-CH"/>
        </w:rPr>
        <w:t xml:space="preserve"> </w:t>
      </w:r>
      <w:r w:rsidR="004A193A" w:rsidRPr="00251FA2">
        <w:rPr>
          <w:noProof/>
          <w:lang w:val="fr-CH"/>
        </w:rPr>
        <w:t>L</w:t>
      </w:r>
      <w:r w:rsidR="00C36436" w:rsidRPr="00251FA2">
        <w:rPr>
          <w:noProof/>
          <w:lang w:val="fr-CH"/>
        </w:rPr>
        <w:t xml:space="preserve">a situation des </w:t>
      </w:r>
      <w:r w:rsidR="00CE0E52" w:rsidRPr="00251FA2">
        <w:rPr>
          <w:noProof/>
          <w:lang w:val="fr-CH"/>
        </w:rPr>
        <w:t>jeunes</w:t>
      </w:r>
      <w:r w:rsidR="00C36436" w:rsidRPr="00251FA2">
        <w:rPr>
          <w:noProof/>
          <w:lang w:val="fr-CH"/>
        </w:rPr>
        <w:t xml:space="preserve"> qui ont connu </w:t>
      </w:r>
      <w:r w:rsidR="00CE66AC" w:rsidRPr="00251FA2">
        <w:rPr>
          <w:noProof/>
          <w:lang w:val="fr-CH"/>
        </w:rPr>
        <w:t>une RCA</w:t>
      </w:r>
      <w:r w:rsidR="00C36436" w:rsidRPr="00251FA2">
        <w:rPr>
          <w:noProof/>
          <w:lang w:val="fr-CH"/>
        </w:rPr>
        <w:t xml:space="preserve"> </w:t>
      </w:r>
      <w:r w:rsidR="0070334F" w:rsidRPr="00251FA2">
        <w:rPr>
          <w:noProof/>
          <w:lang w:val="fr-CH"/>
        </w:rPr>
        <w:t xml:space="preserve">à la </w:t>
      </w:r>
      <w:r w:rsidR="00C36436" w:rsidRPr="00251FA2">
        <w:rPr>
          <w:noProof/>
          <w:lang w:val="fr-CH"/>
        </w:rPr>
        <w:t xml:space="preserve">suite </w:t>
      </w:r>
      <w:r w:rsidR="00167D50" w:rsidRPr="00251FA2">
        <w:rPr>
          <w:noProof/>
          <w:lang w:val="fr-CH"/>
        </w:rPr>
        <w:t>d’</w:t>
      </w:r>
      <w:r w:rsidR="00C36436" w:rsidRPr="00251FA2">
        <w:rPr>
          <w:noProof/>
          <w:lang w:val="fr-CH"/>
        </w:rPr>
        <w:t>une décision de l’AI</w:t>
      </w:r>
      <w:r w:rsidR="004A193A" w:rsidRPr="00251FA2">
        <w:rPr>
          <w:noProof/>
          <w:lang w:val="fr-CH"/>
        </w:rPr>
        <w:t xml:space="preserve"> appara</w:t>
      </w:r>
      <w:r w:rsidR="004B77FA" w:rsidRPr="00251FA2">
        <w:rPr>
          <w:noProof/>
          <w:lang w:val="fr-CH"/>
        </w:rPr>
        <w:t>i</w:t>
      </w:r>
      <w:r w:rsidR="004A193A" w:rsidRPr="00251FA2">
        <w:rPr>
          <w:noProof/>
          <w:lang w:val="fr-CH"/>
        </w:rPr>
        <w:t>t comme particulièrement délicate</w:t>
      </w:r>
      <w:r w:rsidR="00C36436" w:rsidRPr="00251FA2">
        <w:rPr>
          <w:noProof/>
          <w:lang w:val="fr-CH"/>
        </w:rPr>
        <w:t>. Une grande confusion ressort de leur discours dans lequel elles et ils peinent à comprendre et à attribuer du sens à cette décision.</w:t>
      </w:r>
    </w:p>
    <w:p w14:paraId="1A332722" w14:textId="15EF0AAC" w:rsidR="00580706" w:rsidRPr="00251FA2" w:rsidRDefault="00FB1149" w:rsidP="00AF39A2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 xml:space="preserve">Dans </w:t>
      </w:r>
      <w:r w:rsidR="008242EF" w:rsidRPr="00251FA2">
        <w:rPr>
          <w:noProof/>
          <w:lang w:val="fr-CH"/>
        </w:rPr>
        <w:t xml:space="preserve">ces deux </w:t>
      </w:r>
      <w:r w:rsidR="003F2A90" w:rsidRPr="00251FA2">
        <w:rPr>
          <w:noProof/>
          <w:lang w:val="fr-CH"/>
        </w:rPr>
        <w:t>filières</w:t>
      </w:r>
      <w:r w:rsidR="00CE66AC" w:rsidRPr="00251FA2">
        <w:rPr>
          <w:noProof/>
          <w:lang w:val="fr-CH"/>
        </w:rPr>
        <w:t>, l</w:t>
      </w:r>
      <w:r w:rsidRPr="00251FA2">
        <w:rPr>
          <w:noProof/>
          <w:lang w:val="fr-CH"/>
        </w:rPr>
        <w:t>e choix par</w:t>
      </w:r>
      <w:r w:rsidR="00DD7D99" w:rsidRPr="00251FA2">
        <w:rPr>
          <w:noProof/>
          <w:lang w:val="fr-CH"/>
        </w:rPr>
        <w:t xml:space="preserve"> défaut s’accompagne de l’expression d’une faible agentivité</w:t>
      </w:r>
      <w:r w:rsidR="006B727B" w:rsidRPr="00251FA2">
        <w:rPr>
          <w:noProof/>
          <w:lang w:val="fr-CH"/>
        </w:rPr>
        <w:t xml:space="preserve"> où le choix est attribué à autrui</w:t>
      </w:r>
      <w:r w:rsidR="00DD7D99" w:rsidRPr="00251FA2">
        <w:rPr>
          <w:noProof/>
          <w:lang w:val="fr-CH"/>
        </w:rPr>
        <w:t xml:space="preserve">. </w:t>
      </w:r>
      <w:r w:rsidR="006B727B" w:rsidRPr="00251FA2">
        <w:rPr>
          <w:noProof/>
          <w:lang w:val="fr-CH"/>
        </w:rPr>
        <w:t>Il</w:t>
      </w:r>
      <w:r w:rsidR="00C62AA1" w:rsidRPr="00251FA2">
        <w:rPr>
          <w:noProof/>
          <w:lang w:val="fr-CH"/>
        </w:rPr>
        <w:t xml:space="preserve"> va aussi de pair avec l’attribution d’une faible valeur à la filière </w:t>
      </w:r>
      <w:r w:rsidR="003C1C1A" w:rsidRPr="00251FA2">
        <w:rPr>
          <w:noProof/>
          <w:lang w:val="fr-CH"/>
        </w:rPr>
        <w:t>(inutilité de l’attestation obtenue, formation en</w:t>
      </w:r>
      <w:r w:rsidR="004B77FA" w:rsidRPr="00251FA2">
        <w:rPr>
          <w:noProof/>
          <w:lang w:val="fr-CH"/>
        </w:rPr>
        <w:t xml:space="preserve"> </w:t>
      </w:r>
      <w:r w:rsidR="003C1C1A" w:rsidRPr="00251FA2">
        <w:rPr>
          <w:noProof/>
          <w:lang w:val="fr-CH"/>
        </w:rPr>
        <w:t>dessous du CFC, formation pour les faibles)</w:t>
      </w:r>
      <w:r w:rsidR="00DE7E11" w:rsidRPr="00251FA2">
        <w:rPr>
          <w:noProof/>
          <w:lang w:val="fr-CH"/>
        </w:rPr>
        <w:t xml:space="preserve"> et un sentiment d</w:t>
      </w:r>
      <w:r w:rsidR="001E3089" w:rsidRPr="00251FA2">
        <w:rPr>
          <w:noProof/>
          <w:lang w:val="fr-CH"/>
        </w:rPr>
        <w:t>e stigmatisation</w:t>
      </w:r>
      <w:r w:rsidR="00C73713" w:rsidRPr="00251FA2">
        <w:rPr>
          <w:noProof/>
          <w:lang w:val="fr-CH"/>
        </w:rPr>
        <w:t>.</w:t>
      </w:r>
    </w:p>
    <w:p w14:paraId="41F171F2" w14:textId="1453E52E" w:rsidR="003F2A90" w:rsidRPr="00251FA2" w:rsidRDefault="003F2A90" w:rsidP="00AF39A2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 xml:space="preserve">Ainsi, la deuxième étude met au jour des raisons de résiliation se rapportant moins </w:t>
      </w:r>
      <w:r w:rsidR="00EC4ADA" w:rsidRPr="00251FA2">
        <w:rPr>
          <w:noProof/>
          <w:lang w:val="fr-CH"/>
        </w:rPr>
        <w:t xml:space="preserve">directement </w:t>
      </w:r>
      <w:r w:rsidRPr="00251FA2">
        <w:rPr>
          <w:noProof/>
          <w:lang w:val="fr-CH"/>
        </w:rPr>
        <w:t>à la problématique de la transition école-travail qu’aux spécificités de la population empruntant les filières AFP ou FPra (difficultés cognitives, connaissances scolaires lacunaires en langues ou en mathématiques, problématiques de santé, mesures AI) et à la place de celle</w:t>
      </w:r>
      <w:r w:rsidR="00AD733D" w:rsidRPr="00251FA2">
        <w:rPr>
          <w:noProof/>
          <w:lang w:val="fr-CH"/>
        </w:rPr>
        <w:t>s</w:t>
      </w:r>
      <w:r w:rsidRPr="00251FA2">
        <w:rPr>
          <w:noProof/>
          <w:lang w:val="fr-CH"/>
        </w:rPr>
        <w:t>-ci dans le système de formation (offre de formations moins développée, formation pour les personnes plus faibles scolairement).</w:t>
      </w:r>
    </w:p>
    <w:p w14:paraId="6B969B84" w14:textId="1AFF0195" w:rsidR="00377B41" w:rsidRPr="00251FA2" w:rsidRDefault="004B77FA" w:rsidP="000A3A52">
      <w:pPr>
        <w:pStyle w:val="berschrift1"/>
        <w:rPr>
          <w:rFonts w:eastAsiaTheme="minorEastAsia"/>
          <w:noProof/>
          <w:lang w:val="fr-CH"/>
        </w:rPr>
      </w:pPr>
      <w:r w:rsidRPr="00251FA2">
        <w:rPr>
          <w:rFonts w:eastAsiaTheme="minorEastAsia"/>
          <w:noProof/>
          <w:lang w:val="fr-CH"/>
        </w:rPr>
        <w:t>É</w:t>
      </w:r>
      <w:r w:rsidR="00232716" w:rsidRPr="00251FA2">
        <w:rPr>
          <w:rFonts w:eastAsiaTheme="minorEastAsia"/>
          <w:noProof/>
          <w:lang w:val="fr-CH"/>
        </w:rPr>
        <w:t>léments de discussion et de conclusion</w:t>
      </w:r>
    </w:p>
    <w:p w14:paraId="252D0274" w14:textId="21C3C847" w:rsidR="0034520B" w:rsidRPr="00251FA2" w:rsidRDefault="00431632" w:rsidP="00AD3C58">
      <w:pPr>
        <w:pStyle w:val="Textkrper"/>
        <w:ind w:firstLine="0"/>
        <w:rPr>
          <w:noProof/>
          <w:lang w:val="fr-CH"/>
        </w:rPr>
      </w:pPr>
      <w:r w:rsidRPr="00251FA2">
        <w:rPr>
          <w:noProof/>
          <w:lang w:val="fr-CH"/>
        </w:rPr>
        <w:t xml:space="preserve">Les </w:t>
      </w:r>
      <w:r w:rsidR="000520AF" w:rsidRPr="00251FA2">
        <w:rPr>
          <w:noProof/>
          <w:lang w:val="fr-CH"/>
        </w:rPr>
        <w:t>RCA</w:t>
      </w:r>
      <w:r w:rsidRPr="00251FA2">
        <w:rPr>
          <w:noProof/>
          <w:lang w:val="fr-CH"/>
        </w:rPr>
        <w:t xml:space="preserve"> et en particulier les raisons mises en avant par les jeunes pour l’expliquer éclairen</w:t>
      </w:r>
      <w:r w:rsidR="006E4C00" w:rsidRPr="00251FA2">
        <w:rPr>
          <w:noProof/>
          <w:lang w:val="fr-CH"/>
        </w:rPr>
        <w:t xml:space="preserve">t certains enjeux et inégalités de la transition école-travail et du système de formation professionnelle qui lui </w:t>
      </w:r>
      <w:r w:rsidR="00B6142A" w:rsidRPr="00251FA2">
        <w:rPr>
          <w:noProof/>
          <w:lang w:val="fr-CH"/>
        </w:rPr>
        <w:t xml:space="preserve">est </w:t>
      </w:r>
      <w:r w:rsidR="006E4C00" w:rsidRPr="00251FA2">
        <w:rPr>
          <w:noProof/>
          <w:lang w:val="fr-CH"/>
        </w:rPr>
        <w:t>étroitement lié.</w:t>
      </w:r>
      <w:r w:rsidR="004A5FD8" w:rsidRPr="00251FA2">
        <w:rPr>
          <w:noProof/>
          <w:lang w:val="fr-CH"/>
        </w:rPr>
        <w:t xml:space="preserve"> </w:t>
      </w:r>
      <w:r w:rsidR="006E4C00" w:rsidRPr="00251FA2">
        <w:rPr>
          <w:noProof/>
          <w:lang w:val="fr-CH"/>
        </w:rPr>
        <w:t xml:space="preserve">Dans les filières </w:t>
      </w:r>
      <w:r w:rsidR="000416BC" w:rsidRPr="00251FA2">
        <w:rPr>
          <w:noProof/>
          <w:lang w:val="fr-CH"/>
        </w:rPr>
        <w:t>CFC et</w:t>
      </w:r>
      <w:r w:rsidR="006E4C00" w:rsidRPr="00251FA2">
        <w:rPr>
          <w:noProof/>
          <w:lang w:val="fr-CH"/>
        </w:rPr>
        <w:t xml:space="preserve"> AFP, </w:t>
      </w:r>
      <w:r w:rsidR="006B727B" w:rsidRPr="00251FA2">
        <w:rPr>
          <w:noProof/>
          <w:lang w:val="fr-CH"/>
        </w:rPr>
        <w:t xml:space="preserve">certaines </w:t>
      </w:r>
      <w:r w:rsidR="006E4C00" w:rsidRPr="00251FA2">
        <w:rPr>
          <w:noProof/>
          <w:lang w:val="fr-CH"/>
        </w:rPr>
        <w:t>raisons me</w:t>
      </w:r>
      <w:r w:rsidR="006715ED" w:rsidRPr="00251FA2">
        <w:rPr>
          <w:noProof/>
          <w:lang w:val="fr-CH"/>
        </w:rPr>
        <w:t>ttent</w:t>
      </w:r>
      <w:r w:rsidR="006E4C00" w:rsidRPr="00251FA2">
        <w:rPr>
          <w:noProof/>
          <w:lang w:val="fr-CH"/>
        </w:rPr>
        <w:t xml:space="preserve"> en évidence le choc que peut représenter l</w:t>
      </w:r>
      <w:r w:rsidR="00C7029A" w:rsidRPr="00251FA2">
        <w:rPr>
          <w:noProof/>
          <w:lang w:val="fr-CH"/>
        </w:rPr>
        <w:t>e</w:t>
      </w:r>
      <w:r w:rsidR="006E4C00" w:rsidRPr="00251FA2">
        <w:rPr>
          <w:noProof/>
          <w:lang w:val="fr-CH"/>
        </w:rPr>
        <w:t xml:space="preserve"> </w:t>
      </w:r>
      <w:r w:rsidR="003A3EB4" w:rsidRPr="00251FA2">
        <w:rPr>
          <w:noProof/>
          <w:lang w:val="fr-CH"/>
        </w:rPr>
        <w:t xml:space="preserve">passage </w:t>
      </w:r>
      <w:r w:rsidR="006E4C00" w:rsidRPr="00251FA2">
        <w:rPr>
          <w:noProof/>
          <w:lang w:val="fr-CH"/>
        </w:rPr>
        <w:t>de l’école au monde du travail. Ces cas de résiliation interrogent la capacité du système</w:t>
      </w:r>
      <w:r w:rsidR="00090FA1" w:rsidRPr="00251FA2">
        <w:rPr>
          <w:noProof/>
          <w:lang w:val="fr-CH"/>
        </w:rPr>
        <w:t>, et en particulier du dispositif dual,</w:t>
      </w:r>
      <w:r w:rsidR="006E4C00" w:rsidRPr="00251FA2">
        <w:rPr>
          <w:noProof/>
          <w:lang w:val="fr-CH"/>
        </w:rPr>
        <w:t xml:space="preserve"> à accompagner la transition école-travail, cela même dans le cas de la </w:t>
      </w:r>
      <w:r w:rsidR="00D31E1D" w:rsidRPr="00251FA2">
        <w:rPr>
          <w:noProof/>
          <w:lang w:val="fr-CH"/>
        </w:rPr>
        <w:t>filière</w:t>
      </w:r>
      <w:r w:rsidR="006E4C00" w:rsidRPr="00251FA2">
        <w:rPr>
          <w:noProof/>
          <w:lang w:val="fr-CH"/>
        </w:rPr>
        <w:t xml:space="preserve"> AFP où il est question d’un plus grand </w:t>
      </w:r>
      <w:r w:rsidR="00C36436" w:rsidRPr="00251FA2">
        <w:rPr>
          <w:noProof/>
          <w:lang w:val="fr-CH"/>
        </w:rPr>
        <w:t xml:space="preserve">accompagnement </w:t>
      </w:r>
      <w:r w:rsidR="006715ED" w:rsidRPr="00251FA2">
        <w:rPr>
          <w:noProof/>
          <w:lang w:val="fr-CH"/>
        </w:rPr>
        <w:t>des jeunes</w:t>
      </w:r>
      <w:r w:rsidR="006E4C00" w:rsidRPr="00251FA2">
        <w:rPr>
          <w:noProof/>
          <w:lang w:val="fr-CH"/>
        </w:rPr>
        <w:t>.</w:t>
      </w:r>
      <w:r w:rsidR="00392D17" w:rsidRPr="00251FA2">
        <w:rPr>
          <w:noProof/>
          <w:lang w:val="fr-CH"/>
        </w:rPr>
        <w:t xml:space="preserve"> </w:t>
      </w:r>
      <w:r w:rsidR="006715ED" w:rsidRPr="00251FA2">
        <w:rPr>
          <w:noProof/>
          <w:lang w:val="fr-CH"/>
        </w:rPr>
        <w:t xml:space="preserve">Ce sont </w:t>
      </w:r>
      <w:r w:rsidR="000416BC" w:rsidRPr="00251FA2">
        <w:rPr>
          <w:noProof/>
          <w:lang w:val="fr-CH"/>
        </w:rPr>
        <w:t xml:space="preserve">aussi les caractéristiques des jeunes des filières AFP et FPra qui sont </w:t>
      </w:r>
      <w:r w:rsidR="00765CD1" w:rsidRPr="00251FA2">
        <w:rPr>
          <w:noProof/>
          <w:lang w:val="fr-CH"/>
        </w:rPr>
        <w:t>révélées</w:t>
      </w:r>
      <w:r w:rsidR="006715ED" w:rsidRPr="00251FA2">
        <w:rPr>
          <w:noProof/>
          <w:lang w:val="fr-CH"/>
        </w:rPr>
        <w:t xml:space="preserve"> par certaines raisons </w:t>
      </w:r>
      <w:r w:rsidR="000416BC" w:rsidRPr="00251FA2">
        <w:rPr>
          <w:noProof/>
          <w:lang w:val="fr-CH"/>
        </w:rPr>
        <w:t>de RCA</w:t>
      </w:r>
      <w:r w:rsidR="006715ED" w:rsidRPr="00251FA2">
        <w:rPr>
          <w:noProof/>
          <w:lang w:val="fr-CH"/>
        </w:rPr>
        <w:t>, en particulier celles qui ont trait à la santé et aux performances. La question du choix</w:t>
      </w:r>
      <w:r w:rsidR="004F4252" w:rsidRPr="00251FA2">
        <w:rPr>
          <w:noProof/>
          <w:lang w:val="fr-CH"/>
        </w:rPr>
        <w:t xml:space="preserve"> subi</w:t>
      </w:r>
      <w:r w:rsidR="006715ED" w:rsidRPr="00251FA2">
        <w:rPr>
          <w:noProof/>
          <w:lang w:val="fr-CH"/>
        </w:rPr>
        <w:t xml:space="preserve"> se pose de façon plus vive dans le cas des jeunes </w:t>
      </w:r>
      <w:r w:rsidR="004F4252" w:rsidRPr="00251FA2">
        <w:rPr>
          <w:noProof/>
          <w:lang w:val="fr-CH"/>
        </w:rPr>
        <w:t xml:space="preserve">au </w:t>
      </w:r>
      <w:r w:rsidR="006715ED" w:rsidRPr="00251FA2">
        <w:rPr>
          <w:noProof/>
          <w:lang w:val="fr-CH"/>
        </w:rPr>
        <w:t>bénéfice d’une mesure de formation professionnelle financée par l’AI,</w:t>
      </w:r>
      <w:r w:rsidR="004F4252" w:rsidRPr="00251FA2">
        <w:rPr>
          <w:noProof/>
          <w:lang w:val="fr-CH"/>
        </w:rPr>
        <w:t xml:space="preserve"> qui a un pouvoir décisionnel non seulement </w:t>
      </w:r>
      <w:r w:rsidR="00090FA1" w:rsidRPr="00251FA2">
        <w:rPr>
          <w:noProof/>
          <w:lang w:val="fr-CH"/>
        </w:rPr>
        <w:t>sur</w:t>
      </w:r>
      <w:r w:rsidR="004F4252" w:rsidRPr="00251FA2">
        <w:rPr>
          <w:noProof/>
          <w:lang w:val="fr-CH"/>
        </w:rPr>
        <w:t xml:space="preserve"> l’orientation professionnelle de la personne</w:t>
      </w:r>
      <w:r w:rsidR="00477985" w:rsidRPr="00251FA2">
        <w:rPr>
          <w:noProof/>
          <w:lang w:val="fr-CH"/>
        </w:rPr>
        <w:t>,</w:t>
      </w:r>
      <w:r w:rsidR="004F4252" w:rsidRPr="00251FA2">
        <w:rPr>
          <w:noProof/>
          <w:lang w:val="fr-CH"/>
        </w:rPr>
        <w:t xml:space="preserve"> mais aussi </w:t>
      </w:r>
      <w:r w:rsidR="00090FA1" w:rsidRPr="00251FA2">
        <w:rPr>
          <w:noProof/>
          <w:lang w:val="fr-CH"/>
        </w:rPr>
        <w:t>sur</w:t>
      </w:r>
      <w:r w:rsidR="004F4252" w:rsidRPr="00251FA2">
        <w:rPr>
          <w:noProof/>
          <w:lang w:val="fr-CH"/>
        </w:rPr>
        <w:t xml:space="preserve"> la poursuite ou non de sa formation.</w:t>
      </w:r>
      <w:r w:rsidR="0034520B" w:rsidRPr="00251FA2">
        <w:rPr>
          <w:noProof/>
          <w:lang w:val="fr-CH"/>
        </w:rPr>
        <w:t xml:space="preserve"> </w:t>
      </w:r>
      <w:r w:rsidR="008066DD" w:rsidRPr="00251FA2">
        <w:rPr>
          <w:noProof/>
          <w:lang w:val="fr-CH"/>
        </w:rPr>
        <w:t xml:space="preserve">La visée d’insertion sur le marché </w:t>
      </w:r>
      <w:r w:rsidR="00A02DE7" w:rsidRPr="00251FA2">
        <w:rPr>
          <w:noProof/>
          <w:lang w:val="fr-CH"/>
        </w:rPr>
        <w:t>ordinaire</w:t>
      </w:r>
      <w:r w:rsidR="008066DD" w:rsidRPr="00251FA2">
        <w:rPr>
          <w:noProof/>
          <w:lang w:val="fr-CH"/>
        </w:rPr>
        <w:t xml:space="preserve"> du travail et de rentabilité de la formation sont bien souvent au centre de ces décisions (OFAS, 2023).</w:t>
      </w:r>
    </w:p>
    <w:p w14:paraId="3F9230CB" w14:textId="02E41701" w:rsidR="00323858" w:rsidRPr="00251FA2" w:rsidRDefault="00511B16" w:rsidP="00301500">
      <w:pPr>
        <w:pStyle w:val="Textkrper"/>
        <w:rPr>
          <w:rFonts w:eastAsiaTheme="minorEastAsia" w:cs="Open Sans SemiCondensed"/>
          <w:noProof/>
          <w:lang w:val="fr-CH"/>
        </w:rPr>
      </w:pPr>
      <w:bookmarkStart w:id="1" w:name="_Hlk131002238"/>
      <w:r w:rsidRPr="00251FA2">
        <w:rPr>
          <w:rFonts w:eastAsiaTheme="minorEastAsia" w:cs="Open Sans SemiCondensed"/>
          <w:noProof/>
          <w:lang w:val="fr-CH"/>
        </w:rPr>
        <w:lastRenderedPageBreak/>
        <w:t>Par ailleurs</w:t>
      </w:r>
      <w:r w:rsidR="006715ED" w:rsidRPr="00251FA2">
        <w:rPr>
          <w:rFonts w:eastAsiaTheme="minorEastAsia" w:cs="Open Sans SemiCondensed"/>
          <w:noProof/>
          <w:lang w:val="fr-CH"/>
        </w:rPr>
        <w:t xml:space="preserve">, </w:t>
      </w:r>
      <w:r w:rsidR="00820F89" w:rsidRPr="00251FA2">
        <w:rPr>
          <w:rFonts w:eastAsiaTheme="minorEastAsia" w:cs="Open Sans SemiCondensed"/>
          <w:noProof/>
          <w:lang w:val="fr-CH"/>
        </w:rPr>
        <w:t xml:space="preserve">ces </w:t>
      </w:r>
      <w:r w:rsidR="00820F89" w:rsidRPr="00251FA2">
        <w:rPr>
          <w:noProof/>
          <w:lang w:val="fr-CH"/>
        </w:rPr>
        <w:t xml:space="preserve">résultats permettent de mettre en évidence le positionnement des filières AFP et FPra dans le système de formation. En effet, </w:t>
      </w:r>
      <w:r w:rsidRPr="00251FA2">
        <w:rPr>
          <w:noProof/>
          <w:lang w:val="fr-CH"/>
        </w:rPr>
        <w:t>la</w:t>
      </w:r>
      <w:r w:rsidR="004F4252" w:rsidRPr="00251FA2">
        <w:rPr>
          <w:noProof/>
          <w:lang w:val="fr-CH"/>
        </w:rPr>
        <w:t xml:space="preserve"> faible valeur attribuée par les personnes interviewées </w:t>
      </w:r>
      <w:r w:rsidR="00820F89" w:rsidRPr="00251FA2">
        <w:rPr>
          <w:noProof/>
          <w:lang w:val="fr-CH"/>
        </w:rPr>
        <w:t xml:space="preserve">à ces </w:t>
      </w:r>
      <w:r w:rsidR="003F2A90" w:rsidRPr="00251FA2">
        <w:rPr>
          <w:noProof/>
          <w:lang w:val="fr-CH"/>
        </w:rPr>
        <w:t>filières</w:t>
      </w:r>
      <w:r w:rsidR="00820F89" w:rsidRPr="00251FA2">
        <w:rPr>
          <w:noProof/>
          <w:lang w:val="fr-CH"/>
        </w:rPr>
        <w:t>,</w:t>
      </w:r>
      <w:r w:rsidRPr="00251FA2">
        <w:rPr>
          <w:noProof/>
          <w:lang w:val="fr-CH"/>
        </w:rPr>
        <w:t xml:space="preserve"> </w:t>
      </w:r>
      <w:r w:rsidR="00B70B59" w:rsidRPr="00251FA2">
        <w:rPr>
          <w:noProof/>
          <w:lang w:val="fr-CH"/>
        </w:rPr>
        <w:t xml:space="preserve">leur </w:t>
      </w:r>
      <w:r w:rsidR="00820F89" w:rsidRPr="00251FA2">
        <w:rPr>
          <w:noProof/>
          <w:lang w:val="fr-CH"/>
        </w:rPr>
        <w:t xml:space="preserve">fort </w:t>
      </w:r>
      <w:r w:rsidR="00B70B59" w:rsidRPr="00251FA2">
        <w:rPr>
          <w:noProof/>
          <w:lang w:val="fr-CH"/>
        </w:rPr>
        <w:t xml:space="preserve">sentiment </w:t>
      </w:r>
      <w:r w:rsidR="00090FA1" w:rsidRPr="00251FA2">
        <w:rPr>
          <w:noProof/>
          <w:lang w:val="fr-CH"/>
        </w:rPr>
        <w:t>de stigmatisation</w:t>
      </w:r>
      <w:r w:rsidR="00B70B59" w:rsidRPr="00251FA2">
        <w:rPr>
          <w:noProof/>
          <w:lang w:val="fr-CH"/>
        </w:rPr>
        <w:t xml:space="preserve"> </w:t>
      </w:r>
      <w:r w:rsidR="00820F89" w:rsidRPr="00251FA2">
        <w:rPr>
          <w:noProof/>
          <w:lang w:val="fr-CH"/>
        </w:rPr>
        <w:t>ainsi qu’une orientation vécue comme un</w:t>
      </w:r>
      <w:r w:rsidR="00B70B59" w:rsidRPr="00251FA2">
        <w:rPr>
          <w:noProof/>
          <w:lang w:val="fr-CH"/>
        </w:rPr>
        <w:t xml:space="preserve"> choix par défaut </w:t>
      </w:r>
      <w:r w:rsidR="004A4396" w:rsidRPr="00251FA2">
        <w:rPr>
          <w:noProof/>
          <w:lang w:val="fr-CH"/>
        </w:rPr>
        <w:t xml:space="preserve">soulignent </w:t>
      </w:r>
      <w:r w:rsidR="001E0F8A" w:rsidRPr="00251FA2">
        <w:rPr>
          <w:noProof/>
          <w:lang w:val="fr-CH"/>
        </w:rPr>
        <w:t>la position</w:t>
      </w:r>
      <w:r w:rsidR="004A4396" w:rsidRPr="00251FA2">
        <w:rPr>
          <w:noProof/>
          <w:lang w:val="fr-CH"/>
        </w:rPr>
        <w:t xml:space="preserve"> dominée </w:t>
      </w:r>
      <w:r w:rsidR="001E0F8A" w:rsidRPr="00251FA2">
        <w:rPr>
          <w:noProof/>
          <w:lang w:val="fr-CH"/>
        </w:rPr>
        <w:t xml:space="preserve">de ces dernières </w:t>
      </w:r>
      <w:r w:rsidR="004A4396" w:rsidRPr="00251FA2">
        <w:rPr>
          <w:noProof/>
          <w:lang w:val="fr-CH"/>
        </w:rPr>
        <w:t>dans la hiérarchie des formations et des diplômes.</w:t>
      </w:r>
      <w:r w:rsidR="00B70B59" w:rsidRPr="00251FA2">
        <w:rPr>
          <w:noProof/>
          <w:lang w:val="fr-CH"/>
        </w:rPr>
        <w:t xml:space="preserve"> </w:t>
      </w:r>
      <w:r w:rsidR="004A4396" w:rsidRPr="00251FA2">
        <w:rPr>
          <w:noProof/>
          <w:lang w:val="fr-CH"/>
        </w:rPr>
        <w:t xml:space="preserve">Elles se situent </w:t>
      </w:r>
      <w:r w:rsidR="00B70B59" w:rsidRPr="00251FA2">
        <w:rPr>
          <w:noProof/>
          <w:lang w:val="fr-CH"/>
        </w:rPr>
        <w:t>en</w:t>
      </w:r>
      <w:r w:rsidR="004B77FA" w:rsidRPr="00251FA2">
        <w:rPr>
          <w:noProof/>
          <w:lang w:val="fr-CH"/>
        </w:rPr>
        <w:t xml:space="preserve"> </w:t>
      </w:r>
      <w:r w:rsidR="00B70B59" w:rsidRPr="00251FA2">
        <w:rPr>
          <w:noProof/>
          <w:lang w:val="fr-CH"/>
        </w:rPr>
        <w:t>dessous de la filière CFC</w:t>
      </w:r>
      <w:r w:rsidR="004A4396" w:rsidRPr="00251FA2">
        <w:rPr>
          <w:noProof/>
          <w:lang w:val="fr-CH"/>
        </w:rPr>
        <w:t>, diplôme de référence</w:t>
      </w:r>
      <w:r w:rsidR="00090FA1" w:rsidRPr="00251FA2">
        <w:rPr>
          <w:noProof/>
          <w:lang w:val="fr-CH"/>
        </w:rPr>
        <w:t xml:space="preserve"> qui agit comme une norme</w:t>
      </w:r>
      <w:r w:rsidR="00B70B59" w:rsidRPr="00251FA2">
        <w:rPr>
          <w:noProof/>
          <w:lang w:val="fr-CH"/>
        </w:rPr>
        <w:t xml:space="preserve">, </w:t>
      </w:r>
      <w:r w:rsidR="00F15301" w:rsidRPr="00251FA2">
        <w:rPr>
          <w:noProof/>
          <w:lang w:val="fr-CH"/>
        </w:rPr>
        <w:t>et pour la FPra</w:t>
      </w:r>
      <w:r w:rsidR="004A4396" w:rsidRPr="00251FA2">
        <w:rPr>
          <w:noProof/>
          <w:lang w:val="fr-CH"/>
        </w:rPr>
        <w:t>,</w:t>
      </w:r>
      <w:r w:rsidR="00F15301" w:rsidRPr="00251FA2">
        <w:rPr>
          <w:noProof/>
          <w:lang w:val="fr-CH"/>
        </w:rPr>
        <w:t xml:space="preserve"> </w:t>
      </w:r>
      <w:r w:rsidR="00B70B59" w:rsidRPr="00251FA2">
        <w:rPr>
          <w:noProof/>
          <w:lang w:val="fr-CH"/>
        </w:rPr>
        <w:t>en</w:t>
      </w:r>
      <w:r w:rsidR="004B77FA" w:rsidRPr="00251FA2">
        <w:rPr>
          <w:noProof/>
          <w:lang w:val="fr-CH"/>
        </w:rPr>
        <w:t xml:space="preserve"> </w:t>
      </w:r>
      <w:r w:rsidR="00B70B59" w:rsidRPr="00251FA2">
        <w:rPr>
          <w:noProof/>
          <w:lang w:val="fr-CH"/>
        </w:rPr>
        <w:t xml:space="preserve">dessous de la </w:t>
      </w:r>
      <w:r w:rsidR="00D31E1D" w:rsidRPr="00251FA2">
        <w:rPr>
          <w:noProof/>
          <w:lang w:val="fr-CH"/>
        </w:rPr>
        <w:t>filière</w:t>
      </w:r>
      <w:r w:rsidR="00B70B59" w:rsidRPr="00251FA2">
        <w:rPr>
          <w:noProof/>
          <w:lang w:val="fr-CH"/>
        </w:rPr>
        <w:t xml:space="preserve"> AFP</w:t>
      </w:r>
      <w:r w:rsidR="004A4396" w:rsidRPr="00251FA2">
        <w:rPr>
          <w:noProof/>
          <w:lang w:val="fr-CH"/>
        </w:rPr>
        <w:t>. Cela s’avère</w:t>
      </w:r>
      <w:r w:rsidR="00F752CB" w:rsidRPr="00251FA2">
        <w:rPr>
          <w:noProof/>
          <w:lang w:val="fr-CH"/>
        </w:rPr>
        <w:t xml:space="preserve"> problématique pour les jeunes</w:t>
      </w:r>
      <w:r w:rsidR="004A4396" w:rsidRPr="00251FA2">
        <w:rPr>
          <w:noProof/>
          <w:lang w:val="fr-CH"/>
        </w:rPr>
        <w:t xml:space="preserve"> et est</w:t>
      </w:r>
      <w:r w:rsidR="00F752CB" w:rsidRPr="00251FA2">
        <w:rPr>
          <w:noProof/>
          <w:lang w:val="fr-CH"/>
        </w:rPr>
        <w:t xml:space="preserve"> source de démotivation et de dévalorisation.</w:t>
      </w:r>
      <w:r w:rsidR="00415B71" w:rsidRPr="00251FA2">
        <w:rPr>
          <w:noProof/>
          <w:lang w:val="fr-CH"/>
        </w:rPr>
        <w:t xml:space="preserve"> La non</w:t>
      </w:r>
      <w:r w:rsidRPr="00251FA2">
        <w:rPr>
          <w:noProof/>
          <w:lang w:val="fr-CH"/>
        </w:rPr>
        <w:t>-</w:t>
      </w:r>
      <w:r w:rsidR="00415B71" w:rsidRPr="00251FA2">
        <w:rPr>
          <w:noProof/>
          <w:lang w:val="fr-CH"/>
        </w:rPr>
        <w:t xml:space="preserve">reconnaissance de la </w:t>
      </w:r>
      <w:r w:rsidR="004A4396" w:rsidRPr="00251FA2">
        <w:rPr>
          <w:noProof/>
          <w:lang w:val="fr-CH"/>
        </w:rPr>
        <w:t xml:space="preserve">filière </w:t>
      </w:r>
      <w:r w:rsidR="00415B71" w:rsidRPr="00251FA2">
        <w:rPr>
          <w:noProof/>
          <w:lang w:val="fr-CH"/>
        </w:rPr>
        <w:t xml:space="preserve">FPra </w:t>
      </w:r>
      <w:r w:rsidR="004A4396" w:rsidRPr="00251FA2">
        <w:rPr>
          <w:noProof/>
          <w:lang w:val="fr-CH"/>
        </w:rPr>
        <w:t>et</w:t>
      </w:r>
      <w:r w:rsidR="00415B71" w:rsidRPr="00251FA2">
        <w:rPr>
          <w:noProof/>
          <w:lang w:val="fr-CH"/>
        </w:rPr>
        <w:t xml:space="preserve"> de l’attestation délivrée renforce </w:t>
      </w:r>
      <w:r w:rsidRPr="00251FA2">
        <w:rPr>
          <w:noProof/>
          <w:lang w:val="fr-CH"/>
        </w:rPr>
        <w:t>c</w:t>
      </w:r>
      <w:r w:rsidR="00415B71" w:rsidRPr="00251FA2">
        <w:rPr>
          <w:noProof/>
          <w:lang w:val="fr-CH"/>
        </w:rPr>
        <w:t>e sentiment de stigmatisation.</w:t>
      </w:r>
      <w:r w:rsidR="008066DD" w:rsidRPr="00251FA2">
        <w:rPr>
          <w:noProof/>
          <w:lang w:val="fr-CH"/>
        </w:rPr>
        <w:t xml:space="preserve"> </w:t>
      </w:r>
      <w:r w:rsidR="00E35D7C" w:rsidRPr="00251FA2">
        <w:rPr>
          <w:noProof/>
          <w:lang w:val="fr-CH"/>
        </w:rPr>
        <w:t>À</w:t>
      </w:r>
      <w:r w:rsidRPr="00251FA2">
        <w:rPr>
          <w:noProof/>
          <w:lang w:val="fr-CH"/>
        </w:rPr>
        <w:t xml:space="preserve"> travers </w:t>
      </w:r>
      <w:r w:rsidR="0034520B" w:rsidRPr="00251FA2">
        <w:rPr>
          <w:noProof/>
          <w:lang w:val="fr-CH"/>
        </w:rPr>
        <w:t xml:space="preserve">la problématique du choix par défaut, c’est </w:t>
      </w:r>
      <w:r w:rsidRPr="00251FA2">
        <w:rPr>
          <w:noProof/>
          <w:lang w:val="fr-CH"/>
        </w:rPr>
        <w:t xml:space="preserve">aussi la sélectivité du système éducatif suisse, </w:t>
      </w:r>
      <w:r w:rsidR="0034520B" w:rsidRPr="00251FA2">
        <w:rPr>
          <w:noProof/>
          <w:lang w:val="fr-CH"/>
        </w:rPr>
        <w:t>au niveau du</w:t>
      </w:r>
      <w:r w:rsidRPr="00251FA2">
        <w:rPr>
          <w:noProof/>
          <w:lang w:val="fr-CH"/>
        </w:rPr>
        <w:t xml:space="preserve"> degré</w:t>
      </w:r>
      <w:r w:rsidRPr="00251FA2">
        <w:rPr>
          <w:rFonts w:eastAsiaTheme="minorEastAsia" w:cs="Open Sans SemiCondensed"/>
          <w:noProof/>
          <w:lang w:val="fr-CH"/>
        </w:rPr>
        <w:t xml:space="preserve"> secondaire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Pr="00251FA2">
        <w:rPr>
          <w:rFonts w:eastAsiaTheme="minorEastAsia" w:cs="Open Sans SemiCondensed"/>
          <w:noProof/>
          <w:lang w:val="fr-CH"/>
        </w:rPr>
        <w:t xml:space="preserve">I </w:t>
      </w:r>
      <w:r w:rsidR="00F15301" w:rsidRPr="00251FA2">
        <w:rPr>
          <w:rFonts w:eastAsiaTheme="minorEastAsia" w:cs="Open Sans SemiCondensed"/>
          <w:noProof/>
          <w:lang w:val="fr-CH"/>
        </w:rPr>
        <w:t>puis se rejouant</w:t>
      </w:r>
      <w:r w:rsidR="0034520B" w:rsidRPr="00251FA2">
        <w:rPr>
          <w:rFonts w:eastAsiaTheme="minorEastAsia" w:cs="Open Sans SemiCondensed"/>
          <w:noProof/>
          <w:lang w:val="fr-CH"/>
        </w:rPr>
        <w:t xml:space="preserve"> à l’entrée dans le degré secondaire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="0034520B" w:rsidRPr="00251FA2">
        <w:rPr>
          <w:rFonts w:eastAsiaTheme="minorEastAsia" w:cs="Open Sans SemiCondensed"/>
          <w:noProof/>
          <w:lang w:val="fr-CH"/>
        </w:rPr>
        <w:t xml:space="preserve">II, </w:t>
      </w:r>
      <w:r w:rsidRPr="00251FA2">
        <w:rPr>
          <w:rFonts w:eastAsiaTheme="minorEastAsia" w:cs="Open Sans SemiCondensed"/>
          <w:noProof/>
          <w:lang w:val="fr-CH"/>
        </w:rPr>
        <w:t>qui est</w:t>
      </w:r>
      <w:r w:rsidR="00F15301" w:rsidRPr="00251FA2">
        <w:rPr>
          <w:rFonts w:eastAsiaTheme="minorEastAsia" w:cs="Open Sans SemiCondensed"/>
          <w:noProof/>
          <w:lang w:val="fr-CH"/>
        </w:rPr>
        <w:t xml:space="preserve"> soulignée</w:t>
      </w:r>
      <w:r w:rsidR="008D7A43" w:rsidRPr="00251FA2">
        <w:rPr>
          <w:rFonts w:eastAsiaTheme="minorEastAsia" w:cs="Open Sans SemiCondensed"/>
          <w:noProof/>
          <w:lang w:val="fr-CH"/>
        </w:rPr>
        <w:t xml:space="preserve"> (Gomensoro &amp; Meyer, 2021)</w:t>
      </w:r>
      <w:r w:rsidRPr="00251FA2">
        <w:rPr>
          <w:rFonts w:eastAsiaTheme="minorEastAsia" w:cs="Open Sans SemiCondensed"/>
          <w:noProof/>
          <w:lang w:val="fr-CH"/>
        </w:rPr>
        <w:t>.</w:t>
      </w:r>
    </w:p>
    <w:p w14:paraId="17EF36A9" w14:textId="3F916773" w:rsidR="004A4396" w:rsidRPr="00251FA2" w:rsidRDefault="0034520B" w:rsidP="005512DA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>La s</w:t>
      </w:r>
      <w:r w:rsidR="00511B16" w:rsidRPr="00251FA2">
        <w:rPr>
          <w:noProof/>
          <w:lang w:val="fr-CH"/>
        </w:rPr>
        <w:t>électivité du système éducatif suisse</w:t>
      </w:r>
      <w:r w:rsidR="003F4256" w:rsidRPr="00251FA2">
        <w:rPr>
          <w:noProof/>
          <w:lang w:val="fr-CH"/>
        </w:rPr>
        <w:t>,</w:t>
      </w:r>
      <w:r w:rsidRPr="00251FA2">
        <w:rPr>
          <w:noProof/>
          <w:lang w:val="fr-CH"/>
        </w:rPr>
        <w:t xml:space="preserve"> la logique de rentabilité et </w:t>
      </w:r>
      <w:r w:rsidR="003F4256" w:rsidRPr="00251FA2">
        <w:rPr>
          <w:noProof/>
          <w:lang w:val="fr-CH"/>
        </w:rPr>
        <w:t xml:space="preserve">l’objectif </w:t>
      </w:r>
      <w:r w:rsidRPr="00251FA2">
        <w:rPr>
          <w:noProof/>
          <w:lang w:val="fr-CH"/>
        </w:rPr>
        <w:t>d’insertion sur le marché du travail</w:t>
      </w:r>
      <w:r w:rsidR="00DF6544" w:rsidRPr="00251FA2">
        <w:rPr>
          <w:noProof/>
          <w:lang w:val="fr-CH"/>
        </w:rPr>
        <w:t xml:space="preserve"> ordinaire</w:t>
      </w:r>
      <w:r w:rsidRPr="00251FA2">
        <w:rPr>
          <w:noProof/>
          <w:lang w:val="fr-CH"/>
        </w:rPr>
        <w:t xml:space="preserve"> </w:t>
      </w:r>
      <w:r w:rsidR="00511B16" w:rsidRPr="00251FA2">
        <w:rPr>
          <w:noProof/>
          <w:lang w:val="fr-CH"/>
        </w:rPr>
        <w:t>remettent ainsi en question la capacité d’intégration du système de formation professionnelle</w:t>
      </w:r>
      <w:r w:rsidR="00F15301" w:rsidRPr="00251FA2">
        <w:rPr>
          <w:noProof/>
          <w:lang w:val="fr-CH"/>
        </w:rPr>
        <w:t xml:space="preserve">. </w:t>
      </w:r>
      <w:r w:rsidR="00511B16" w:rsidRPr="00251FA2">
        <w:rPr>
          <w:noProof/>
          <w:lang w:val="fr-CH"/>
        </w:rPr>
        <w:t xml:space="preserve">En effet, </w:t>
      </w:r>
      <w:r w:rsidRPr="00251FA2">
        <w:rPr>
          <w:noProof/>
          <w:lang w:val="fr-CH"/>
        </w:rPr>
        <w:t xml:space="preserve">dans ce contexte, il est </w:t>
      </w:r>
      <w:r w:rsidR="001B2E0C" w:rsidRPr="00251FA2">
        <w:rPr>
          <w:noProof/>
          <w:lang w:val="fr-CH"/>
        </w:rPr>
        <w:t xml:space="preserve">difficile </w:t>
      </w:r>
      <w:r w:rsidR="00C36436" w:rsidRPr="00251FA2">
        <w:rPr>
          <w:noProof/>
          <w:lang w:val="fr-CH"/>
        </w:rPr>
        <w:t>d’envisager</w:t>
      </w:r>
      <w:r w:rsidR="001B2E0C" w:rsidRPr="00251FA2">
        <w:rPr>
          <w:noProof/>
          <w:lang w:val="fr-CH"/>
        </w:rPr>
        <w:t xml:space="preserve"> </w:t>
      </w:r>
      <w:r w:rsidR="00C36436" w:rsidRPr="00251FA2">
        <w:rPr>
          <w:noProof/>
          <w:lang w:val="fr-CH"/>
        </w:rPr>
        <w:t>l’égalité en termes d’i</w:t>
      </w:r>
      <w:r w:rsidR="001B2E0C" w:rsidRPr="00251FA2">
        <w:rPr>
          <w:noProof/>
          <w:lang w:val="fr-CH"/>
        </w:rPr>
        <w:t>ntégration professionnelle et sociale des personnes en situation de handicap</w:t>
      </w:r>
      <w:r w:rsidRPr="00251FA2">
        <w:rPr>
          <w:noProof/>
          <w:lang w:val="fr-CH"/>
        </w:rPr>
        <w:t>, exclues du système dominant</w:t>
      </w:r>
      <w:r w:rsidR="00575ECA" w:rsidRPr="00251FA2">
        <w:rPr>
          <w:noProof/>
          <w:lang w:val="fr-CH"/>
        </w:rPr>
        <w:t>,</w:t>
      </w:r>
      <w:r w:rsidRPr="00251FA2">
        <w:rPr>
          <w:noProof/>
          <w:lang w:val="fr-CH"/>
        </w:rPr>
        <w:t xml:space="preserve"> car elles n’ont pas les aptitudes pour s’y conformer (Puiseux, 2022).</w:t>
      </w:r>
      <w:r w:rsidR="00F0590B" w:rsidRPr="00251FA2">
        <w:rPr>
          <w:noProof/>
          <w:lang w:val="fr-CH"/>
        </w:rPr>
        <w:t xml:space="preserve"> </w:t>
      </w:r>
      <w:r w:rsidR="00A02DE7" w:rsidRPr="00251FA2">
        <w:rPr>
          <w:noProof/>
          <w:lang w:val="fr-CH"/>
        </w:rPr>
        <w:t xml:space="preserve">L’accès </w:t>
      </w:r>
      <w:r w:rsidR="004A4396" w:rsidRPr="00251FA2">
        <w:rPr>
          <w:noProof/>
          <w:lang w:val="fr-CH"/>
        </w:rPr>
        <w:t xml:space="preserve">sans discrimination </w:t>
      </w:r>
      <w:r w:rsidR="00A02DE7" w:rsidRPr="00251FA2">
        <w:rPr>
          <w:noProof/>
          <w:lang w:val="fr-CH"/>
        </w:rPr>
        <w:t xml:space="preserve">à la formation professionnelle des personnes en situation de handicap dans le but de s’insérer </w:t>
      </w:r>
      <w:r w:rsidR="004A4396" w:rsidRPr="00251FA2">
        <w:rPr>
          <w:noProof/>
          <w:lang w:val="fr-CH"/>
        </w:rPr>
        <w:t xml:space="preserve">par la suite </w:t>
      </w:r>
      <w:r w:rsidR="00A02DE7" w:rsidRPr="00251FA2">
        <w:rPr>
          <w:noProof/>
          <w:lang w:val="fr-CH"/>
        </w:rPr>
        <w:t>dans le marché du travail ordinaire</w:t>
      </w:r>
      <w:r w:rsidR="00DF6544" w:rsidRPr="00251FA2">
        <w:rPr>
          <w:noProof/>
          <w:lang w:val="fr-CH"/>
        </w:rPr>
        <w:t>,</w:t>
      </w:r>
      <w:r w:rsidR="00A02DE7" w:rsidRPr="00251FA2">
        <w:rPr>
          <w:noProof/>
          <w:lang w:val="fr-CH"/>
        </w:rPr>
        <w:t xml:space="preserve"> complémentaire ou hybride, tel que promu par la CDPH</w:t>
      </w:r>
      <w:r w:rsidR="00DF6544" w:rsidRPr="00251FA2">
        <w:rPr>
          <w:noProof/>
          <w:lang w:val="fr-CH"/>
        </w:rPr>
        <w:t>,</w:t>
      </w:r>
      <w:r w:rsidR="00A02DE7" w:rsidRPr="00251FA2">
        <w:rPr>
          <w:noProof/>
          <w:lang w:val="fr-CH"/>
        </w:rPr>
        <w:t xml:space="preserve"> est en ce sens fortement entravé. </w:t>
      </w:r>
    </w:p>
    <w:p w14:paraId="6F510A60" w14:textId="141D79FB" w:rsidR="00DB43BF" w:rsidRPr="00251FA2" w:rsidRDefault="004A4396" w:rsidP="005512DA">
      <w:pPr>
        <w:pStyle w:val="Textkrper"/>
        <w:rPr>
          <w:noProof/>
          <w:lang w:val="fr-CH"/>
        </w:rPr>
      </w:pPr>
      <w:r w:rsidRPr="00251FA2">
        <w:rPr>
          <w:noProof/>
          <w:lang w:val="fr-CH"/>
        </w:rPr>
        <w:t>La situation des personnes en situation de handicap questionne plus largement le système de formation quant à sa capacité d’intégration. L’égalité de</w:t>
      </w:r>
      <w:r w:rsidR="00AD733D" w:rsidRPr="00251FA2">
        <w:rPr>
          <w:noProof/>
          <w:lang w:val="fr-CH"/>
        </w:rPr>
        <w:t>s</w:t>
      </w:r>
      <w:r w:rsidRPr="00251FA2">
        <w:rPr>
          <w:noProof/>
          <w:lang w:val="fr-CH"/>
        </w:rPr>
        <w:t xml:space="preserve"> chances quant à l’accès à des formations, offrant de véritables opportunités d’insertion et de développement personnel et professionnel, reste largement à construire. </w:t>
      </w:r>
      <w:r w:rsidR="00C36436" w:rsidRPr="00251FA2">
        <w:rPr>
          <w:noProof/>
          <w:lang w:val="fr-CH"/>
        </w:rPr>
        <w:t xml:space="preserve">Dans ce cadre, </w:t>
      </w:r>
      <w:r w:rsidR="00DB43BF" w:rsidRPr="00251FA2">
        <w:rPr>
          <w:noProof/>
          <w:lang w:val="fr-CH"/>
        </w:rPr>
        <w:t>l’amélioration de</w:t>
      </w:r>
      <w:r w:rsidR="00C36436" w:rsidRPr="00251FA2">
        <w:rPr>
          <w:noProof/>
          <w:lang w:val="fr-CH"/>
        </w:rPr>
        <w:t xml:space="preserve"> l’orientation professionnelle des jeunes ainsi que </w:t>
      </w:r>
      <w:r w:rsidR="00DB43BF" w:rsidRPr="00251FA2">
        <w:rPr>
          <w:noProof/>
          <w:lang w:val="fr-CH"/>
        </w:rPr>
        <w:t>de</w:t>
      </w:r>
      <w:r w:rsidR="00C36436" w:rsidRPr="00251FA2">
        <w:rPr>
          <w:noProof/>
          <w:lang w:val="fr-CH"/>
        </w:rPr>
        <w:t xml:space="preserve"> leur accompagnement durant la formation ne peut </w:t>
      </w:r>
      <w:r w:rsidR="00DB43BF" w:rsidRPr="00251FA2">
        <w:rPr>
          <w:noProof/>
          <w:lang w:val="fr-CH"/>
        </w:rPr>
        <w:t>faire</w:t>
      </w:r>
      <w:r w:rsidR="00C36436" w:rsidRPr="00251FA2">
        <w:rPr>
          <w:noProof/>
          <w:lang w:val="fr-CH"/>
        </w:rPr>
        <w:t xml:space="preserve"> </w:t>
      </w:r>
      <w:r w:rsidR="00A13BDB" w:rsidRPr="00251FA2">
        <w:rPr>
          <w:noProof/>
          <w:lang w:val="fr-CH"/>
        </w:rPr>
        <w:t>l’économie d’</w:t>
      </w:r>
      <w:r w:rsidR="00C36436" w:rsidRPr="00251FA2">
        <w:rPr>
          <w:noProof/>
          <w:lang w:val="fr-CH"/>
        </w:rPr>
        <w:t xml:space="preserve">une discussion démocratique </w:t>
      </w:r>
      <w:r w:rsidR="00DB43BF" w:rsidRPr="00251FA2">
        <w:rPr>
          <w:noProof/>
          <w:lang w:val="fr-CH"/>
        </w:rPr>
        <w:t xml:space="preserve">des </w:t>
      </w:r>
      <w:r w:rsidR="008864C3" w:rsidRPr="00251FA2">
        <w:rPr>
          <w:noProof/>
          <w:lang w:val="fr-CH"/>
        </w:rPr>
        <w:t>fondements de l’inégalité d’accès à une formation professionnelle</w:t>
      </w:r>
      <w:r w:rsidR="00A13BDB" w:rsidRPr="00251FA2">
        <w:rPr>
          <w:noProof/>
          <w:lang w:val="fr-CH"/>
        </w:rPr>
        <w:t> :</w:t>
      </w:r>
      <w:r w:rsidR="00FA25BF" w:rsidRPr="00251FA2">
        <w:rPr>
          <w:noProof/>
          <w:lang w:val="fr-CH"/>
        </w:rPr>
        <w:t xml:space="preserve"> la </w:t>
      </w:r>
      <w:r w:rsidR="008864C3" w:rsidRPr="00251FA2">
        <w:rPr>
          <w:noProof/>
          <w:lang w:val="fr-CH"/>
        </w:rPr>
        <w:t>sélectivité</w:t>
      </w:r>
      <w:r w:rsidR="00934725" w:rsidRPr="00251FA2">
        <w:rPr>
          <w:noProof/>
          <w:lang w:val="fr-CH"/>
        </w:rPr>
        <w:t xml:space="preserve"> du système</w:t>
      </w:r>
      <w:r w:rsidR="008864C3" w:rsidRPr="00251FA2">
        <w:rPr>
          <w:noProof/>
          <w:lang w:val="fr-CH"/>
        </w:rPr>
        <w:t>,</w:t>
      </w:r>
      <w:r w:rsidR="00FA25BF" w:rsidRPr="00251FA2">
        <w:rPr>
          <w:noProof/>
          <w:lang w:val="fr-CH"/>
        </w:rPr>
        <w:t xml:space="preserve"> </w:t>
      </w:r>
      <w:r w:rsidR="00934725" w:rsidRPr="00251FA2">
        <w:rPr>
          <w:noProof/>
          <w:lang w:val="fr-CH"/>
        </w:rPr>
        <w:t>s</w:t>
      </w:r>
      <w:r w:rsidR="00FA25BF" w:rsidRPr="00251FA2">
        <w:rPr>
          <w:noProof/>
          <w:lang w:val="fr-CH"/>
        </w:rPr>
        <w:t>a</w:t>
      </w:r>
      <w:r w:rsidR="008864C3" w:rsidRPr="00251FA2">
        <w:rPr>
          <w:noProof/>
          <w:lang w:val="fr-CH"/>
        </w:rPr>
        <w:t xml:space="preserve"> hiérarchisation</w:t>
      </w:r>
      <w:r w:rsidR="00934725" w:rsidRPr="00251FA2">
        <w:rPr>
          <w:noProof/>
          <w:lang w:val="fr-CH"/>
        </w:rPr>
        <w:t xml:space="preserve"> et </w:t>
      </w:r>
      <w:r w:rsidR="00FA25BF" w:rsidRPr="00251FA2">
        <w:rPr>
          <w:noProof/>
          <w:lang w:val="fr-CH"/>
        </w:rPr>
        <w:t xml:space="preserve">la </w:t>
      </w:r>
      <w:r w:rsidR="008864C3" w:rsidRPr="00251FA2">
        <w:rPr>
          <w:noProof/>
          <w:lang w:val="fr-CH"/>
        </w:rPr>
        <w:t>logique de rentabilité</w:t>
      </w:r>
      <w:r w:rsidR="00A13BDB" w:rsidRPr="00251FA2">
        <w:rPr>
          <w:noProof/>
          <w:lang w:val="fr-CH"/>
        </w:rPr>
        <w:t xml:space="preserve"> qui le traverse</w:t>
      </w:r>
      <w:r w:rsidR="00FA25BF" w:rsidRPr="00251FA2">
        <w:rPr>
          <w:noProof/>
          <w:lang w:val="fr-CH"/>
        </w:rPr>
        <w:t>.</w:t>
      </w:r>
      <w:r w:rsidR="00DF6544" w:rsidRPr="00251FA2">
        <w:rPr>
          <w:noProof/>
          <w:lang w:val="fr-CH"/>
        </w:rPr>
        <w:t xml:space="preserve"> </w:t>
      </w:r>
      <w:bookmarkEnd w:id="1"/>
    </w:p>
    <w:p w14:paraId="41F0B8AE" w14:textId="1EE3E26C" w:rsidR="006E260B" w:rsidRPr="00251FA2" w:rsidRDefault="00A434C2" w:rsidP="000A3A52">
      <w:pPr>
        <w:pStyle w:val="berschrift1"/>
        <w:rPr>
          <w:rFonts w:eastAsiaTheme="minorEastAsia"/>
          <w:noProof/>
          <w:lang w:val="fr-CH"/>
        </w:rPr>
      </w:pPr>
      <w:r w:rsidRPr="00251FA2">
        <w:rPr>
          <w:rFonts w:eastAsiaTheme="minorEastAsia"/>
          <w:noProof/>
          <w:lang w:val="fr-CH"/>
        </w:rPr>
        <w:t>Autrices</w:t>
      </w:r>
    </w:p>
    <w:tbl>
      <w:tblPr>
        <w:tblStyle w:val="Tabellenraster"/>
        <w:tblW w:w="42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4252"/>
      </w:tblGrid>
      <w:tr w:rsidR="00F01255" w:rsidRPr="00251FA2" w14:paraId="58C44B6A" w14:textId="439234A2" w:rsidTr="003B5C25">
        <w:tc>
          <w:tcPr>
            <w:tcW w:w="2273" w:type="pct"/>
            <w:vAlign w:val="center"/>
          </w:tcPr>
          <w:p w14:paraId="4AE9BE9B" w14:textId="77777777" w:rsidR="00F01255" w:rsidRPr="00251FA2" w:rsidRDefault="00F01255" w:rsidP="000A3A52">
            <w:pPr>
              <w:pStyle w:val="Textkrper"/>
              <w:rPr>
                <w:rFonts w:eastAsiaTheme="minorEastAsia" w:cs="Open Sans SemiCondensed"/>
                <w:noProof/>
                <w:lang w:val="fr-CH"/>
              </w:rPr>
            </w:pPr>
            <w:r w:rsidRPr="00251FA2">
              <w:rPr>
                <w:rFonts w:eastAsiaTheme="minorEastAsia" w:cs="Open Sans SemiCondensed"/>
                <w:noProof/>
                <w:lang w:val="fr-CH"/>
              </w:rPr>
              <w:drawing>
                <wp:inline distT="0" distB="0" distL="0" distR="0" wp14:anchorId="056E1F6C" wp14:editId="6CE6EB98">
                  <wp:extent cx="1036320" cy="103632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pct"/>
            <w:vAlign w:val="center"/>
          </w:tcPr>
          <w:p w14:paraId="5AFA05D0" w14:textId="44BDEA08" w:rsidR="00F01255" w:rsidRPr="00251FA2" w:rsidRDefault="00F01255" w:rsidP="000A3A52">
            <w:pPr>
              <w:rPr>
                <w:rFonts w:eastAsiaTheme="minorEastAsia" w:cs="Open Sans SemiCondensed"/>
                <w:noProof/>
                <w:lang w:val="fr-CH"/>
              </w:rPr>
            </w:pPr>
            <w:r w:rsidRPr="00251FA2">
              <w:rPr>
                <w:rFonts w:eastAsiaTheme="minorEastAsia" w:cs="Open Sans SemiCondensed"/>
                <w:noProof/>
                <w:lang w:val="fr-CH"/>
              </w:rPr>
              <w:drawing>
                <wp:inline distT="0" distB="0" distL="0" distR="0" wp14:anchorId="44C81D35" wp14:editId="19FBD354">
                  <wp:extent cx="1036320" cy="1036320"/>
                  <wp:effectExtent l="0" t="0" r="0" b="0"/>
                  <wp:docPr id="1" name="Imag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255" w:rsidRPr="00AA733C" w14:paraId="323798B7" w14:textId="6861F8BC" w:rsidTr="003B5C25">
        <w:trPr>
          <w:trHeight w:val="960"/>
        </w:trPr>
        <w:tc>
          <w:tcPr>
            <w:tcW w:w="2273" w:type="pct"/>
          </w:tcPr>
          <w:p w14:paraId="602CD42B" w14:textId="00DB13C3" w:rsidR="00F01255" w:rsidRPr="00AA733C" w:rsidRDefault="00AE1A3C" w:rsidP="00334EA3">
            <w:pPr>
              <w:pStyle w:val="Textkrper3"/>
              <w:rPr>
                <w:noProof/>
              </w:rPr>
            </w:pPr>
            <w:r w:rsidRPr="00AA733C">
              <w:rPr>
                <w:noProof/>
              </w:rPr>
              <w:t xml:space="preserve">Dre </w:t>
            </w:r>
            <w:r w:rsidR="00F01255" w:rsidRPr="00AA733C">
              <w:rPr>
                <w:noProof/>
              </w:rPr>
              <w:t>Barbara</w:t>
            </w:r>
            <w:r w:rsidR="00D9362A" w:rsidRPr="00AA733C">
              <w:rPr>
                <w:noProof/>
              </w:rPr>
              <w:t> </w:t>
            </w:r>
            <w:r w:rsidR="00F01255" w:rsidRPr="00AA733C">
              <w:rPr>
                <w:noProof/>
              </w:rPr>
              <w:t>Duc</w:t>
            </w:r>
          </w:p>
          <w:p w14:paraId="7D8E0FB9" w14:textId="0A082251" w:rsidR="00F01255" w:rsidRPr="00AA733C" w:rsidRDefault="00F01255" w:rsidP="00334EA3">
            <w:pPr>
              <w:pStyle w:val="Textkrper3"/>
              <w:rPr>
                <w:noProof/>
              </w:rPr>
            </w:pPr>
            <w:r w:rsidRPr="00AA733C">
              <w:rPr>
                <w:noProof/>
              </w:rPr>
              <w:t>Senior Researcher</w:t>
            </w:r>
          </w:p>
          <w:p w14:paraId="4DFE33D4" w14:textId="2101B1EF" w:rsidR="00F01255" w:rsidRPr="00AA733C" w:rsidRDefault="00F01255" w:rsidP="00334EA3">
            <w:pPr>
              <w:pStyle w:val="Textkrper3"/>
              <w:rPr>
                <w:noProof/>
              </w:rPr>
            </w:pPr>
            <w:r w:rsidRPr="00AA733C">
              <w:rPr>
                <w:noProof/>
              </w:rPr>
              <w:t>HEFP, Renens</w:t>
            </w:r>
          </w:p>
          <w:p w14:paraId="2C171D2A" w14:textId="6C33BC91" w:rsidR="00F01255" w:rsidRPr="00251FA2" w:rsidRDefault="00000000" w:rsidP="00334EA3">
            <w:pPr>
              <w:pStyle w:val="Textkrper3"/>
              <w:rPr>
                <w:rFonts w:eastAsiaTheme="minorEastAsia" w:cs="Open Sans SemiCondensed"/>
                <w:noProof/>
                <w:lang w:val="fr-CH"/>
              </w:rPr>
            </w:pPr>
            <w:hyperlink r:id="rId16" w:history="1">
              <w:r w:rsidR="00F01255" w:rsidRPr="00251FA2">
                <w:rPr>
                  <w:rStyle w:val="Hyperlink"/>
                  <w:rFonts w:eastAsiaTheme="minorEastAsia" w:cs="Open Sans SemiCondensed"/>
                  <w:noProof/>
                  <w:lang w:val="fr-CH"/>
                </w:rPr>
                <w:t>Barbara.Duc@hefp.swiss</w:t>
              </w:r>
            </w:hyperlink>
          </w:p>
        </w:tc>
        <w:tc>
          <w:tcPr>
            <w:tcW w:w="2727" w:type="pct"/>
          </w:tcPr>
          <w:p w14:paraId="64398FD8" w14:textId="412FD88B" w:rsidR="00F01255" w:rsidRPr="00251FA2" w:rsidRDefault="00AE1A3C" w:rsidP="00334EA3">
            <w:pPr>
              <w:pStyle w:val="Textkrper3"/>
              <w:rPr>
                <w:noProof/>
              </w:rPr>
            </w:pPr>
            <w:r w:rsidRPr="00251FA2">
              <w:rPr>
                <w:noProof/>
              </w:rPr>
              <w:t xml:space="preserve">Prof. Dre </w:t>
            </w:r>
            <w:r w:rsidR="00F01255" w:rsidRPr="00251FA2">
              <w:rPr>
                <w:noProof/>
              </w:rPr>
              <w:t>Nadia</w:t>
            </w:r>
            <w:r w:rsidR="00D9362A" w:rsidRPr="00251FA2">
              <w:rPr>
                <w:noProof/>
              </w:rPr>
              <w:t> </w:t>
            </w:r>
            <w:r w:rsidR="00F01255" w:rsidRPr="00251FA2">
              <w:rPr>
                <w:noProof/>
              </w:rPr>
              <w:t>Lamamra</w:t>
            </w:r>
          </w:p>
          <w:p w14:paraId="0F5050C6" w14:textId="1137E6B4" w:rsidR="00F01255" w:rsidRPr="00251FA2" w:rsidRDefault="00F01255" w:rsidP="00334EA3">
            <w:pPr>
              <w:pStyle w:val="Textkrper3"/>
              <w:rPr>
                <w:noProof/>
              </w:rPr>
            </w:pPr>
            <w:r w:rsidRPr="00251FA2">
              <w:rPr>
                <w:noProof/>
              </w:rPr>
              <w:t>Responsable de champ de reche</w:t>
            </w:r>
            <w:r w:rsidR="00443E59" w:rsidRPr="00251FA2">
              <w:rPr>
                <w:noProof/>
              </w:rPr>
              <w:t>rch</w:t>
            </w:r>
            <w:r w:rsidR="00AE1A3C" w:rsidRPr="00251FA2">
              <w:rPr>
                <w:noProof/>
              </w:rPr>
              <w:t>e</w:t>
            </w:r>
          </w:p>
          <w:p w14:paraId="173786B6" w14:textId="6BFD3E5A" w:rsidR="00F01255" w:rsidRPr="00AA733C" w:rsidRDefault="00F01255" w:rsidP="00334EA3">
            <w:pPr>
              <w:pStyle w:val="Textkrper3"/>
              <w:rPr>
                <w:noProof/>
              </w:rPr>
            </w:pPr>
            <w:r w:rsidRPr="00AA733C">
              <w:rPr>
                <w:noProof/>
              </w:rPr>
              <w:t>HEFP, Renens</w:t>
            </w:r>
          </w:p>
          <w:p w14:paraId="11903478" w14:textId="77E9BC96" w:rsidR="00F01255" w:rsidRPr="00AA733C" w:rsidRDefault="00000000" w:rsidP="000A3A52">
            <w:pPr>
              <w:rPr>
                <w:rFonts w:eastAsiaTheme="minorEastAsia" w:cs="Open Sans SemiCondensed"/>
                <w:noProof/>
                <w:lang w:val="fr-CH"/>
              </w:rPr>
            </w:pPr>
            <w:hyperlink r:id="rId17" w:history="1">
              <w:r w:rsidR="00F01255" w:rsidRPr="00AA733C">
                <w:rPr>
                  <w:rStyle w:val="Hyperlink"/>
                  <w:rFonts w:eastAsiaTheme="minorEastAsia" w:cs="Open Sans SemiCondensed"/>
                  <w:noProof/>
                  <w:lang w:val="fr-CH"/>
                </w:rPr>
                <w:t>Nadia.Lamamra@hefp.swiss</w:t>
              </w:r>
            </w:hyperlink>
          </w:p>
        </w:tc>
      </w:tr>
    </w:tbl>
    <w:p w14:paraId="24250447" w14:textId="764F4464" w:rsidR="00870508" w:rsidRPr="00251FA2" w:rsidRDefault="00870508" w:rsidP="000A3A52">
      <w:pPr>
        <w:pStyle w:val="berschrift1"/>
        <w:rPr>
          <w:rFonts w:eastAsiaTheme="minorEastAsia"/>
          <w:noProof/>
          <w:lang w:val="fr-CH"/>
        </w:rPr>
      </w:pPr>
      <w:r w:rsidRPr="00251FA2">
        <w:rPr>
          <w:rFonts w:eastAsiaTheme="minorEastAsia"/>
          <w:noProof/>
          <w:lang w:val="fr-CH"/>
        </w:rPr>
        <w:t>Références</w:t>
      </w:r>
    </w:p>
    <w:p w14:paraId="6F52F64A" w14:textId="02EF4196" w:rsidR="009979E3" w:rsidRPr="00AA733C" w:rsidRDefault="009979E3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Bosset, I., Duc, B., &amp; Lamamra, N. (2020). La formation professionnelle en Suisse : des limites révélées par les résiliations de contrat d’apprentissage. </w:t>
      </w:r>
      <w:r w:rsidRPr="00AA733C">
        <w:rPr>
          <w:rFonts w:eastAsiaTheme="minorEastAsia" w:cs="Open Sans SemiCondensed"/>
          <w:i/>
          <w:iCs/>
          <w:noProof/>
          <w:lang w:val="fr-CH"/>
        </w:rPr>
        <w:t>Formation emploi</w:t>
      </w:r>
      <w:r w:rsidRPr="00AA733C">
        <w:rPr>
          <w:rFonts w:eastAsiaTheme="minorEastAsia" w:cs="Open Sans SemiCondensed"/>
          <w:noProof/>
          <w:lang w:val="fr-CH"/>
        </w:rPr>
        <w:t xml:space="preserve">, </w:t>
      </w:r>
      <w:r w:rsidRPr="00AA733C">
        <w:rPr>
          <w:rFonts w:eastAsiaTheme="minorEastAsia" w:cs="Open Sans SemiCondensed"/>
          <w:i/>
          <w:iCs/>
          <w:noProof/>
          <w:lang w:val="fr-CH"/>
        </w:rPr>
        <w:t>149</w:t>
      </w:r>
      <w:r w:rsidRPr="00AA733C">
        <w:rPr>
          <w:rFonts w:eastAsiaTheme="minorEastAsia" w:cs="Open Sans SemiCondensed"/>
          <w:noProof/>
          <w:lang w:val="fr-CH"/>
        </w:rPr>
        <w:t>, 39-60.</w:t>
      </w:r>
      <w:r w:rsidR="00B2638D" w:rsidRPr="00AA733C">
        <w:rPr>
          <w:rFonts w:eastAsiaTheme="minorEastAsia" w:cs="Open Sans SemiCondensed"/>
          <w:noProof/>
          <w:lang w:val="fr-CH"/>
        </w:rPr>
        <w:t xml:space="preserve"> </w:t>
      </w:r>
      <w:hyperlink r:id="rId18" w:history="1">
        <w:r w:rsidR="00B2638D" w:rsidRPr="00AA733C">
          <w:rPr>
            <w:rStyle w:val="Hyperlink"/>
            <w:rFonts w:eastAsiaTheme="minorEastAsia" w:cs="Open Sans SemiCondensed"/>
            <w:noProof/>
            <w:lang w:val="fr-CH"/>
          </w:rPr>
          <w:t>https://doi.org/10.4000/formationemploi.8002</w:t>
        </w:r>
      </w:hyperlink>
      <w:r w:rsidR="00B2638D" w:rsidRPr="00AA733C">
        <w:rPr>
          <w:rFonts w:eastAsiaTheme="minorEastAsia" w:cs="Open Sans SemiCondensed"/>
          <w:noProof/>
          <w:lang w:val="fr-CH"/>
        </w:rPr>
        <w:t xml:space="preserve"> </w:t>
      </w:r>
    </w:p>
    <w:p w14:paraId="796359A5" w14:textId="317684B3" w:rsidR="00474EFF" w:rsidRPr="00251FA2" w:rsidRDefault="00474EFF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AA733C">
        <w:rPr>
          <w:rFonts w:eastAsiaTheme="minorEastAsia" w:cs="Open Sans SemiCondensed"/>
          <w:noProof/>
          <w:lang w:val="fr-CH"/>
        </w:rPr>
        <w:t xml:space="preserve">Bosset, I., </w:t>
      </w:r>
      <w:r w:rsidR="009979E3" w:rsidRPr="00AA733C">
        <w:rPr>
          <w:rFonts w:eastAsiaTheme="minorEastAsia" w:cs="Open Sans SemiCondensed"/>
          <w:noProof/>
          <w:lang w:val="fr-CH"/>
        </w:rPr>
        <w:t>Hofmann, C., Duc, B., Lamamra, N., &amp; Krauss, A. (</w:t>
      </w:r>
      <w:r w:rsidRPr="00AA733C">
        <w:rPr>
          <w:rFonts w:eastAsiaTheme="minorEastAsia" w:cs="Open Sans SemiCondensed"/>
          <w:noProof/>
          <w:lang w:val="fr-CH"/>
        </w:rPr>
        <w:t>2022</w:t>
      </w:r>
      <w:r w:rsidR="009979E3" w:rsidRPr="00AA733C">
        <w:rPr>
          <w:rFonts w:eastAsiaTheme="minorEastAsia" w:cs="Open Sans SemiCondensed"/>
          <w:noProof/>
          <w:lang w:val="fr-CH"/>
        </w:rPr>
        <w:t>). Premature interruption of training in Swiss 2-year apprenticeship through the lens of fit.</w:t>
      </w:r>
      <w:r w:rsidRPr="00AA733C">
        <w:rPr>
          <w:rFonts w:eastAsiaTheme="minorEastAsia" w:cs="Open Sans SemiCondensed"/>
          <w:noProof/>
          <w:lang w:val="fr-CH"/>
        </w:rPr>
        <w:t xml:space="preserve"> </w:t>
      </w:r>
      <w:r w:rsidRPr="00251FA2">
        <w:rPr>
          <w:rFonts w:eastAsiaTheme="minorEastAsia" w:cs="Open Sans SemiCondensed"/>
          <w:i/>
          <w:iCs/>
          <w:noProof/>
          <w:lang w:val="fr-CH"/>
        </w:rPr>
        <w:t>Swiss Journal of Educational Research</w:t>
      </w:r>
      <w:r w:rsidR="009979E3" w:rsidRPr="00251FA2">
        <w:rPr>
          <w:rFonts w:eastAsiaTheme="minorEastAsia" w:cs="Open Sans SemiCondensed"/>
          <w:noProof/>
          <w:lang w:val="fr-CH"/>
        </w:rPr>
        <w:t>,</w:t>
      </w:r>
      <w:r w:rsidRPr="00251FA2">
        <w:rPr>
          <w:rFonts w:eastAsiaTheme="minorEastAsia" w:cs="Open Sans SemiCondensed"/>
          <w:noProof/>
          <w:lang w:val="fr-CH"/>
        </w:rPr>
        <w:t xml:space="preserve"> </w:t>
      </w:r>
      <w:r w:rsidRPr="00251FA2">
        <w:rPr>
          <w:rFonts w:eastAsiaTheme="minorEastAsia" w:cs="Open Sans SemiCondensed"/>
          <w:i/>
          <w:iCs/>
          <w:noProof/>
          <w:lang w:val="fr-CH"/>
        </w:rPr>
        <w:t>44</w:t>
      </w:r>
      <w:r w:rsidRPr="00251FA2">
        <w:rPr>
          <w:rFonts w:eastAsiaTheme="minorEastAsia" w:cs="Open Sans SemiCondensed"/>
          <w:noProof/>
          <w:lang w:val="fr-CH"/>
        </w:rPr>
        <w:t>(2), 277-290</w:t>
      </w:r>
      <w:r w:rsidR="009979E3" w:rsidRPr="00251FA2">
        <w:rPr>
          <w:rFonts w:eastAsiaTheme="minorEastAsia" w:cs="Open Sans SemiCondensed"/>
          <w:noProof/>
          <w:lang w:val="fr-CH"/>
        </w:rPr>
        <w:t>.</w:t>
      </w:r>
      <w:r w:rsidR="007A4A37" w:rsidRPr="00251FA2">
        <w:rPr>
          <w:rFonts w:eastAsiaTheme="minorEastAsia" w:cs="Open Sans SemiCondensed"/>
          <w:noProof/>
          <w:lang w:val="fr-CH"/>
        </w:rPr>
        <w:t xml:space="preserve"> </w:t>
      </w:r>
      <w:hyperlink r:id="rId19" w:history="1">
        <w:r w:rsidR="007A4A37" w:rsidRPr="00251FA2">
          <w:rPr>
            <w:rStyle w:val="Hyperlink"/>
            <w:rFonts w:eastAsiaTheme="minorEastAsia" w:cs="Open Sans SemiCondensed"/>
            <w:noProof/>
            <w:lang w:val="fr-CH"/>
          </w:rPr>
          <w:t>https://doi.org/10.24452/sjer.44.3.1</w:t>
        </w:r>
      </w:hyperlink>
      <w:r w:rsidR="007A4A37" w:rsidRPr="00251FA2">
        <w:rPr>
          <w:rFonts w:eastAsiaTheme="minorEastAsia" w:cs="Open Sans SemiCondensed"/>
          <w:noProof/>
          <w:lang w:val="fr-CH"/>
        </w:rPr>
        <w:t xml:space="preserve"> </w:t>
      </w:r>
    </w:p>
    <w:p w14:paraId="37AB540A" w14:textId="24074F43" w:rsidR="00F11402" w:rsidRPr="00251FA2" w:rsidRDefault="00F11402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Comité des droits des personnes handicapées [CDPH] (2022). </w:t>
      </w:r>
      <w:r w:rsidRPr="00251FA2">
        <w:rPr>
          <w:rFonts w:eastAsiaTheme="minorEastAsia" w:cs="Open Sans SemiCondensed"/>
          <w:i/>
          <w:iCs/>
          <w:noProof/>
          <w:lang w:val="fr-CH"/>
        </w:rPr>
        <w:t>Observations finales concernant le rapport initial de la Suisse.</w:t>
      </w:r>
      <w:r w:rsidRPr="00251FA2">
        <w:rPr>
          <w:rFonts w:eastAsiaTheme="minorEastAsia" w:cs="Open Sans SemiCondensed"/>
          <w:noProof/>
          <w:lang w:val="fr-CH"/>
        </w:rPr>
        <w:t xml:space="preserve"> Organisation des Nations Unies.</w:t>
      </w:r>
    </w:p>
    <w:p w14:paraId="104E02EA" w14:textId="0141EEFB" w:rsidR="006A4C99" w:rsidRPr="00251FA2" w:rsidRDefault="006A4C99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lastRenderedPageBreak/>
        <w:t>Duc, B., &amp; Lamamra, N. (2018). Les parcours de transition</w:t>
      </w:r>
      <w:r w:rsidR="00F92AC1" w:rsidRPr="00251FA2">
        <w:rPr>
          <w:rFonts w:eastAsiaTheme="minorEastAsia" w:cs="Open Sans SemiCondensed"/>
          <w:noProof/>
          <w:lang w:val="fr-CH"/>
        </w:rPr>
        <w:t> </w:t>
      </w:r>
      <w:r w:rsidRPr="00251FA2">
        <w:rPr>
          <w:rFonts w:eastAsiaTheme="minorEastAsia" w:cs="Open Sans SemiCondensed"/>
          <w:noProof/>
          <w:lang w:val="fr-CH"/>
        </w:rPr>
        <w:t xml:space="preserve">: révélateurs d’une socialisation propre à la formation professionnelle. </w:t>
      </w:r>
      <w:r w:rsidR="009F6F70" w:rsidRPr="00251FA2">
        <w:rPr>
          <w:rFonts w:eastAsiaTheme="minorEastAsia" w:cs="Open Sans SemiCondensed"/>
          <w:noProof/>
          <w:lang w:val="fr-CH"/>
        </w:rPr>
        <w:t xml:space="preserve">In </w:t>
      </w:r>
      <w:r w:rsidRPr="00251FA2">
        <w:rPr>
          <w:rFonts w:eastAsiaTheme="minorEastAsia" w:cs="Open Sans SemiCondensed"/>
          <w:noProof/>
          <w:lang w:val="fr-CH"/>
        </w:rPr>
        <w:t>J.-L.</w:t>
      </w:r>
      <w:r w:rsidR="003A70BE" w:rsidRPr="00251FA2">
        <w:rPr>
          <w:rFonts w:eastAsiaTheme="minorEastAsia" w:cs="Open Sans SemiCondensed"/>
          <w:noProof/>
          <w:lang w:val="fr-CH"/>
        </w:rPr>
        <w:t> </w:t>
      </w:r>
      <w:r w:rsidRPr="00251FA2">
        <w:rPr>
          <w:rFonts w:eastAsiaTheme="minorEastAsia" w:cs="Open Sans SemiCondensed"/>
          <w:noProof/>
          <w:lang w:val="fr-CH"/>
        </w:rPr>
        <w:t>Berger, N.</w:t>
      </w:r>
      <w:r w:rsidR="003A70BE" w:rsidRPr="00251FA2">
        <w:rPr>
          <w:rFonts w:eastAsiaTheme="minorEastAsia" w:cs="Open Sans SemiCondensed"/>
          <w:noProof/>
          <w:lang w:val="fr-CH"/>
        </w:rPr>
        <w:t> </w:t>
      </w:r>
      <w:r w:rsidRPr="00251FA2">
        <w:rPr>
          <w:rFonts w:eastAsiaTheme="minorEastAsia" w:cs="Open Sans SemiCondensed"/>
          <w:noProof/>
          <w:lang w:val="fr-CH"/>
        </w:rPr>
        <w:t>Lamamra &amp; L.</w:t>
      </w:r>
      <w:r w:rsidR="003A70BE" w:rsidRPr="00251FA2">
        <w:rPr>
          <w:rFonts w:eastAsiaTheme="minorEastAsia" w:cs="Open Sans SemiCondensed"/>
          <w:noProof/>
          <w:lang w:val="fr-CH"/>
        </w:rPr>
        <w:t> </w:t>
      </w:r>
      <w:r w:rsidRPr="00251FA2">
        <w:rPr>
          <w:rFonts w:eastAsiaTheme="minorEastAsia" w:cs="Open Sans SemiCondensed"/>
          <w:noProof/>
          <w:lang w:val="fr-CH"/>
        </w:rPr>
        <w:t xml:space="preserve">Bonoli (Eds.), </w:t>
      </w:r>
      <w:r w:rsidRPr="00251FA2">
        <w:rPr>
          <w:rFonts w:eastAsiaTheme="minorEastAsia" w:cs="Open Sans SemiCondensed"/>
          <w:i/>
          <w:iCs/>
          <w:noProof/>
          <w:lang w:val="fr-CH"/>
        </w:rPr>
        <w:t xml:space="preserve">Enjeux de la formation professionnelle suisse. Le </w:t>
      </w:r>
      <w:r w:rsidR="00F92AC1" w:rsidRPr="00251FA2">
        <w:rPr>
          <w:rFonts w:eastAsiaTheme="minorEastAsia" w:cs="Open Sans SemiCondensed"/>
          <w:i/>
          <w:iCs/>
          <w:noProof/>
          <w:lang w:val="fr-CH"/>
        </w:rPr>
        <w:t>« </w:t>
      </w:r>
      <w:r w:rsidRPr="00251FA2">
        <w:rPr>
          <w:rFonts w:eastAsiaTheme="minorEastAsia" w:cs="Open Sans SemiCondensed"/>
          <w:i/>
          <w:iCs/>
          <w:noProof/>
          <w:lang w:val="fr-CH"/>
        </w:rPr>
        <w:t>modèle</w:t>
      </w:r>
      <w:r w:rsidR="00F92AC1" w:rsidRPr="00251FA2">
        <w:rPr>
          <w:rFonts w:eastAsiaTheme="minorEastAsia" w:cs="Open Sans SemiCondensed"/>
          <w:i/>
          <w:iCs/>
          <w:noProof/>
          <w:lang w:val="fr-CH"/>
        </w:rPr>
        <w:t> »</w:t>
      </w:r>
      <w:r w:rsidRPr="00251FA2">
        <w:rPr>
          <w:rFonts w:eastAsiaTheme="minorEastAsia" w:cs="Open Sans SemiCondensed"/>
          <w:i/>
          <w:iCs/>
          <w:noProof/>
          <w:lang w:val="fr-CH"/>
        </w:rPr>
        <w:t xml:space="preserve"> suisse sous la loupe</w:t>
      </w:r>
      <w:r w:rsidRPr="00251FA2">
        <w:rPr>
          <w:rFonts w:eastAsiaTheme="minorEastAsia" w:cs="Open Sans SemiCondensed"/>
          <w:noProof/>
          <w:lang w:val="fr-CH"/>
        </w:rPr>
        <w:t xml:space="preserve"> (pp.</w:t>
      </w:r>
      <w:r w:rsidR="00925D96" w:rsidRPr="00251FA2">
        <w:rPr>
          <w:rFonts w:eastAsiaTheme="minorEastAsia" w:cs="Open Sans SemiCondensed"/>
          <w:noProof/>
          <w:lang w:val="fr-CH"/>
        </w:rPr>
        <w:t> </w:t>
      </w:r>
      <w:r w:rsidRPr="00251FA2">
        <w:rPr>
          <w:rFonts w:eastAsiaTheme="minorEastAsia" w:cs="Open Sans SemiCondensed"/>
          <w:noProof/>
          <w:lang w:val="fr-CH"/>
        </w:rPr>
        <w:t>156-180). Seismo.</w:t>
      </w:r>
    </w:p>
    <w:p w14:paraId="14256C66" w14:textId="4391DD74" w:rsidR="008D7A43" w:rsidRPr="00251FA2" w:rsidRDefault="008D7A43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Gomensoro, A., &amp; Meyer, T. (2021). </w:t>
      </w:r>
      <w:r w:rsidRPr="00251FA2">
        <w:rPr>
          <w:rFonts w:eastAsiaTheme="minorEastAsia" w:cs="Open Sans SemiCondensed"/>
          <w:i/>
          <w:iCs/>
          <w:noProof/>
          <w:lang w:val="fr-CH"/>
        </w:rPr>
        <w:t>Résultats de TREE2</w:t>
      </w:r>
      <w:r w:rsidR="00F92AC1" w:rsidRPr="00251FA2">
        <w:rPr>
          <w:rFonts w:eastAsiaTheme="minorEastAsia" w:cs="Open Sans SemiCondensed"/>
          <w:i/>
          <w:iCs/>
          <w:noProof/>
          <w:lang w:val="fr-CH"/>
        </w:rPr>
        <w:t> </w:t>
      </w:r>
      <w:r w:rsidRPr="00251FA2">
        <w:rPr>
          <w:rFonts w:eastAsiaTheme="minorEastAsia" w:cs="Open Sans SemiCondensed"/>
          <w:i/>
          <w:iCs/>
          <w:noProof/>
          <w:lang w:val="fr-CH"/>
        </w:rPr>
        <w:t>: Les deux premières années</w:t>
      </w:r>
      <w:r w:rsidRPr="00251FA2">
        <w:rPr>
          <w:rFonts w:eastAsiaTheme="minorEastAsia" w:cs="Open Sans SemiCondensed"/>
          <w:noProof/>
          <w:lang w:val="fr-CH"/>
        </w:rPr>
        <w:t>. Transitions de l’</w:t>
      </w:r>
      <w:r w:rsidR="00E35D7C" w:rsidRPr="00251FA2">
        <w:rPr>
          <w:rFonts w:eastAsiaTheme="minorEastAsia" w:cs="Open Sans SemiCondensed"/>
          <w:noProof/>
          <w:lang w:val="fr-CH"/>
        </w:rPr>
        <w:t>É</w:t>
      </w:r>
      <w:r w:rsidRPr="00251FA2">
        <w:rPr>
          <w:rFonts w:eastAsiaTheme="minorEastAsia" w:cs="Open Sans SemiCondensed"/>
          <w:noProof/>
          <w:lang w:val="fr-CH"/>
        </w:rPr>
        <w:t>cole à l’Emploi.</w:t>
      </w:r>
      <w:r w:rsidR="005170DD" w:rsidRPr="00251FA2">
        <w:rPr>
          <w:rFonts w:eastAsiaTheme="minorEastAsia" w:cs="Open Sans SemiCondensed"/>
          <w:noProof/>
          <w:lang w:val="fr-CH"/>
        </w:rPr>
        <w:t xml:space="preserve"> </w:t>
      </w:r>
      <w:hyperlink r:id="rId20" w:history="1">
        <w:r w:rsidR="005170DD" w:rsidRPr="00251FA2">
          <w:rPr>
            <w:rStyle w:val="Hyperlink"/>
            <w:rFonts w:eastAsiaTheme="minorEastAsia" w:cs="Open Sans SemiCondensed"/>
            <w:noProof/>
            <w:lang w:val="fr-CH"/>
          </w:rPr>
          <w:t>https://doi.org/10.48350/165707</w:t>
        </w:r>
      </w:hyperlink>
      <w:r w:rsidR="005170DD" w:rsidRPr="00251FA2">
        <w:rPr>
          <w:rFonts w:eastAsiaTheme="minorEastAsia" w:cs="Open Sans SemiCondensed"/>
          <w:noProof/>
          <w:lang w:val="fr-CH"/>
        </w:rPr>
        <w:t>.</w:t>
      </w:r>
    </w:p>
    <w:p w14:paraId="04BBC36F" w14:textId="243C945F" w:rsidR="001374CE" w:rsidRPr="00AA733C" w:rsidRDefault="001374CE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Hofmann, C., Häfeli, K., Müller, X., Krauss, A., Duc, B., Lamamra, N., &amp; Bosset, I. (2020). </w:t>
      </w:r>
      <w:r w:rsidRPr="00AA733C">
        <w:rPr>
          <w:rFonts w:eastAsiaTheme="minorEastAsia" w:cs="Open Sans SemiCondensed"/>
          <w:i/>
          <w:iCs/>
          <w:noProof/>
          <w:lang w:val="fr-CH"/>
        </w:rPr>
        <w:t>Situation von Lernenden und</w:t>
      </w:r>
      <w:r w:rsidR="0085091A" w:rsidRPr="00AA733C">
        <w:rPr>
          <w:rFonts w:eastAsiaTheme="minorEastAsia" w:cs="Open Sans SemiCondensed"/>
          <w:i/>
          <w:iCs/>
          <w:noProof/>
          <w:lang w:val="fr-CH"/>
        </w:rPr>
        <w:t xml:space="preserve"> </w:t>
      </w:r>
      <w:r w:rsidRPr="00AA733C">
        <w:rPr>
          <w:rFonts w:eastAsiaTheme="minorEastAsia" w:cs="Open Sans SemiCondensed"/>
          <w:i/>
          <w:iCs/>
          <w:noProof/>
          <w:lang w:val="fr-CH"/>
        </w:rPr>
        <w:t>Bewältigung von Übergängen</w:t>
      </w:r>
      <w:r w:rsidR="0085091A" w:rsidRPr="00AA733C">
        <w:rPr>
          <w:rFonts w:eastAsiaTheme="minorEastAsia" w:cs="Open Sans SemiCondensed"/>
          <w:i/>
          <w:iCs/>
          <w:noProof/>
          <w:lang w:val="fr-CH"/>
        </w:rPr>
        <w:t xml:space="preserve"> </w:t>
      </w:r>
      <w:r w:rsidRPr="00AA733C">
        <w:rPr>
          <w:rFonts w:eastAsiaTheme="minorEastAsia" w:cs="Open Sans SemiCondensed"/>
          <w:i/>
          <w:iCs/>
          <w:noProof/>
          <w:lang w:val="fr-CH"/>
        </w:rPr>
        <w:t>im niederschwelligen Ausbildungsbereich</w:t>
      </w:r>
      <w:r w:rsidR="0085091A" w:rsidRPr="00AA733C">
        <w:rPr>
          <w:rFonts w:eastAsiaTheme="minorEastAsia" w:cs="Open Sans SemiCondensed"/>
          <w:i/>
          <w:iCs/>
          <w:noProof/>
          <w:lang w:val="fr-CH"/>
        </w:rPr>
        <w:t xml:space="preserve"> (</w:t>
      </w:r>
      <w:r w:rsidRPr="00AA733C">
        <w:rPr>
          <w:rFonts w:eastAsiaTheme="minorEastAsia" w:cs="Open Sans SemiCondensed"/>
          <w:i/>
          <w:iCs/>
          <w:noProof/>
          <w:lang w:val="fr-CH"/>
        </w:rPr>
        <w:t>«LUNA»)</w:t>
      </w:r>
      <w:r w:rsidR="0085091A" w:rsidRPr="00AA733C">
        <w:rPr>
          <w:rFonts w:eastAsiaTheme="minorEastAsia" w:cs="Open Sans SemiCondensed"/>
          <w:i/>
          <w:iCs/>
          <w:noProof/>
          <w:lang w:val="fr-CH"/>
        </w:rPr>
        <w:t>. Schlussbericht.</w:t>
      </w:r>
      <w:r w:rsidR="0085091A" w:rsidRPr="00AA733C">
        <w:rPr>
          <w:rFonts w:eastAsiaTheme="minorEastAsia" w:cs="Open Sans SemiCondensed"/>
          <w:noProof/>
          <w:lang w:val="fr-CH"/>
        </w:rPr>
        <w:t xml:space="preserve"> Interkantonale Hochschule für Heilpädagogik Zürich &amp; Institut fédéral des hautes études en formation professionnelle.</w:t>
      </w:r>
    </w:p>
    <w:p w14:paraId="44D45E53" w14:textId="3A4EC91F" w:rsidR="00B676B3" w:rsidRPr="00251FA2" w:rsidRDefault="00B676B3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>INSOS (202</w:t>
      </w:r>
      <w:r w:rsidR="00474EFF" w:rsidRPr="00251FA2">
        <w:rPr>
          <w:rFonts w:eastAsiaTheme="minorEastAsia" w:cs="Open Sans SemiCondensed"/>
          <w:noProof/>
          <w:lang w:val="fr-CH"/>
        </w:rPr>
        <w:t>0</w:t>
      </w:r>
      <w:r w:rsidRPr="00251FA2">
        <w:rPr>
          <w:rFonts w:eastAsiaTheme="minorEastAsia" w:cs="Open Sans SemiCondensed"/>
          <w:noProof/>
          <w:lang w:val="fr-CH"/>
        </w:rPr>
        <w:t>)</w:t>
      </w:r>
      <w:r w:rsidR="00474EFF" w:rsidRPr="00251FA2">
        <w:rPr>
          <w:rFonts w:eastAsiaTheme="minorEastAsia" w:cs="Open Sans SemiCondensed"/>
          <w:noProof/>
          <w:lang w:val="fr-CH"/>
        </w:rPr>
        <w:t xml:space="preserve">. </w:t>
      </w:r>
      <w:r w:rsidRPr="00251FA2">
        <w:rPr>
          <w:rFonts w:eastAsiaTheme="minorEastAsia" w:cs="Open Sans SemiCondensed"/>
          <w:noProof/>
          <w:lang w:val="fr-CH"/>
        </w:rPr>
        <w:t>Statistiques FPra 20</w:t>
      </w:r>
      <w:r w:rsidR="00474EFF" w:rsidRPr="00251FA2">
        <w:rPr>
          <w:rFonts w:eastAsiaTheme="minorEastAsia" w:cs="Open Sans SemiCondensed"/>
          <w:noProof/>
          <w:lang w:val="fr-CH"/>
        </w:rPr>
        <w:t>19</w:t>
      </w:r>
      <w:r w:rsidRPr="00251FA2">
        <w:rPr>
          <w:rFonts w:eastAsiaTheme="minorEastAsia" w:cs="Open Sans SemiCondensed"/>
          <w:noProof/>
          <w:lang w:val="fr-CH"/>
        </w:rPr>
        <w:t>/202</w:t>
      </w:r>
      <w:r w:rsidR="00474EFF" w:rsidRPr="00251FA2">
        <w:rPr>
          <w:rFonts w:eastAsiaTheme="minorEastAsia" w:cs="Open Sans SemiCondensed"/>
          <w:noProof/>
          <w:lang w:val="fr-CH"/>
        </w:rPr>
        <w:t>0</w:t>
      </w:r>
      <w:r w:rsidRPr="00251FA2">
        <w:rPr>
          <w:rFonts w:eastAsiaTheme="minorEastAsia" w:cs="Open Sans SemiCondensed"/>
          <w:noProof/>
          <w:lang w:val="fr-CH"/>
        </w:rPr>
        <w:t xml:space="preserve">. </w:t>
      </w:r>
      <w:r w:rsidR="00474EFF" w:rsidRPr="00251FA2">
        <w:rPr>
          <w:rFonts w:eastAsiaTheme="minorEastAsia" w:cs="Open Sans SemiCondensed"/>
          <w:noProof/>
          <w:lang w:val="fr-CH"/>
        </w:rPr>
        <w:t>INSOS.</w:t>
      </w:r>
    </w:p>
    <w:p w14:paraId="7B8682E6" w14:textId="633BC2E4" w:rsidR="0088718D" w:rsidRPr="00251FA2" w:rsidRDefault="0088718D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>INSOS (2022</w:t>
      </w:r>
      <w:r w:rsidR="00234D15" w:rsidRPr="00251FA2">
        <w:rPr>
          <w:rFonts w:eastAsiaTheme="minorEastAsia" w:cs="Open Sans SemiCondensed"/>
          <w:noProof/>
          <w:lang w:val="fr-CH"/>
        </w:rPr>
        <w:t>a</w:t>
      </w:r>
      <w:r w:rsidRPr="00251FA2">
        <w:rPr>
          <w:rFonts w:eastAsiaTheme="minorEastAsia" w:cs="Open Sans SemiCondensed"/>
          <w:noProof/>
          <w:lang w:val="fr-CH"/>
        </w:rPr>
        <w:t>). Statistiques FPra 2020/2021. INSOS.</w:t>
      </w:r>
    </w:p>
    <w:p w14:paraId="06B09A05" w14:textId="33C1B4F9" w:rsidR="00234D15" w:rsidRPr="00251FA2" w:rsidRDefault="00234D15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INSOS (2022b). Accès des personnes en situation de handicap </w:t>
      </w:r>
      <w:r w:rsidR="00CD0AAB" w:rsidRPr="00251FA2">
        <w:rPr>
          <w:rFonts w:eastAsiaTheme="minorEastAsia" w:cs="Open Sans SemiCondensed"/>
          <w:noProof/>
          <w:lang w:val="fr-CH"/>
        </w:rPr>
        <w:t>à la formation et à l’emploi. ARTISET.</w:t>
      </w:r>
    </w:p>
    <w:p w14:paraId="7FCE725A" w14:textId="19B73261" w:rsidR="00B73240" w:rsidRPr="00251FA2" w:rsidRDefault="00B73240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>Lamamra, N.</w:t>
      </w:r>
      <w:r w:rsidR="00ED6915" w:rsidRPr="00251FA2">
        <w:rPr>
          <w:rFonts w:eastAsiaTheme="minorEastAsia" w:cs="Open Sans SemiCondensed"/>
          <w:noProof/>
          <w:lang w:val="fr-CH"/>
        </w:rPr>
        <w:t>,</w:t>
      </w:r>
      <w:r w:rsidRPr="00251FA2">
        <w:rPr>
          <w:rFonts w:eastAsiaTheme="minorEastAsia" w:cs="Open Sans SemiCondensed"/>
          <w:noProof/>
          <w:lang w:val="fr-CH"/>
        </w:rPr>
        <w:t xml:space="preserve"> &amp; Masdonati, J. (2009). Arrêter une formation professionnelle</w:t>
      </w:r>
      <w:r w:rsidR="00F92AC1" w:rsidRPr="00251FA2">
        <w:rPr>
          <w:rFonts w:eastAsiaTheme="minorEastAsia" w:cs="Open Sans SemiCondensed"/>
          <w:noProof/>
          <w:lang w:val="fr-CH"/>
        </w:rPr>
        <w:t> </w:t>
      </w:r>
      <w:r w:rsidRPr="00251FA2">
        <w:rPr>
          <w:rFonts w:eastAsiaTheme="minorEastAsia" w:cs="Open Sans SemiCondensed"/>
          <w:noProof/>
          <w:lang w:val="fr-CH"/>
        </w:rPr>
        <w:t>: mots et maux d</w:t>
      </w:r>
      <w:r w:rsidR="00F92AC1" w:rsidRPr="00251FA2">
        <w:rPr>
          <w:rFonts w:eastAsiaTheme="minorEastAsia" w:cs="Open Sans SemiCondensed"/>
          <w:noProof/>
          <w:lang w:val="fr-CH"/>
        </w:rPr>
        <w:t>’</w:t>
      </w:r>
      <w:r w:rsidRPr="00251FA2">
        <w:rPr>
          <w:rFonts w:eastAsiaTheme="minorEastAsia" w:cs="Open Sans SemiCondensed"/>
          <w:noProof/>
          <w:lang w:val="fr-CH"/>
        </w:rPr>
        <w:t>apprenti-e-s. Antipodes.</w:t>
      </w:r>
    </w:p>
    <w:p w14:paraId="57D8990C" w14:textId="6405EC68" w:rsidR="00762365" w:rsidRPr="00251FA2" w:rsidRDefault="00762365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Office fédéral des assurances sociales [OFAS] (2023). </w:t>
      </w:r>
      <w:r w:rsidRPr="00251FA2">
        <w:rPr>
          <w:rFonts w:eastAsiaTheme="minorEastAsia" w:cs="Open Sans SemiCondensed"/>
          <w:i/>
          <w:iCs/>
          <w:noProof/>
          <w:lang w:val="fr-CH"/>
        </w:rPr>
        <w:t>Circulaire sur les mesures de réadaptation professionnelle de l’AI (CMRPr)</w:t>
      </w:r>
      <w:r w:rsidRPr="00251FA2">
        <w:rPr>
          <w:rFonts w:eastAsiaTheme="minorEastAsia" w:cs="Open Sans SemiCondensed"/>
          <w:noProof/>
          <w:lang w:val="fr-CH"/>
        </w:rPr>
        <w:t>. O</w:t>
      </w:r>
      <w:r w:rsidR="00837627" w:rsidRPr="00251FA2">
        <w:rPr>
          <w:rFonts w:eastAsiaTheme="minorEastAsia" w:cs="Open Sans SemiCondensed"/>
          <w:noProof/>
          <w:lang w:val="fr-CH"/>
        </w:rPr>
        <w:t>FAS</w:t>
      </w:r>
      <w:r w:rsidRPr="00251FA2">
        <w:rPr>
          <w:rFonts w:eastAsiaTheme="minorEastAsia" w:cs="Open Sans SemiCondensed"/>
          <w:noProof/>
          <w:lang w:val="fr-CH"/>
        </w:rPr>
        <w:t>.</w:t>
      </w:r>
      <w:r w:rsidR="00DF6E72" w:rsidRPr="00251FA2">
        <w:rPr>
          <w:rFonts w:eastAsiaTheme="minorEastAsia" w:cs="Open Sans SemiCondensed"/>
          <w:noProof/>
          <w:lang w:val="fr-CH"/>
        </w:rPr>
        <w:t xml:space="preserve"> </w:t>
      </w:r>
      <w:hyperlink r:id="rId21" w:history="1">
        <w:r w:rsidR="00DF6E72" w:rsidRPr="00251FA2">
          <w:rPr>
            <w:rStyle w:val="Hyperlink"/>
            <w:rFonts w:eastAsiaTheme="minorEastAsia" w:cs="Open Sans SemiCondensed"/>
            <w:noProof/>
            <w:lang w:val="fr-CH"/>
          </w:rPr>
          <w:t>https://sozialversicherungen.admin.ch/fr/d/18459/download</w:t>
        </w:r>
      </w:hyperlink>
      <w:r w:rsidR="00DF6E72" w:rsidRPr="00251FA2">
        <w:rPr>
          <w:rFonts w:eastAsiaTheme="minorEastAsia" w:cs="Open Sans SemiCondensed"/>
          <w:noProof/>
          <w:lang w:val="fr-CH"/>
        </w:rPr>
        <w:t xml:space="preserve"> </w:t>
      </w:r>
    </w:p>
    <w:p w14:paraId="1BBE980D" w14:textId="35C0FCF9" w:rsidR="00450726" w:rsidRPr="00AA733C" w:rsidRDefault="00450726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251FA2">
        <w:rPr>
          <w:rFonts w:eastAsiaTheme="minorEastAsia" w:cs="Open Sans SemiCondensed"/>
          <w:noProof/>
          <w:lang w:val="fr-CH"/>
        </w:rPr>
        <w:t xml:space="preserve">Puiseux, C. (2022). De chair et de fer. Vivre et lutter dans une société validiste. </w:t>
      </w:r>
      <w:r w:rsidRPr="00AA733C">
        <w:rPr>
          <w:rFonts w:eastAsiaTheme="minorEastAsia" w:cs="Open Sans SemiCondensed"/>
          <w:noProof/>
          <w:lang w:val="fr-CH"/>
        </w:rPr>
        <w:t>La Découverte.</w:t>
      </w:r>
    </w:p>
    <w:p w14:paraId="60FC2799" w14:textId="3F9743F3" w:rsidR="00E876A3" w:rsidRPr="00251FA2" w:rsidRDefault="00E876A3" w:rsidP="000A3A52">
      <w:pPr>
        <w:pStyle w:val="Literaturverzeichnis"/>
        <w:rPr>
          <w:rFonts w:eastAsiaTheme="minorEastAsia" w:cs="Open Sans SemiCondensed"/>
          <w:noProof/>
          <w:lang w:val="fr-CH"/>
        </w:rPr>
      </w:pPr>
      <w:r w:rsidRPr="00AA733C">
        <w:rPr>
          <w:rFonts w:eastAsiaTheme="minorEastAsia" w:cs="Open Sans SemiCondensed"/>
          <w:noProof/>
          <w:lang w:val="fr-CH"/>
        </w:rPr>
        <w:t xml:space="preserve">Scharnhorst, U., &amp; Kammermann, M. (2020). Who is Included in VET, Who Not? </w:t>
      </w:r>
      <w:r w:rsidRPr="00251FA2">
        <w:rPr>
          <w:rFonts w:eastAsiaTheme="minorEastAsia" w:cs="Open Sans SemiCondensed"/>
          <w:noProof/>
          <w:lang w:val="fr-CH"/>
        </w:rPr>
        <w:t xml:space="preserve">Education + Training, </w:t>
      </w:r>
      <w:r w:rsidRPr="00251FA2">
        <w:rPr>
          <w:rFonts w:eastAsiaTheme="minorEastAsia" w:cs="Open Sans SemiCondensed"/>
          <w:i/>
          <w:iCs/>
          <w:noProof/>
          <w:lang w:val="fr-CH"/>
        </w:rPr>
        <w:t>62</w:t>
      </w:r>
      <w:r w:rsidRPr="00251FA2">
        <w:rPr>
          <w:rFonts w:eastAsiaTheme="minorEastAsia" w:cs="Open Sans SemiCondensed"/>
          <w:noProof/>
          <w:lang w:val="fr-CH"/>
        </w:rPr>
        <w:t>(6), 645-658.</w:t>
      </w:r>
      <w:r w:rsidR="00EE3E6D" w:rsidRPr="00251FA2">
        <w:rPr>
          <w:rFonts w:eastAsiaTheme="minorEastAsia" w:cs="Open Sans SemiCondensed"/>
          <w:noProof/>
          <w:lang w:val="fr-CH"/>
        </w:rPr>
        <w:t xml:space="preserve"> </w:t>
      </w:r>
      <w:hyperlink r:id="rId22" w:history="1">
        <w:r w:rsidR="00EE3E6D" w:rsidRPr="00251FA2">
          <w:rPr>
            <w:rStyle w:val="Hyperlink"/>
            <w:rFonts w:eastAsiaTheme="minorEastAsia" w:cs="Open Sans SemiCondensed"/>
            <w:noProof/>
            <w:lang w:val="fr-CH"/>
          </w:rPr>
          <w:t>https://doi.org/10.1108/ET-11-2019-0248</w:t>
        </w:r>
      </w:hyperlink>
      <w:r w:rsidR="00EE3E6D" w:rsidRPr="00251FA2">
        <w:rPr>
          <w:rFonts w:eastAsiaTheme="minorEastAsia" w:cs="Open Sans SemiCondensed"/>
          <w:noProof/>
          <w:lang w:val="fr-CH"/>
        </w:rPr>
        <w:t xml:space="preserve"> </w:t>
      </w:r>
    </w:p>
    <w:p w14:paraId="6606D4E5" w14:textId="2939FF9E" w:rsidR="00B270D2" w:rsidRPr="00251FA2" w:rsidRDefault="00B270D2" w:rsidP="000A3A52">
      <w:pPr>
        <w:pStyle w:val="Literaturverzeichnis"/>
        <w:rPr>
          <w:rFonts w:eastAsiaTheme="minorEastAsia" w:cs="Open Sans SemiCondensed"/>
          <w:noProof/>
          <w:lang w:val="fr-CH"/>
        </w:rPr>
      </w:pPr>
    </w:p>
    <w:sectPr w:rsidR="00B270D2" w:rsidRPr="00251FA2" w:rsidSect="007F055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418" w:right="1418" w:bottom="1134" w:left="1418" w:header="720" w:footer="567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F82C" w14:textId="77777777" w:rsidR="00183ABF" w:rsidRDefault="00183ABF">
      <w:pPr>
        <w:spacing w:line="240" w:lineRule="auto"/>
      </w:pPr>
      <w:r>
        <w:separator/>
      </w:r>
    </w:p>
  </w:endnote>
  <w:endnote w:type="continuationSeparator" w:id="0">
    <w:p w14:paraId="5B64B7DA" w14:textId="77777777" w:rsidR="00183ABF" w:rsidRDefault="00183ABF">
      <w:pPr>
        <w:spacing w:line="240" w:lineRule="auto"/>
      </w:pPr>
      <w:r>
        <w:continuationSeparator/>
      </w:r>
    </w:p>
  </w:endnote>
  <w:endnote w:type="continuationNotice" w:id="1">
    <w:p w14:paraId="665E1E95" w14:textId="77777777" w:rsidR="00183ABF" w:rsidRDefault="00183A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A9508E5D-244A-493B-AEE3-21422497A5CC}"/>
    <w:embedBold r:id="rId2" w:fontKey="{3892E589-3D18-4E5E-9E77-C9598DCDD717}"/>
    <w:embedItalic r:id="rId3" w:fontKey="{F6BC62FF-4081-4B13-9889-14CDDB77B88B}"/>
    <w:embedBoldItalic r:id="rId4" w:fontKey="{D04C4033-F970-4C96-86F3-A66571A2EA5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DBCE" w14:textId="77777777" w:rsidR="007F0553" w:rsidRDefault="007F05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003C" w14:textId="77777777" w:rsidR="004B3A29" w:rsidRPr="007B448B" w:rsidRDefault="006E210A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FE81290" wp14:editId="751CECC2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CAEE" w14:textId="77777777" w:rsidR="007F0553" w:rsidRDefault="007F05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9A5D" w14:textId="77777777" w:rsidR="00183ABF" w:rsidRPr="00777A2F" w:rsidRDefault="00183ABF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698C3127" w14:textId="77777777" w:rsidR="00183ABF" w:rsidRDefault="00183ABF">
      <w:r>
        <w:continuationSeparator/>
      </w:r>
    </w:p>
  </w:footnote>
  <w:footnote w:type="continuationNotice" w:id="1">
    <w:p w14:paraId="2AE9E332" w14:textId="77777777" w:rsidR="00183ABF" w:rsidRDefault="00183ABF">
      <w:pPr>
        <w:spacing w:line="240" w:lineRule="auto"/>
      </w:pPr>
    </w:p>
  </w:footnote>
  <w:footnote w:id="2">
    <w:p w14:paraId="59AA6805" w14:textId="63B723E8" w:rsidR="00EF2CC6" w:rsidRPr="00EF2CC6" w:rsidRDefault="00EF2CC6" w:rsidP="00AF04D0">
      <w:pPr>
        <w:pStyle w:val="Funotentext"/>
        <w:jc w:val="both"/>
        <w:rPr>
          <w:lang w:val="fr-CH"/>
        </w:rPr>
      </w:pPr>
      <w:r>
        <w:rPr>
          <w:rStyle w:val="Funotenzeichen"/>
        </w:rPr>
        <w:footnoteRef/>
      </w:r>
      <w:r w:rsidRPr="00EF2CC6">
        <w:rPr>
          <w:lang w:val="fr-CH"/>
        </w:rPr>
        <w:t xml:space="preserve"> </w:t>
      </w:r>
      <w:r>
        <w:rPr>
          <w:lang w:val="fr-CH"/>
        </w:rPr>
        <w:t xml:space="preserve">Sans mention contraire, toutes les données statistiques </w:t>
      </w:r>
      <w:r w:rsidR="00CE66AC">
        <w:rPr>
          <w:lang w:val="fr-CH"/>
        </w:rPr>
        <w:t>relatives à</w:t>
      </w:r>
      <w:r>
        <w:rPr>
          <w:lang w:val="fr-CH"/>
        </w:rPr>
        <w:t xml:space="preserve"> la transition à la fin de l’école obligatoire, </w:t>
      </w:r>
      <w:r w:rsidR="00CE66AC">
        <w:rPr>
          <w:lang w:val="fr-CH"/>
        </w:rPr>
        <w:t>à la</w:t>
      </w:r>
      <w:r>
        <w:rPr>
          <w:lang w:val="fr-CH"/>
        </w:rPr>
        <w:t xml:space="preserve"> certification du secondaire</w:t>
      </w:r>
      <w:r w:rsidR="00925D96">
        <w:rPr>
          <w:lang w:val="fr-CH"/>
        </w:rPr>
        <w:t> </w:t>
      </w:r>
      <w:r>
        <w:rPr>
          <w:lang w:val="fr-CH"/>
        </w:rPr>
        <w:t xml:space="preserve">II ou </w:t>
      </w:r>
      <w:r w:rsidR="00CE66AC">
        <w:rPr>
          <w:lang w:val="fr-CH"/>
        </w:rPr>
        <w:t>aux</w:t>
      </w:r>
      <w:r>
        <w:rPr>
          <w:lang w:val="fr-CH"/>
        </w:rPr>
        <w:t xml:space="preserve"> résiliations de contrat d’apprentissage sont issues de l’office fédéral de la statistique : </w:t>
      </w:r>
      <w:hyperlink r:id="rId1" w:history="1">
        <w:r w:rsidR="00FF3072" w:rsidRPr="00B8604A">
          <w:rPr>
            <w:rStyle w:val="Hyperlink"/>
            <w:sz w:val="18"/>
            <w:lang w:val="fr-CH"/>
          </w:rPr>
          <w:t>https://www.bfs.admin.ch/bfs/fr/home/statistiques/education-science/transitions-parcours-domaine-formation.html</w:t>
        </w:r>
      </w:hyperlink>
    </w:p>
    <w:p w14:paraId="5328D28F" w14:textId="297404E8" w:rsidR="00EF2CC6" w:rsidRPr="00EF2CC6" w:rsidRDefault="00EF2CC6" w:rsidP="00EF2CC6">
      <w:pPr>
        <w:pStyle w:val="Funoten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F9AE" w14:textId="77777777" w:rsidR="007F0553" w:rsidRDefault="007F05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915D" w14:textId="14509340" w:rsidR="007B448B" w:rsidRPr="005D6654" w:rsidRDefault="00307EC7" w:rsidP="007B448B">
    <w:pPr>
      <w:pStyle w:val="Themenschwerpunkt"/>
      <w:rPr>
        <w:lang w:val="fr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3F831893" wp14:editId="235285E9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Connecteur droit 3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d31932 [3204]" from="-29.25pt,-35.3pt" to="-29.25pt,945.85pt" w14:anchorId="3CF227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>
              <o:lock v:ext="edit" shapetype="f"/>
            </v:line>
          </w:pict>
        </mc:Fallback>
      </mc:AlternateContent>
    </w:r>
    <w:r w:rsidR="00842DBB" w:rsidRPr="004706EE">
      <w:rPr>
        <w:lang w:val="fr-CH" w:eastAsia="fr-CH"/>
      </w:rPr>
      <w:t>Équité tout au long de la vie</w:t>
    </w:r>
    <w:r w:rsidR="007B448B">
      <w:rPr>
        <w:lang w:val="fr-CH"/>
      </w:rPr>
      <w:tab/>
    </w:r>
    <w:r w:rsidR="007B448B">
      <w:rPr>
        <w:lang w:val="fr-CH"/>
      </w:rPr>
      <w:tab/>
    </w:r>
    <w:r w:rsidR="007B448B" w:rsidRPr="00ED473A">
      <w:rPr>
        <w:b w:val="0"/>
        <w:bCs/>
        <w:lang w:val="fr-CH"/>
      </w:rPr>
      <w:t>Revue Suisse de Pédagogie Spécialisée, Vol.</w:t>
    </w:r>
    <w:r w:rsidR="00925D96">
      <w:rPr>
        <w:b w:val="0"/>
        <w:bCs/>
        <w:lang w:val="fr-CH"/>
      </w:rPr>
      <w:t> </w:t>
    </w:r>
    <w:r w:rsidR="00842DBB">
      <w:rPr>
        <w:b w:val="0"/>
        <w:bCs/>
        <w:lang w:val="fr-CH"/>
      </w:rPr>
      <w:t>13</w:t>
    </w:r>
    <w:r w:rsidR="007B448B" w:rsidRPr="005D6654">
      <w:rPr>
        <w:b w:val="0"/>
        <w:bCs/>
        <w:lang w:val="fr-CH"/>
      </w:rPr>
      <w:t xml:space="preserve">, </w:t>
    </w:r>
    <w:r w:rsidR="00842DBB">
      <w:rPr>
        <w:b w:val="0"/>
        <w:bCs/>
        <w:lang w:val="fr-CH"/>
      </w:rPr>
      <w:t>02</w:t>
    </w:r>
    <w:r w:rsidR="007B448B" w:rsidRPr="005D6654">
      <w:rPr>
        <w:b w:val="0"/>
        <w:bCs/>
        <w:lang w:val="fr-CH"/>
      </w:rPr>
      <w:t>/</w:t>
    </w:r>
    <w:r w:rsidR="00842DBB">
      <w:rPr>
        <w:b w:val="0"/>
        <w:bCs/>
        <w:lang w:val="fr-CH"/>
      </w:rPr>
      <w:t>2023</w:t>
    </w:r>
  </w:p>
  <w:p w14:paraId="58BB6384" w14:textId="5B6746A0" w:rsidR="004B3A29" w:rsidRPr="00ED473A" w:rsidRDefault="00B7489C" w:rsidP="007B448B">
    <w:pPr>
      <w:pStyle w:val="Themenschwerpunkt"/>
      <w:rPr>
        <w:b w:val="0"/>
        <w:bCs/>
        <w:lang w:val="fr-CH"/>
      </w:rPr>
    </w:pPr>
    <w:r w:rsidRPr="000F5AD9">
      <w:rPr>
        <w:b w:val="0"/>
        <w:bCs/>
        <w:lang w:val="de-CH"/>
      </w:rPr>
      <w:t xml:space="preserve">| </w:t>
    </w:r>
    <w:r w:rsidR="00B71621" w:rsidRPr="000F5AD9">
      <w:rPr>
        <w:b w:val="0"/>
        <w:bCs/>
        <w:lang w:val="de-CH"/>
      </w:rPr>
      <w:t>ARTICLE</w:t>
    </w:r>
    <w:r w:rsidR="007B448B" w:rsidRPr="000F5AD9">
      <w:rPr>
        <w:b w:val="0"/>
        <w:bCs/>
        <w:lang w:val="de-CH"/>
      </w:rPr>
      <w:tab/>
    </w:r>
    <w:r w:rsidR="007B448B" w:rsidRPr="000F5AD9">
      <w:rPr>
        <w:b w:val="0"/>
        <w:bCs/>
        <w:lang w:val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91FD" w14:textId="77777777" w:rsidR="007F0553" w:rsidRDefault="007F05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2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0546092">
    <w:abstractNumId w:val="1"/>
  </w:num>
  <w:num w:numId="2" w16cid:durableId="938440743">
    <w:abstractNumId w:val="2"/>
  </w:num>
  <w:num w:numId="3" w16cid:durableId="7492756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B9"/>
    <w:rsid w:val="00000351"/>
    <w:rsid w:val="00002A28"/>
    <w:rsid w:val="00007409"/>
    <w:rsid w:val="00007A84"/>
    <w:rsid w:val="00010F5E"/>
    <w:rsid w:val="0001439E"/>
    <w:rsid w:val="0001442A"/>
    <w:rsid w:val="00016BFF"/>
    <w:rsid w:val="00017DE4"/>
    <w:rsid w:val="0002208C"/>
    <w:rsid w:val="00024143"/>
    <w:rsid w:val="000302CB"/>
    <w:rsid w:val="0003314D"/>
    <w:rsid w:val="000352CE"/>
    <w:rsid w:val="0003546E"/>
    <w:rsid w:val="00036CC1"/>
    <w:rsid w:val="00037EBF"/>
    <w:rsid w:val="000416BC"/>
    <w:rsid w:val="000430C9"/>
    <w:rsid w:val="00043A17"/>
    <w:rsid w:val="00044831"/>
    <w:rsid w:val="00044BBE"/>
    <w:rsid w:val="0004773C"/>
    <w:rsid w:val="000520AF"/>
    <w:rsid w:val="00053353"/>
    <w:rsid w:val="00054B6F"/>
    <w:rsid w:val="000563CA"/>
    <w:rsid w:val="000608B9"/>
    <w:rsid w:val="00063863"/>
    <w:rsid w:val="00066ECA"/>
    <w:rsid w:val="0007091C"/>
    <w:rsid w:val="00074EC3"/>
    <w:rsid w:val="000759D7"/>
    <w:rsid w:val="00076FA1"/>
    <w:rsid w:val="00082084"/>
    <w:rsid w:val="00082DD4"/>
    <w:rsid w:val="00085768"/>
    <w:rsid w:val="000858A7"/>
    <w:rsid w:val="00085DD0"/>
    <w:rsid w:val="0008757C"/>
    <w:rsid w:val="00090193"/>
    <w:rsid w:val="00090FA1"/>
    <w:rsid w:val="00091A97"/>
    <w:rsid w:val="00094939"/>
    <w:rsid w:val="00096295"/>
    <w:rsid w:val="00096588"/>
    <w:rsid w:val="000A1C8B"/>
    <w:rsid w:val="000A26AE"/>
    <w:rsid w:val="000A28AC"/>
    <w:rsid w:val="000A3786"/>
    <w:rsid w:val="000A3A52"/>
    <w:rsid w:val="000A656E"/>
    <w:rsid w:val="000B1171"/>
    <w:rsid w:val="000B3589"/>
    <w:rsid w:val="000B59BD"/>
    <w:rsid w:val="000B5BB8"/>
    <w:rsid w:val="000B702E"/>
    <w:rsid w:val="000B7833"/>
    <w:rsid w:val="000C696F"/>
    <w:rsid w:val="000E1AE1"/>
    <w:rsid w:val="000E4138"/>
    <w:rsid w:val="000E6A66"/>
    <w:rsid w:val="000F0956"/>
    <w:rsid w:val="000F09BE"/>
    <w:rsid w:val="000F31A6"/>
    <w:rsid w:val="000F3D27"/>
    <w:rsid w:val="000F4A4D"/>
    <w:rsid w:val="000F4B54"/>
    <w:rsid w:val="000F5288"/>
    <w:rsid w:val="000F5AD9"/>
    <w:rsid w:val="001012C8"/>
    <w:rsid w:val="0010334E"/>
    <w:rsid w:val="001114E2"/>
    <w:rsid w:val="001150A5"/>
    <w:rsid w:val="00115EF5"/>
    <w:rsid w:val="001161D6"/>
    <w:rsid w:val="00116A1B"/>
    <w:rsid w:val="00116ABE"/>
    <w:rsid w:val="00120CBF"/>
    <w:rsid w:val="00124571"/>
    <w:rsid w:val="001278C6"/>
    <w:rsid w:val="00135187"/>
    <w:rsid w:val="00135D0B"/>
    <w:rsid w:val="00136B20"/>
    <w:rsid w:val="00136D77"/>
    <w:rsid w:val="001374CE"/>
    <w:rsid w:val="001400FD"/>
    <w:rsid w:val="00140FDA"/>
    <w:rsid w:val="00142CE9"/>
    <w:rsid w:val="0014594F"/>
    <w:rsid w:val="00145F43"/>
    <w:rsid w:val="001469B7"/>
    <w:rsid w:val="00151BCA"/>
    <w:rsid w:val="00153133"/>
    <w:rsid w:val="00155E50"/>
    <w:rsid w:val="00157D7E"/>
    <w:rsid w:val="0016153C"/>
    <w:rsid w:val="001622C9"/>
    <w:rsid w:val="001637EE"/>
    <w:rsid w:val="00167858"/>
    <w:rsid w:val="00167D50"/>
    <w:rsid w:val="0017077C"/>
    <w:rsid w:val="00175538"/>
    <w:rsid w:val="00175B8D"/>
    <w:rsid w:val="00176031"/>
    <w:rsid w:val="001800C4"/>
    <w:rsid w:val="00183ABF"/>
    <w:rsid w:val="00184A8D"/>
    <w:rsid w:val="00184DE6"/>
    <w:rsid w:val="001879BA"/>
    <w:rsid w:val="00187C41"/>
    <w:rsid w:val="00191AC6"/>
    <w:rsid w:val="001A2EEC"/>
    <w:rsid w:val="001A440E"/>
    <w:rsid w:val="001A7C79"/>
    <w:rsid w:val="001B05BD"/>
    <w:rsid w:val="001B16E8"/>
    <w:rsid w:val="001B1DED"/>
    <w:rsid w:val="001B25F3"/>
    <w:rsid w:val="001B2E0C"/>
    <w:rsid w:val="001B7781"/>
    <w:rsid w:val="001C6361"/>
    <w:rsid w:val="001C6730"/>
    <w:rsid w:val="001D3BFB"/>
    <w:rsid w:val="001D5629"/>
    <w:rsid w:val="001E07F2"/>
    <w:rsid w:val="001E0F89"/>
    <w:rsid w:val="001E0F8A"/>
    <w:rsid w:val="001E1826"/>
    <w:rsid w:val="001E2000"/>
    <w:rsid w:val="001E2854"/>
    <w:rsid w:val="001E2B96"/>
    <w:rsid w:val="001E3089"/>
    <w:rsid w:val="001E3BE9"/>
    <w:rsid w:val="001F1A91"/>
    <w:rsid w:val="001F3DC7"/>
    <w:rsid w:val="001F541D"/>
    <w:rsid w:val="001F78D2"/>
    <w:rsid w:val="00202A19"/>
    <w:rsid w:val="0020467E"/>
    <w:rsid w:val="00207246"/>
    <w:rsid w:val="0021435F"/>
    <w:rsid w:val="002150CF"/>
    <w:rsid w:val="0021576E"/>
    <w:rsid w:val="00220470"/>
    <w:rsid w:val="00221BF4"/>
    <w:rsid w:val="00224D8C"/>
    <w:rsid w:val="0022654C"/>
    <w:rsid w:val="00227085"/>
    <w:rsid w:val="00232716"/>
    <w:rsid w:val="00234D15"/>
    <w:rsid w:val="00235A6C"/>
    <w:rsid w:val="00236455"/>
    <w:rsid w:val="0024062D"/>
    <w:rsid w:val="00240B70"/>
    <w:rsid w:val="002443A6"/>
    <w:rsid w:val="002451E3"/>
    <w:rsid w:val="0024575B"/>
    <w:rsid w:val="00250E59"/>
    <w:rsid w:val="00251FA2"/>
    <w:rsid w:val="00252D9F"/>
    <w:rsid w:val="0025577A"/>
    <w:rsid w:val="00262629"/>
    <w:rsid w:val="002648F7"/>
    <w:rsid w:val="002665FA"/>
    <w:rsid w:val="002675AD"/>
    <w:rsid w:val="002708FA"/>
    <w:rsid w:val="00271806"/>
    <w:rsid w:val="002720A7"/>
    <w:rsid w:val="00274AD6"/>
    <w:rsid w:val="002768F8"/>
    <w:rsid w:val="00276B2C"/>
    <w:rsid w:val="002779B9"/>
    <w:rsid w:val="0028060A"/>
    <w:rsid w:val="00284A16"/>
    <w:rsid w:val="00284EA0"/>
    <w:rsid w:val="002862AA"/>
    <w:rsid w:val="002915F8"/>
    <w:rsid w:val="00295FB2"/>
    <w:rsid w:val="00296618"/>
    <w:rsid w:val="002A2512"/>
    <w:rsid w:val="002A6C44"/>
    <w:rsid w:val="002B0B84"/>
    <w:rsid w:val="002B2E58"/>
    <w:rsid w:val="002C5235"/>
    <w:rsid w:val="002C58F2"/>
    <w:rsid w:val="002C59EE"/>
    <w:rsid w:val="002C5A2B"/>
    <w:rsid w:val="002C6E97"/>
    <w:rsid w:val="002D4523"/>
    <w:rsid w:val="002D4538"/>
    <w:rsid w:val="002D70C8"/>
    <w:rsid w:val="002D7E7B"/>
    <w:rsid w:val="002E13B6"/>
    <w:rsid w:val="002E5374"/>
    <w:rsid w:val="002E79F7"/>
    <w:rsid w:val="002F3E4D"/>
    <w:rsid w:val="002F4FDA"/>
    <w:rsid w:val="002F5B78"/>
    <w:rsid w:val="002F6585"/>
    <w:rsid w:val="00301500"/>
    <w:rsid w:val="00302E79"/>
    <w:rsid w:val="0030314E"/>
    <w:rsid w:val="0030447C"/>
    <w:rsid w:val="00306366"/>
    <w:rsid w:val="00307EC7"/>
    <w:rsid w:val="00310420"/>
    <w:rsid w:val="00313C63"/>
    <w:rsid w:val="003149B8"/>
    <w:rsid w:val="00316A7B"/>
    <w:rsid w:val="003176D0"/>
    <w:rsid w:val="00321A74"/>
    <w:rsid w:val="00322024"/>
    <w:rsid w:val="003222A6"/>
    <w:rsid w:val="00323858"/>
    <w:rsid w:val="00325015"/>
    <w:rsid w:val="00326A18"/>
    <w:rsid w:val="00327D25"/>
    <w:rsid w:val="00332D45"/>
    <w:rsid w:val="00334EA3"/>
    <w:rsid w:val="00340A74"/>
    <w:rsid w:val="00343089"/>
    <w:rsid w:val="0034520B"/>
    <w:rsid w:val="0034551D"/>
    <w:rsid w:val="0034705E"/>
    <w:rsid w:val="00352A0B"/>
    <w:rsid w:val="0036036E"/>
    <w:rsid w:val="00365730"/>
    <w:rsid w:val="00366AF9"/>
    <w:rsid w:val="003729A3"/>
    <w:rsid w:val="00372AF4"/>
    <w:rsid w:val="00376C8B"/>
    <w:rsid w:val="00377B41"/>
    <w:rsid w:val="003819B7"/>
    <w:rsid w:val="00382314"/>
    <w:rsid w:val="00383074"/>
    <w:rsid w:val="00386160"/>
    <w:rsid w:val="00386CFF"/>
    <w:rsid w:val="00390029"/>
    <w:rsid w:val="00391F52"/>
    <w:rsid w:val="00392D17"/>
    <w:rsid w:val="00397005"/>
    <w:rsid w:val="003A0EA7"/>
    <w:rsid w:val="003A2717"/>
    <w:rsid w:val="003A284F"/>
    <w:rsid w:val="003A2A2E"/>
    <w:rsid w:val="003A3EB4"/>
    <w:rsid w:val="003A43DC"/>
    <w:rsid w:val="003A70BE"/>
    <w:rsid w:val="003B1118"/>
    <w:rsid w:val="003B4C81"/>
    <w:rsid w:val="003B5C25"/>
    <w:rsid w:val="003C010E"/>
    <w:rsid w:val="003C1C1A"/>
    <w:rsid w:val="003C53D5"/>
    <w:rsid w:val="003C7237"/>
    <w:rsid w:val="003D221C"/>
    <w:rsid w:val="003D2EF7"/>
    <w:rsid w:val="003D4107"/>
    <w:rsid w:val="003D502F"/>
    <w:rsid w:val="003D7E31"/>
    <w:rsid w:val="003E022D"/>
    <w:rsid w:val="003E0578"/>
    <w:rsid w:val="003E0754"/>
    <w:rsid w:val="003E4413"/>
    <w:rsid w:val="003E7F19"/>
    <w:rsid w:val="003F2A90"/>
    <w:rsid w:val="003F4256"/>
    <w:rsid w:val="003F6A6B"/>
    <w:rsid w:val="003F78C2"/>
    <w:rsid w:val="00402693"/>
    <w:rsid w:val="004027D5"/>
    <w:rsid w:val="0040421F"/>
    <w:rsid w:val="00404312"/>
    <w:rsid w:val="00404F18"/>
    <w:rsid w:val="00405460"/>
    <w:rsid w:val="00406882"/>
    <w:rsid w:val="004108D3"/>
    <w:rsid w:val="0041161C"/>
    <w:rsid w:val="00412069"/>
    <w:rsid w:val="00414332"/>
    <w:rsid w:val="004144F0"/>
    <w:rsid w:val="00415B71"/>
    <w:rsid w:val="00417217"/>
    <w:rsid w:val="004178DD"/>
    <w:rsid w:val="00421D05"/>
    <w:rsid w:val="00423F33"/>
    <w:rsid w:val="00424F26"/>
    <w:rsid w:val="00425FB2"/>
    <w:rsid w:val="00426606"/>
    <w:rsid w:val="004304C3"/>
    <w:rsid w:val="00431632"/>
    <w:rsid w:val="00431BD8"/>
    <w:rsid w:val="00432010"/>
    <w:rsid w:val="00434B14"/>
    <w:rsid w:val="0043694A"/>
    <w:rsid w:val="00441D09"/>
    <w:rsid w:val="00441F45"/>
    <w:rsid w:val="00443E59"/>
    <w:rsid w:val="00444A5C"/>
    <w:rsid w:val="00444B7D"/>
    <w:rsid w:val="00445E69"/>
    <w:rsid w:val="0044717F"/>
    <w:rsid w:val="00450726"/>
    <w:rsid w:val="004510CC"/>
    <w:rsid w:val="0045144F"/>
    <w:rsid w:val="00453546"/>
    <w:rsid w:val="00453F08"/>
    <w:rsid w:val="00454BCF"/>
    <w:rsid w:val="00455AEB"/>
    <w:rsid w:val="00456A25"/>
    <w:rsid w:val="00460B07"/>
    <w:rsid w:val="004673C5"/>
    <w:rsid w:val="00467C83"/>
    <w:rsid w:val="00467E46"/>
    <w:rsid w:val="0047168D"/>
    <w:rsid w:val="00472E4A"/>
    <w:rsid w:val="004747F2"/>
    <w:rsid w:val="00474EFF"/>
    <w:rsid w:val="004757D0"/>
    <w:rsid w:val="00477985"/>
    <w:rsid w:val="00477FD1"/>
    <w:rsid w:val="00481B64"/>
    <w:rsid w:val="0048257C"/>
    <w:rsid w:val="004839B0"/>
    <w:rsid w:val="00486270"/>
    <w:rsid w:val="00491849"/>
    <w:rsid w:val="00492F02"/>
    <w:rsid w:val="004A193A"/>
    <w:rsid w:val="004A1C68"/>
    <w:rsid w:val="004A2854"/>
    <w:rsid w:val="004A4396"/>
    <w:rsid w:val="004A4CAF"/>
    <w:rsid w:val="004A5FD8"/>
    <w:rsid w:val="004B016F"/>
    <w:rsid w:val="004B1834"/>
    <w:rsid w:val="004B29F8"/>
    <w:rsid w:val="004B3001"/>
    <w:rsid w:val="004B3A29"/>
    <w:rsid w:val="004B61DD"/>
    <w:rsid w:val="004B77FA"/>
    <w:rsid w:val="004C13EB"/>
    <w:rsid w:val="004C4A76"/>
    <w:rsid w:val="004C69BC"/>
    <w:rsid w:val="004D1A8D"/>
    <w:rsid w:val="004D542D"/>
    <w:rsid w:val="004D58AC"/>
    <w:rsid w:val="004D7AEB"/>
    <w:rsid w:val="004E232F"/>
    <w:rsid w:val="004E4739"/>
    <w:rsid w:val="004E5412"/>
    <w:rsid w:val="004E645F"/>
    <w:rsid w:val="004E65FA"/>
    <w:rsid w:val="004E6855"/>
    <w:rsid w:val="004F0C91"/>
    <w:rsid w:val="004F1779"/>
    <w:rsid w:val="004F4252"/>
    <w:rsid w:val="004F5C23"/>
    <w:rsid w:val="004F61EA"/>
    <w:rsid w:val="004F718F"/>
    <w:rsid w:val="00502326"/>
    <w:rsid w:val="0050395C"/>
    <w:rsid w:val="005055D5"/>
    <w:rsid w:val="00506281"/>
    <w:rsid w:val="00507231"/>
    <w:rsid w:val="00511B16"/>
    <w:rsid w:val="005144F9"/>
    <w:rsid w:val="0051675D"/>
    <w:rsid w:val="005170DD"/>
    <w:rsid w:val="00521559"/>
    <w:rsid w:val="0052235F"/>
    <w:rsid w:val="00522C04"/>
    <w:rsid w:val="00523CB5"/>
    <w:rsid w:val="00527362"/>
    <w:rsid w:val="00530E98"/>
    <w:rsid w:val="0053155E"/>
    <w:rsid w:val="00531EAB"/>
    <w:rsid w:val="005321B1"/>
    <w:rsid w:val="005324FF"/>
    <w:rsid w:val="0053392B"/>
    <w:rsid w:val="00533DA1"/>
    <w:rsid w:val="00537C8E"/>
    <w:rsid w:val="00546490"/>
    <w:rsid w:val="005512DA"/>
    <w:rsid w:val="0055184B"/>
    <w:rsid w:val="00554824"/>
    <w:rsid w:val="00561CFF"/>
    <w:rsid w:val="00562E9A"/>
    <w:rsid w:val="00565347"/>
    <w:rsid w:val="0056578A"/>
    <w:rsid w:val="0056595B"/>
    <w:rsid w:val="0056737E"/>
    <w:rsid w:val="00567DA3"/>
    <w:rsid w:val="00570A69"/>
    <w:rsid w:val="00571C0D"/>
    <w:rsid w:val="0057242C"/>
    <w:rsid w:val="00572C4C"/>
    <w:rsid w:val="005731C8"/>
    <w:rsid w:val="00575584"/>
    <w:rsid w:val="00575ECA"/>
    <w:rsid w:val="0057605E"/>
    <w:rsid w:val="00576E09"/>
    <w:rsid w:val="00577261"/>
    <w:rsid w:val="00580706"/>
    <w:rsid w:val="00581B3D"/>
    <w:rsid w:val="00581DB2"/>
    <w:rsid w:val="0058484E"/>
    <w:rsid w:val="00585530"/>
    <w:rsid w:val="00585ED0"/>
    <w:rsid w:val="005913EF"/>
    <w:rsid w:val="00594747"/>
    <w:rsid w:val="00594844"/>
    <w:rsid w:val="00595AB0"/>
    <w:rsid w:val="005A143F"/>
    <w:rsid w:val="005A176A"/>
    <w:rsid w:val="005A1BAB"/>
    <w:rsid w:val="005A1BED"/>
    <w:rsid w:val="005A1F8E"/>
    <w:rsid w:val="005A3169"/>
    <w:rsid w:val="005A3429"/>
    <w:rsid w:val="005A348A"/>
    <w:rsid w:val="005A646E"/>
    <w:rsid w:val="005A6F41"/>
    <w:rsid w:val="005A773B"/>
    <w:rsid w:val="005A794D"/>
    <w:rsid w:val="005A7AE7"/>
    <w:rsid w:val="005B085D"/>
    <w:rsid w:val="005B2BF5"/>
    <w:rsid w:val="005B4B68"/>
    <w:rsid w:val="005C2234"/>
    <w:rsid w:val="005C2401"/>
    <w:rsid w:val="005C2A77"/>
    <w:rsid w:val="005D15B8"/>
    <w:rsid w:val="005D195F"/>
    <w:rsid w:val="005D5B8F"/>
    <w:rsid w:val="005D6654"/>
    <w:rsid w:val="005E150A"/>
    <w:rsid w:val="005E625C"/>
    <w:rsid w:val="005E7DD5"/>
    <w:rsid w:val="005F5B8C"/>
    <w:rsid w:val="00600D1E"/>
    <w:rsid w:val="0060152C"/>
    <w:rsid w:val="006023C2"/>
    <w:rsid w:val="006111D5"/>
    <w:rsid w:val="006111F5"/>
    <w:rsid w:val="00611ED8"/>
    <w:rsid w:val="006179F9"/>
    <w:rsid w:val="006209A4"/>
    <w:rsid w:val="0062381E"/>
    <w:rsid w:val="00623E11"/>
    <w:rsid w:val="006337EC"/>
    <w:rsid w:val="006361C7"/>
    <w:rsid w:val="006365A9"/>
    <w:rsid w:val="00640A17"/>
    <w:rsid w:val="006411DE"/>
    <w:rsid w:val="006448C5"/>
    <w:rsid w:val="00645E76"/>
    <w:rsid w:val="00645F5C"/>
    <w:rsid w:val="0064704E"/>
    <w:rsid w:val="006502DB"/>
    <w:rsid w:val="0065143A"/>
    <w:rsid w:val="006555BD"/>
    <w:rsid w:val="00655695"/>
    <w:rsid w:val="00655B66"/>
    <w:rsid w:val="0065606A"/>
    <w:rsid w:val="0066155A"/>
    <w:rsid w:val="00661D9A"/>
    <w:rsid w:val="006626AB"/>
    <w:rsid w:val="006629E8"/>
    <w:rsid w:val="006640D9"/>
    <w:rsid w:val="0066519E"/>
    <w:rsid w:val="006676E2"/>
    <w:rsid w:val="0067016D"/>
    <w:rsid w:val="006715ED"/>
    <w:rsid w:val="00681B93"/>
    <w:rsid w:val="0068218B"/>
    <w:rsid w:val="00682B8C"/>
    <w:rsid w:val="00685151"/>
    <w:rsid w:val="00685EB4"/>
    <w:rsid w:val="006A2F59"/>
    <w:rsid w:val="006A3B67"/>
    <w:rsid w:val="006A4C05"/>
    <w:rsid w:val="006A4C99"/>
    <w:rsid w:val="006B03C7"/>
    <w:rsid w:val="006B0EDA"/>
    <w:rsid w:val="006B5540"/>
    <w:rsid w:val="006B70D6"/>
    <w:rsid w:val="006B727B"/>
    <w:rsid w:val="006C1C9A"/>
    <w:rsid w:val="006C2B84"/>
    <w:rsid w:val="006C359E"/>
    <w:rsid w:val="006C3DFC"/>
    <w:rsid w:val="006C760E"/>
    <w:rsid w:val="006D3BEA"/>
    <w:rsid w:val="006D5D28"/>
    <w:rsid w:val="006D5EA7"/>
    <w:rsid w:val="006D605B"/>
    <w:rsid w:val="006D626C"/>
    <w:rsid w:val="006D69F9"/>
    <w:rsid w:val="006E10D1"/>
    <w:rsid w:val="006E1BA4"/>
    <w:rsid w:val="006E210A"/>
    <w:rsid w:val="006E260B"/>
    <w:rsid w:val="006E4C00"/>
    <w:rsid w:val="006E5A9E"/>
    <w:rsid w:val="006E7FC7"/>
    <w:rsid w:val="006F0AEC"/>
    <w:rsid w:val="006F31AE"/>
    <w:rsid w:val="006F6E63"/>
    <w:rsid w:val="006F759C"/>
    <w:rsid w:val="00702BE5"/>
    <w:rsid w:val="0070334F"/>
    <w:rsid w:val="00704013"/>
    <w:rsid w:val="00705F96"/>
    <w:rsid w:val="007111B9"/>
    <w:rsid w:val="00711270"/>
    <w:rsid w:val="00713576"/>
    <w:rsid w:val="00714F15"/>
    <w:rsid w:val="007155B8"/>
    <w:rsid w:val="007214EC"/>
    <w:rsid w:val="00722896"/>
    <w:rsid w:val="00723B42"/>
    <w:rsid w:val="007306C4"/>
    <w:rsid w:val="007317E0"/>
    <w:rsid w:val="00736CF5"/>
    <w:rsid w:val="007373E7"/>
    <w:rsid w:val="00740031"/>
    <w:rsid w:val="007424F5"/>
    <w:rsid w:val="0074442C"/>
    <w:rsid w:val="00744828"/>
    <w:rsid w:val="0074584F"/>
    <w:rsid w:val="007458B0"/>
    <w:rsid w:val="007474E5"/>
    <w:rsid w:val="00747ABD"/>
    <w:rsid w:val="00750F96"/>
    <w:rsid w:val="007511D3"/>
    <w:rsid w:val="00761BA1"/>
    <w:rsid w:val="00762365"/>
    <w:rsid w:val="00764683"/>
    <w:rsid w:val="00765CD1"/>
    <w:rsid w:val="007666CB"/>
    <w:rsid w:val="00767DF6"/>
    <w:rsid w:val="00774657"/>
    <w:rsid w:val="00774FAC"/>
    <w:rsid w:val="0077611E"/>
    <w:rsid w:val="00777A2F"/>
    <w:rsid w:val="00777C52"/>
    <w:rsid w:val="00781687"/>
    <w:rsid w:val="00782B87"/>
    <w:rsid w:val="00782BB2"/>
    <w:rsid w:val="00782F60"/>
    <w:rsid w:val="0078414B"/>
    <w:rsid w:val="00785251"/>
    <w:rsid w:val="00787B6E"/>
    <w:rsid w:val="00793FF6"/>
    <w:rsid w:val="0079491B"/>
    <w:rsid w:val="007A2EB0"/>
    <w:rsid w:val="007A3489"/>
    <w:rsid w:val="007A4A37"/>
    <w:rsid w:val="007A7054"/>
    <w:rsid w:val="007A75E1"/>
    <w:rsid w:val="007B17A2"/>
    <w:rsid w:val="007B2465"/>
    <w:rsid w:val="007B3F88"/>
    <w:rsid w:val="007B41F8"/>
    <w:rsid w:val="007B448B"/>
    <w:rsid w:val="007B4F54"/>
    <w:rsid w:val="007B5701"/>
    <w:rsid w:val="007B5954"/>
    <w:rsid w:val="007B62B5"/>
    <w:rsid w:val="007B6402"/>
    <w:rsid w:val="007B727B"/>
    <w:rsid w:val="007C025D"/>
    <w:rsid w:val="007C18BE"/>
    <w:rsid w:val="007C2921"/>
    <w:rsid w:val="007C30DF"/>
    <w:rsid w:val="007C38AB"/>
    <w:rsid w:val="007C5AB3"/>
    <w:rsid w:val="007D34E1"/>
    <w:rsid w:val="007D3DE9"/>
    <w:rsid w:val="007E0AD4"/>
    <w:rsid w:val="007E1204"/>
    <w:rsid w:val="007E78D0"/>
    <w:rsid w:val="007F0553"/>
    <w:rsid w:val="007F12DD"/>
    <w:rsid w:val="007F43B0"/>
    <w:rsid w:val="007F4ED0"/>
    <w:rsid w:val="007F5E1D"/>
    <w:rsid w:val="008003D4"/>
    <w:rsid w:val="008004FD"/>
    <w:rsid w:val="008017BB"/>
    <w:rsid w:val="00801C9C"/>
    <w:rsid w:val="008066DD"/>
    <w:rsid w:val="0080742F"/>
    <w:rsid w:val="00813069"/>
    <w:rsid w:val="008152E5"/>
    <w:rsid w:val="00820F89"/>
    <w:rsid w:val="008242EF"/>
    <w:rsid w:val="00830322"/>
    <w:rsid w:val="00830A17"/>
    <w:rsid w:val="00834650"/>
    <w:rsid w:val="008351F7"/>
    <w:rsid w:val="00837627"/>
    <w:rsid w:val="00837AA5"/>
    <w:rsid w:val="008418AD"/>
    <w:rsid w:val="00842DBB"/>
    <w:rsid w:val="00847A5D"/>
    <w:rsid w:val="0085091A"/>
    <w:rsid w:val="0085141D"/>
    <w:rsid w:val="00853805"/>
    <w:rsid w:val="0085411B"/>
    <w:rsid w:val="00854169"/>
    <w:rsid w:val="008547EA"/>
    <w:rsid w:val="00855097"/>
    <w:rsid w:val="0085544F"/>
    <w:rsid w:val="00860124"/>
    <w:rsid w:val="00860161"/>
    <w:rsid w:val="008632F7"/>
    <w:rsid w:val="008651F8"/>
    <w:rsid w:val="00870508"/>
    <w:rsid w:val="008724FB"/>
    <w:rsid w:val="00874AAA"/>
    <w:rsid w:val="008753D1"/>
    <w:rsid w:val="00880543"/>
    <w:rsid w:val="00882B9B"/>
    <w:rsid w:val="008854C8"/>
    <w:rsid w:val="008864C3"/>
    <w:rsid w:val="0088718D"/>
    <w:rsid w:val="00890918"/>
    <w:rsid w:val="00891E7D"/>
    <w:rsid w:val="008924D4"/>
    <w:rsid w:val="008A0100"/>
    <w:rsid w:val="008A03B3"/>
    <w:rsid w:val="008A1031"/>
    <w:rsid w:val="008A2229"/>
    <w:rsid w:val="008B0485"/>
    <w:rsid w:val="008B0795"/>
    <w:rsid w:val="008B7EEC"/>
    <w:rsid w:val="008C6EDB"/>
    <w:rsid w:val="008D0718"/>
    <w:rsid w:val="008D0FE5"/>
    <w:rsid w:val="008D1807"/>
    <w:rsid w:val="008D356D"/>
    <w:rsid w:val="008D7A43"/>
    <w:rsid w:val="008E2D98"/>
    <w:rsid w:val="008E6129"/>
    <w:rsid w:val="008F212C"/>
    <w:rsid w:val="008F2E4E"/>
    <w:rsid w:val="008F2FA8"/>
    <w:rsid w:val="009005C5"/>
    <w:rsid w:val="00900621"/>
    <w:rsid w:val="00901A4D"/>
    <w:rsid w:val="00902C79"/>
    <w:rsid w:val="009038B4"/>
    <w:rsid w:val="00903A97"/>
    <w:rsid w:val="00912A22"/>
    <w:rsid w:val="00912E02"/>
    <w:rsid w:val="00913B27"/>
    <w:rsid w:val="0091765C"/>
    <w:rsid w:val="00920846"/>
    <w:rsid w:val="00920A21"/>
    <w:rsid w:val="00920EC4"/>
    <w:rsid w:val="009210B5"/>
    <w:rsid w:val="009220A6"/>
    <w:rsid w:val="00922D8B"/>
    <w:rsid w:val="00925D96"/>
    <w:rsid w:val="009266A0"/>
    <w:rsid w:val="00931147"/>
    <w:rsid w:val="00932EC6"/>
    <w:rsid w:val="00934725"/>
    <w:rsid w:val="00935670"/>
    <w:rsid w:val="00943B46"/>
    <w:rsid w:val="00945D56"/>
    <w:rsid w:val="009552F9"/>
    <w:rsid w:val="00956F30"/>
    <w:rsid w:val="00957BD7"/>
    <w:rsid w:val="00964112"/>
    <w:rsid w:val="009660DC"/>
    <w:rsid w:val="00967711"/>
    <w:rsid w:val="00967D5F"/>
    <w:rsid w:val="00967E94"/>
    <w:rsid w:val="00970871"/>
    <w:rsid w:val="00974049"/>
    <w:rsid w:val="0098011A"/>
    <w:rsid w:val="00980DA9"/>
    <w:rsid w:val="00985126"/>
    <w:rsid w:val="00986173"/>
    <w:rsid w:val="00986185"/>
    <w:rsid w:val="00986948"/>
    <w:rsid w:val="00987020"/>
    <w:rsid w:val="009915A0"/>
    <w:rsid w:val="0099577B"/>
    <w:rsid w:val="00996F93"/>
    <w:rsid w:val="009979E3"/>
    <w:rsid w:val="009A5732"/>
    <w:rsid w:val="009A7E67"/>
    <w:rsid w:val="009A7FF6"/>
    <w:rsid w:val="009B261F"/>
    <w:rsid w:val="009B281E"/>
    <w:rsid w:val="009B557D"/>
    <w:rsid w:val="009B5C39"/>
    <w:rsid w:val="009C0DC0"/>
    <w:rsid w:val="009C34F5"/>
    <w:rsid w:val="009C464A"/>
    <w:rsid w:val="009C4711"/>
    <w:rsid w:val="009C625F"/>
    <w:rsid w:val="009C6886"/>
    <w:rsid w:val="009C7029"/>
    <w:rsid w:val="009D31D5"/>
    <w:rsid w:val="009D4CCF"/>
    <w:rsid w:val="009D5452"/>
    <w:rsid w:val="009E1370"/>
    <w:rsid w:val="009E3C30"/>
    <w:rsid w:val="009E3FE8"/>
    <w:rsid w:val="009E5005"/>
    <w:rsid w:val="009F2F01"/>
    <w:rsid w:val="009F4CD6"/>
    <w:rsid w:val="009F6258"/>
    <w:rsid w:val="009F6A07"/>
    <w:rsid w:val="009F6F70"/>
    <w:rsid w:val="00A02DE7"/>
    <w:rsid w:val="00A02F31"/>
    <w:rsid w:val="00A0381A"/>
    <w:rsid w:val="00A03941"/>
    <w:rsid w:val="00A10362"/>
    <w:rsid w:val="00A11404"/>
    <w:rsid w:val="00A12D19"/>
    <w:rsid w:val="00A12E16"/>
    <w:rsid w:val="00A13BDB"/>
    <w:rsid w:val="00A1411C"/>
    <w:rsid w:val="00A14AB8"/>
    <w:rsid w:val="00A16408"/>
    <w:rsid w:val="00A21510"/>
    <w:rsid w:val="00A26A01"/>
    <w:rsid w:val="00A27C18"/>
    <w:rsid w:val="00A31173"/>
    <w:rsid w:val="00A31C7E"/>
    <w:rsid w:val="00A3591C"/>
    <w:rsid w:val="00A36D67"/>
    <w:rsid w:val="00A37E53"/>
    <w:rsid w:val="00A434C2"/>
    <w:rsid w:val="00A44336"/>
    <w:rsid w:val="00A44D55"/>
    <w:rsid w:val="00A4629A"/>
    <w:rsid w:val="00A46E57"/>
    <w:rsid w:val="00A47AD3"/>
    <w:rsid w:val="00A50A1E"/>
    <w:rsid w:val="00A51E22"/>
    <w:rsid w:val="00A543D6"/>
    <w:rsid w:val="00A55E72"/>
    <w:rsid w:val="00A61330"/>
    <w:rsid w:val="00A61523"/>
    <w:rsid w:val="00A65A72"/>
    <w:rsid w:val="00A72413"/>
    <w:rsid w:val="00A72D58"/>
    <w:rsid w:val="00A72D5E"/>
    <w:rsid w:val="00A7560D"/>
    <w:rsid w:val="00A805EF"/>
    <w:rsid w:val="00A86425"/>
    <w:rsid w:val="00A8722E"/>
    <w:rsid w:val="00A878D6"/>
    <w:rsid w:val="00A91064"/>
    <w:rsid w:val="00A94EA3"/>
    <w:rsid w:val="00AA2F41"/>
    <w:rsid w:val="00AA733C"/>
    <w:rsid w:val="00AA7D4C"/>
    <w:rsid w:val="00AB2219"/>
    <w:rsid w:val="00AB404D"/>
    <w:rsid w:val="00AB7501"/>
    <w:rsid w:val="00AC20F1"/>
    <w:rsid w:val="00AC5366"/>
    <w:rsid w:val="00AC6079"/>
    <w:rsid w:val="00AD394D"/>
    <w:rsid w:val="00AD3C58"/>
    <w:rsid w:val="00AD6462"/>
    <w:rsid w:val="00AD733D"/>
    <w:rsid w:val="00AE1A3C"/>
    <w:rsid w:val="00AE583E"/>
    <w:rsid w:val="00AE5D15"/>
    <w:rsid w:val="00AE631D"/>
    <w:rsid w:val="00AE66F3"/>
    <w:rsid w:val="00AF04D0"/>
    <w:rsid w:val="00AF16EB"/>
    <w:rsid w:val="00AF1D18"/>
    <w:rsid w:val="00AF39A2"/>
    <w:rsid w:val="00AF78D2"/>
    <w:rsid w:val="00B0236E"/>
    <w:rsid w:val="00B06D50"/>
    <w:rsid w:val="00B10197"/>
    <w:rsid w:val="00B108CE"/>
    <w:rsid w:val="00B13182"/>
    <w:rsid w:val="00B13812"/>
    <w:rsid w:val="00B15D6A"/>
    <w:rsid w:val="00B1616E"/>
    <w:rsid w:val="00B1761A"/>
    <w:rsid w:val="00B23FEC"/>
    <w:rsid w:val="00B2638D"/>
    <w:rsid w:val="00B270D2"/>
    <w:rsid w:val="00B275E7"/>
    <w:rsid w:val="00B30695"/>
    <w:rsid w:val="00B33D0B"/>
    <w:rsid w:val="00B33FD3"/>
    <w:rsid w:val="00B3770E"/>
    <w:rsid w:val="00B41BB8"/>
    <w:rsid w:val="00B42C9D"/>
    <w:rsid w:val="00B43379"/>
    <w:rsid w:val="00B451D4"/>
    <w:rsid w:val="00B467CF"/>
    <w:rsid w:val="00B50E21"/>
    <w:rsid w:val="00B51C18"/>
    <w:rsid w:val="00B522EE"/>
    <w:rsid w:val="00B54E5C"/>
    <w:rsid w:val="00B6142A"/>
    <w:rsid w:val="00B618D9"/>
    <w:rsid w:val="00B63C15"/>
    <w:rsid w:val="00B6539B"/>
    <w:rsid w:val="00B676B3"/>
    <w:rsid w:val="00B70B59"/>
    <w:rsid w:val="00B71621"/>
    <w:rsid w:val="00B72A66"/>
    <w:rsid w:val="00B73240"/>
    <w:rsid w:val="00B7489C"/>
    <w:rsid w:val="00B7596B"/>
    <w:rsid w:val="00B76091"/>
    <w:rsid w:val="00B80B2B"/>
    <w:rsid w:val="00B81127"/>
    <w:rsid w:val="00B81813"/>
    <w:rsid w:val="00B8286D"/>
    <w:rsid w:val="00B83065"/>
    <w:rsid w:val="00B83F9E"/>
    <w:rsid w:val="00B87789"/>
    <w:rsid w:val="00B91199"/>
    <w:rsid w:val="00B928FA"/>
    <w:rsid w:val="00B95957"/>
    <w:rsid w:val="00B970E5"/>
    <w:rsid w:val="00BA5C3F"/>
    <w:rsid w:val="00BB1C47"/>
    <w:rsid w:val="00BB2230"/>
    <w:rsid w:val="00BB3270"/>
    <w:rsid w:val="00BB3BC8"/>
    <w:rsid w:val="00BB42C8"/>
    <w:rsid w:val="00BB5003"/>
    <w:rsid w:val="00BB50E9"/>
    <w:rsid w:val="00BC32F4"/>
    <w:rsid w:val="00BD1B24"/>
    <w:rsid w:val="00BD3F34"/>
    <w:rsid w:val="00BD4420"/>
    <w:rsid w:val="00BD4FAD"/>
    <w:rsid w:val="00BD60FD"/>
    <w:rsid w:val="00BD74F7"/>
    <w:rsid w:val="00BE0C20"/>
    <w:rsid w:val="00BE3015"/>
    <w:rsid w:val="00BE41C8"/>
    <w:rsid w:val="00BE4613"/>
    <w:rsid w:val="00BE540B"/>
    <w:rsid w:val="00BF15A0"/>
    <w:rsid w:val="00BF1667"/>
    <w:rsid w:val="00BF6899"/>
    <w:rsid w:val="00C005B1"/>
    <w:rsid w:val="00C00A9D"/>
    <w:rsid w:val="00C0103C"/>
    <w:rsid w:val="00C06701"/>
    <w:rsid w:val="00C07564"/>
    <w:rsid w:val="00C1127B"/>
    <w:rsid w:val="00C14EBC"/>
    <w:rsid w:val="00C14EDC"/>
    <w:rsid w:val="00C15016"/>
    <w:rsid w:val="00C15F36"/>
    <w:rsid w:val="00C201F8"/>
    <w:rsid w:val="00C245FF"/>
    <w:rsid w:val="00C24833"/>
    <w:rsid w:val="00C26854"/>
    <w:rsid w:val="00C2705A"/>
    <w:rsid w:val="00C27469"/>
    <w:rsid w:val="00C302F1"/>
    <w:rsid w:val="00C30826"/>
    <w:rsid w:val="00C3342B"/>
    <w:rsid w:val="00C339A3"/>
    <w:rsid w:val="00C350DC"/>
    <w:rsid w:val="00C36436"/>
    <w:rsid w:val="00C43705"/>
    <w:rsid w:val="00C460BB"/>
    <w:rsid w:val="00C46D6E"/>
    <w:rsid w:val="00C503BF"/>
    <w:rsid w:val="00C50710"/>
    <w:rsid w:val="00C56E56"/>
    <w:rsid w:val="00C60427"/>
    <w:rsid w:val="00C60E24"/>
    <w:rsid w:val="00C62AA1"/>
    <w:rsid w:val="00C63ADB"/>
    <w:rsid w:val="00C640FE"/>
    <w:rsid w:val="00C7029A"/>
    <w:rsid w:val="00C71E57"/>
    <w:rsid w:val="00C71FB8"/>
    <w:rsid w:val="00C73088"/>
    <w:rsid w:val="00C73713"/>
    <w:rsid w:val="00C75818"/>
    <w:rsid w:val="00C76059"/>
    <w:rsid w:val="00C766A1"/>
    <w:rsid w:val="00C77A77"/>
    <w:rsid w:val="00C82315"/>
    <w:rsid w:val="00C82FF3"/>
    <w:rsid w:val="00C83ED9"/>
    <w:rsid w:val="00C85052"/>
    <w:rsid w:val="00C90953"/>
    <w:rsid w:val="00C92C87"/>
    <w:rsid w:val="00C955ED"/>
    <w:rsid w:val="00C964B3"/>
    <w:rsid w:val="00C97168"/>
    <w:rsid w:val="00C97499"/>
    <w:rsid w:val="00C97C4B"/>
    <w:rsid w:val="00CA18CA"/>
    <w:rsid w:val="00CA4A76"/>
    <w:rsid w:val="00CA56B7"/>
    <w:rsid w:val="00CB204A"/>
    <w:rsid w:val="00CB364E"/>
    <w:rsid w:val="00CB7D14"/>
    <w:rsid w:val="00CC1689"/>
    <w:rsid w:val="00CC351B"/>
    <w:rsid w:val="00CC6BA2"/>
    <w:rsid w:val="00CD0AAB"/>
    <w:rsid w:val="00CD2578"/>
    <w:rsid w:val="00CE026A"/>
    <w:rsid w:val="00CE09CC"/>
    <w:rsid w:val="00CE0E52"/>
    <w:rsid w:val="00CE456B"/>
    <w:rsid w:val="00CE66AC"/>
    <w:rsid w:val="00CF06EC"/>
    <w:rsid w:val="00CF4C21"/>
    <w:rsid w:val="00CF788D"/>
    <w:rsid w:val="00D02DE1"/>
    <w:rsid w:val="00D052B2"/>
    <w:rsid w:val="00D110CA"/>
    <w:rsid w:val="00D14ABA"/>
    <w:rsid w:val="00D14E8D"/>
    <w:rsid w:val="00D16710"/>
    <w:rsid w:val="00D1755C"/>
    <w:rsid w:val="00D17F8E"/>
    <w:rsid w:val="00D23820"/>
    <w:rsid w:val="00D24D3C"/>
    <w:rsid w:val="00D30491"/>
    <w:rsid w:val="00D3078A"/>
    <w:rsid w:val="00D31E1D"/>
    <w:rsid w:val="00D4366D"/>
    <w:rsid w:val="00D436ED"/>
    <w:rsid w:val="00D43D1A"/>
    <w:rsid w:val="00D45554"/>
    <w:rsid w:val="00D47B7F"/>
    <w:rsid w:val="00D55316"/>
    <w:rsid w:val="00D614DC"/>
    <w:rsid w:val="00D65100"/>
    <w:rsid w:val="00D66177"/>
    <w:rsid w:val="00D7076E"/>
    <w:rsid w:val="00D740CB"/>
    <w:rsid w:val="00D75B90"/>
    <w:rsid w:val="00D765D2"/>
    <w:rsid w:val="00D80D25"/>
    <w:rsid w:val="00D83A7F"/>
    <w:rsid w:val="00D86F81"/>
    <w:rsid w:val="00D873AD"/>
    <w:rsid w:val="00D9362A"/>
    <w:rsid w:val="00D9463F"/>
    <w:rsid w:val="00D969AF"/>
    <w:rsid w:val="00DA276C"/>
    <w:rsid w:val="00DA39B6"/>
    <w:rsid w:val="00DA3CEB"/>
    <w:rsid w:val="00DA438D"/>
    <w:rsid w:val="00DB085C"/>
    <w:rsid w:val="00DB1F8B"/>
    <w:rsid w:val="00DB279B"/>
    <w:rsid w:val="00DB43BF"/>
    <w:rsid w:val="00DB5151"/>
    <w:rsid w:val="00DB5625"/>
    <w:rsid w:val="00DB71D5"/>
    <w:rsid w:val="00DC026F"/>
    <w:rsid w:val="00DC0AB5"/>
    <w:rsid w:val="00DC0CE2"/>
    <w:rsid w:val="00DC1512"/>
    <w:rsid w:val="00DC309D"/>
    <w:rsid w:val="00DC399A"/>
    <w:rsid w:val="00DC3AFA"/>
    <w:rsid w:val="00DC4D48"/>
    <w:rsid w:val="00DC4D4C"/>
    <w:rsid w:val="00DD1750"/>
    <w:rsid w:val="00DD20E1"/>
    <w:rsid w:val="00DD21A6"/>
    <w:rsid w:val="00DD28A5"/>
    <w:rsid w:val="00DD5708"/>
    <w:rsid w:val="00DD7D99"/>
    <w:rsid w:val="00DE05DE"/>
    <w:rsid w:val="00DE1D4C"/>
    <w:rsid w:val="00DE4E11"/>
    <w:rsid w:val="00DE6B7F"/>
    <w:rsid w:val="00DE7BEB"/>
    <w:rsid w:val="00DE7E11"/>
    <w:rsid w:val="00DF0925"/>
    <w:rsid w:val="00DF11B1"/>
    <w:rsid w:val="00DF32BD"/>
    <w:rsid w:val="00DF3A1D"/>
    <w:rsid w:val="00DF5157"/>
    <w:rsid w:val="00DF6544"/>
    <w:rsid w:val="00DF6E72"/>
    <w:rsid w:val="00DF7353"/>
    <w:rsid w:val="00E03695"/>
    <w:rsid w:val="00E12CE9"/>
    <w:rsid w:val="00E20440"/>
    <w:rsid w:val="00E22B34"/>
    <w:rsid w:val="00E23124"/>
    <w:rsid w:val="00E25717"/>
    <w:rsid w:val="00E26F3D"/>
    <w:rsid w:val="00E31225"/>
    <w:rsid w:val="00E35D7C"/>
    <w:rsid w:val="00E35FCB"/>
    <w:rsid w:val="00E42E44"/>
    <w:rsid w:val="00E441C6"/>
    <w:rsid w:val="00E44F7D"/>
    <w:rsid w:val="00E45353"/>
    <w:rsid w:val="00E51252"/>
    <w:rsid w:val="00E51753"/>
    <w:rsid w:val="00E54DD0"/>
    <w:rsid w:val="00E5541C"/>
    <w:rsid w:val="00E60594"/>
    <w:rsid w:val="00E6236B"/>
    <w:rsid w:val="00E65D74"/>
    <w:rsid w:val="00E71721"/>
    <w:rsid w:val="00E71A0D"/>
    <w:rsid w:val="00E71F5F"/>
    <w:rsid w:val="00E76728"/>
    <w:rsid w:val="00E76BAA"/>
    <w:rsid w:val="00E776B9"/>
    <w:rsid w:val="00E7780E"/>
    <w:rsid w:val="00E8625B"/>
    <w:rsid w:val="00E871EF"/>
    <w:rsid w:val="00E876A3"/>
    <w:rsid w:val="00E87D9B"/>
    <w:rsid w:val="00E909F1"/>
    <w:rsid w:val="00E90BE2"/>
    <w:rsid w:val="00E9142E"/>
    <w:rsid w:val="00E91EF2"/>
    <w:rsid w:val="00E9405C"/>
    <w:rsid w:val="00E950E9"/>
    <w:rsid w:val="00E968A0"/>
    <w:rsid w:val="00E96E69"/>
    <w:rsid w:val="00EA393C"/>
    <w:rsid w:val="00EA4676"/>
    <w:rsid w:val="00EA484D"/>
    <w:rsid w:val="00EA6A43"/>
    <w:rsid w:val="00EB021B"/>
    <w:rsid w:val="00EB12FB"/>
    <w:rsid w:val="00EB242A"/>
    <w:rsid w:val="00EB4C0D"/>
    <w:rsid w:val="00EB6476"/>
    <w:rsid w:val="00EC0A4F"/>
    <w:rsid w:val="00EC1259"/>
    <w:rsid w:val="00EC13B4"/>
    <w:rsid w:val="00EC47D9"/>
    <w:rsid w:val="00EC4ADA"/>
    <w:rsid w:val="00EC54B1"/>
    <w:rsid w:val="00EC5BFC"/>
    <w:rsid w:val="00ED1E97"/>
    <w:rsid w:val="00ED26C7"/>
    <w:rsid w:val="00ED351D"/>
    <w:rsid w:val="00ED473A"/>
    <w:rsid w:val="00ED4E80"/>
    <w:rsid w:val="00ED6915"/>
    <w:rsid w:val="00EE03F1"/>
    <w:rsid w:val="00EE072D"/>
    <w:rsid w:val="00EE2BA0"/>
    <w:rsid w:val="00EE3E6D"/>
    <w:rsid w:val="00EE60CC"/>
    <w:rsid w:val="00EF0CC4"/>
    <w:rsid w:val="00EF2CC6"/>
    <w:rsid w:val="00EF4C1D"/>
    <w:rsid w:val="00EF5680"/>
    <w:rsid w:val="00EF7CFB"/>
    <w:rsid w:val="00F01255"/>
    <w:rsid w:val="00F0590B"/>
    <w:rsid w:val="00F07385"/>
    <w:rsid w:val="00F11402"/>
    <w:rsid w:val="00F127FE"/>
    <w:rsid w:val="00F14115"/>
    <w:rsid w:val="00F15301"/>
    <w:rsid w:val="00F164B7"/>
    <w:rsid w:val="00F167B4"/>
    <w:rsid w:val="00F24882"/>
    <w:rsid w:val="00F27A19"/>
    <w:rsid w:val="00F27D22"/>
    <w:rsid w:val="00F3008E"/>
    <w:rsid w:val="00F306A0"/>
    <w:rsid w:val="00F32F7C"/>
    <w:rsid w:val="00F3725C"/>
    <w:rsid w:val="00F426D9"/>
    <w:rsid w:val="00F444BE"/>
    <w:rsid w:val="00F44A5C"/>
    <w:rsid w:val="00F475DC"/>
    <w:rsid w:val="00F47AD4"/>
    <w:rsid w:val="00F5023D"/>
    <w:rsid w:val="00F54431"/>
    <w:rsid w:val="00F60552"/>
    <w:rsid w:val="00F61870"/>
    <w:rsid w:val="00F650A1"/>
    <w:rsid w:val="00F6543E"/>
    <w:rsid w:val="00F752CB"/>
    <w:rsid w:val="00F767F6"/>
    <w:rsid w:val="00F76CB2"/>
    <w:rsid w:val="00F77917"/>
    <w:rsid w:val="00F8037D"/>
    <w:rsid w:val="00F80C74"/>
    <w:rsid w:val="00F8207C"/>
    <w:rsid w:val="00F83A13"/>
    <w:rsid w:val="00F87E70"/>
    <w:rsid w:val="00F90B17"/>
    <w:rsid w:val="00F91C8F"/>
    <w:rsid w:val="00F92AC1"/>
    <w:rsid w:val="00F97EF7"/>
    <w:rsid w:val="00FA25BF"/>
    <w:rsid w:val="00FB1149"/>
    <w:rsid w:val="00FB2600"/>
    <w:rsid w:val="00FB2DAA"/>
    <w:rsid w:val="00FB48D2"/>
    <w:rsid w:val="00FB52BD"/>
    <w:rsid w:val="00FB7742"/>
    <w:rsid w:val="00FC2DB1"/>
    <w:rsid w:val="00FC3919"/>
    <w:rsid w:val="00FC47EF"/>
    <w:rsid w:val="00FC5C38"/>
    <w:rsid w:val="00FC6F42"/>
    <w:rsid w:val="00FC7953"/>
    <w:rsid w:val="00FD223A"/>
    <w:rsid w:val="00FD4D63"/>
    <w:rsid w:val="00FD5708"/>
    <w:rsid w:val="00FD6F3B"/>
    <w:rsid w:val="00FE00BD"/>
    <w:rsid w:val="00FE57F9"/>
    <w:rsid w:val="00FE60D4"/>
    <w:rsid w:val="00FE695F"/>
    <w:rsid w:val="00FE7CD5"/>
    <w:rsid w:val="00FF1D96"/>
    <w:rsid w:val="00FF2543"/>
    <w:rsid w:val="00FF2E2B"/>
    <w:rsid w:val="00FF3072"/>
    <w:rsid w:val="05834E2E"/>
    <w:rsid w:val="0AF03931"/>
    <w:rsid w:val="1245780E"/>
    <w:rsid w:val="17EB9641"/>
    <w:rsid w:val="198766A2"/>
    <w:rsid w:val="253DB2A3"/>
    <w:rsid w:val="280E73C8"/>
    <w:rsid w:val="3014B976"/>
    <w:rsid w:val="31000636"/>
    <w:rsid w:val="5B4058A6"/>
    <w:rsid w:val="5CF55A5D"/>
    <w:rsid w:val="7956BE57"/>
    <w:rsid w:val="7BB82539"/>
    <w:rsid w:val="7BEDE6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B76B"/>
  <w15:docId w15:val="{1536FC6E-9875-4D6E-9950-F4219F3C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334EA3"/>
    <w:pPr>
      <w:spacing w:before="0" w:after="0"/>
      <w:ind w:firstLine="0"/>
    </w:pPr>
    <w:rPr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334EA3"/>
    <w:rPr>
      <w:lang w:val="de-CH"/>
    </w:rPr>
  </w:style>
  <w:style w:type="paragraph" w:customStyle="1" w:styleId="LegendeTabelle">
    <w:name w:val="Legende Tabelle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enabsatz">
    <w:name w:val="List Paragraph"/>
    <w:basedOn w:val="Standard"/>
    <w:rsid w:val="00B76091"/>
    <w:pPr>
      <w:ind w:left="720"/>
      <w:contextualSpacing/>
    </w:pPr>
  </w:style>
  <w:style w:type="paragraph" w:styleId="berarbeitung">
    <w:name w:val="Revision"/>
    <w:hidden/>
    <w:semiHidden/>
    <w:rsid w:val="00F01255"/>
    <w:pPr>
      <w:spacing w:after="0"/>
    </w:pPr>
  </w:style>
  <w:style w:type="paragraph" w:customStyle="1" w:styleId="Hervorhebung2">
    <w:name w:val="Hervorhebung2"/>
    <w:basedOn w:val="Standard"/>
    <w:qFormat/>
    <w:rsid w:val="00722896"/>
    <w:rPr>
      <w:bCs/>
      <w:i/>
      <w:color w:val="D31932" w:themeColor="accent1"/>
      <w:spacing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https://doi.org/10.4000/formationemploi.8002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sozialversicherungen.admin.ch/fr/d/18459/download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Nadia.Lamamra@hefp.swis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arbara.Duc@hefp.swiss" TargetMode="External"/><Relationship Id="rId20" Type="http://schemas.openxmlformats.org/officeDocument/2006/relationships/hyperlink" Target="https://doi.org/10.48350/16570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r2023-02-03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doi.org/10.24452/sjer.44.3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doi.org/10.1108/ET-11-2019-02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fs.admin.ch/bfs/fr/home/statistiques/education-science/transitions-parcours-domaine-formatio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\Desktop\Revue%20CSPS\Layout_v8.2_FR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681858B7D484080A6C8E6830BC98C" ma:contentTypeVersion="16" ma:contentTypeDescription="Crée un document." ma:contentTypeScope="" ma:versionID="5fd57058a05ee96b2a8a1e91bcf19aa4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6645585f8ba1b56d8a6f4eb40b5511f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2E7D4-5CB2-458E-A34D-B02E584E3A33}"/>
</file>

<file path=customXml/itemProps3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Layout_v8.2_FR</Template>
  <TotalTime>0</TotalTime>
  <Pages>6</Pages>
  <Words>3167</Words>
  <Characters>17420</Characters>
  <Application>Microsoft Office Word</Application>
  <DocSecurity>0</DocSecurity>
  <Lines>145</Lines>
  <Paragraphs>41</Paragraphs>
  <ScaleCrop>false</ScaleCrop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Enjeux et inégalités du système de formation professionnelle suisse dans le contexte de la transition école-travail</dc:title>
  <dc:subject/>
  <dc:creator>Barbara Duc;Nadia Lamamra</dc:creator>
  <cp:keywords>attestation fédérale professionnelle (AFP), certificat fédéral de capacité (CFC), Formation Pratique suisse (FPra), inégalités, résiliation de contrat d’apprentissage, système de formation, transition école-travail, eidgenössisches Berufsattest (EBA), eidgenössisches Fähigkeitszeugnis (EFZ), Praktische Ausbildung Schweiz (PrA), Ungleichheit, Auflösung des Lehrvertrags, Bildungssystem, Übergang Schule–Arbeit</cp:keywords>
  <cp:lastModifiedBy>Siffert, Elodie</cp:lastModifiedBy>
  <cp:revision>156</cp:revision>
  <cp:lastPrinted>2023-06-01T13:53:00Z</cp:lastPrinted>
  <dcterms:created xsi:type="dcterms:W3CDTF">2023-03-30T06:17:00Z</dcterms:created>
  <dcterms:modified xsi:type="dcterms:W3CDTF">2023-06-01T13:55:00Z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