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3973D" w14:textId="538464A9" w:rsidR="00E33CE2" w:rsidRPr="00B4721A" w:rsidRDefault="00E33CE2" w:rsidP="00C00281">
      <w:pPr>
        <w:pStyle w:val="Titre"/>
        <w:rPr>
          <w:rFonts w:eastAsiaTheme="minorEastAsia"/>
          <w:lang w:val="fr-CH"/>
        </w:rPr>
      </w:pPr>
      <w:r w:rsidRPr="00B4721A">
        <w:rPr>
          <w:rFonts w:eastAsiaTheme="minorEastAsia"/>
          <w:lang w:val="fr-CH"/>
        </w:rPr>
        <w:t>Ressources numériques d</w:t>
      </w:r>
      <w:r w:rsidR="00FC62F4">
        <w:rPr>
          <w:rFonts w:eastAsiaTheme="minorEastAsia"/>
          <w:lang w:val="fr-CH"/>
        </w:rPr>
        <w:t>’</w:t>
      </w:r>
      <w:r w:rsidRPr="00B4721A">
        <w:rPr>
          <w:rFonts w:eastAsiaTheme="minorEastAsia"/>
          <w:lang w:val="fr-CH"/>
        </w:rPr>
        <w:t>enseignement et d</w:t>
      </w:r>
      <w:r w:rsidR="00FC62F4">
        <w:rPr>
          <w:rFonts w:eastAsiaTheme="minorEastAsia"/>
          <w:lang w:val="fr-CH"/>
        </w:rPr>
        <w:t>’</w:t>
      </w:r>
      <w:r w:rsidRPr="00B4721A">
        <w:rPr>
          <w:rFonts w:eastAsiaTheme="minorEastAsia"/>
          <w:lang w:val="fr-CH"/>
        </w:rPr>
        <w:t xml:space="preserve">apprentissage en </w:t>
      </w:r>
      <w:r w:rsidR="00374015" w:rsidRPr="00B4721A">
        <w:rPr>
          <w:rFonts w:eastAsiaTheme="minorEastAsia"/>
          <w:lang w:val="fr-CH"/>
        </w:rPr>
        <w:br/>
      </w:r>
      <w:r w:rsidRPr="00B4721A">
        <w:rPr>
          <w:rFonts w:eastAsiaTheme="minorEastAsia"/>
          <w:lang w:val="fr-CH"/>
        </w:rPr>
        <w:t xml:space="preserve">conception universelle </w:t>
      </w:r>
    </w:p>
    <w:p w14:paraId="4B750702" w14:textId="0D955DD0" w:rsidR="00660A3C" w:rsidRPr="00B4721A" w:rsidRDefault="00660A3C" w:rsidP="00B4721A">
      <w:pPr>
        <w:pStyle w:val="Author"/>
        <w:rPr>
          <w:i/>
        </w:rPr>
      </w:pPr>
      <w:r w:rsidRPr="00B4721A">
        <w:t>Romain</w:t>
      </w:r>
      <w:r w:rsidR="00F45D16">
        <w:t> </w:t>
      </w:r>
      <w:r w:rsidRPr="00B4721A">
        <w:t>Lanners, Olga</w:t>
      </w:r>
      <w:r w:rsidR="00F45D16">
        <w:t> </w:t>
      </w:r>
      <w:r w:rsidRPr="00B4721A">
        <w:t>Meier-</w:t>
      </w:r>
      <w:proofErr w:type="spellStart"/>
      <w:r w:rsidRPr="00B4721A">
        <w:t>Popa</w:t>
      </w:r>
      <w:proofErr w:type="spellEnd"/>
      <w:r w:rsidRPr="00B4721A">
        <w:t>, Robin</w:t>
      </w:r>
      <w:r w:rsidR="00F45D16">
        <w:t> </w:t>
      </w:r>
      <w:r w:rsidRPr="00B4721A">
        <w:t xml:space="preserve">Morand </w:t>
      </w:r>
      <w:r w:rsidR="00374015" w:rsidRPr="00B4721A">
        <w:t>et</w:t>
      </w:r>
      <w:r w:rsidRPr="00B4721A">
        <w:t xml:space="preserve"> Thomas</w:t>
      </w:r>
      <w:r w:rsidR="00F45D16">
        <w:t> </w:t>
      </w:r>
      <w:r w:rsidRPr="00B4721A">
        <w:t>Wetter</w:t>
      </w:r>
    </w:p>
    <w:p w14:paraId="56E6BFAE" w14:textId="08123D40" w:rsidR="000352CE" w:rsidRPr="00B4721A" w:rsidRDefault="004C13EB" w:rsidP="00B4721A">
      <w:pPr>
        <w:pStyle w:val="Abstract"/>
        <w:rPr>
          <w:rFonts w:eastAsiaTheme="minorEastAsia" w:cs="Open Sans SemiCondensed"/>
          <w:lang w:val="fr-CH"/>
        </w:rPr>
      </w:pPr>
      <w:r w:rsidRPr="00B4721A">
        <w:rPr>
          <w:rFonts w:eastAsiaTheme="minorEastAsia" w:cs="Open Sans SemiCondensed"/>
          <w:lang w:val="fr-CH"/>
        </w:rPr>
        <w:t>Résumé</w:t>
      </w:r>
      <w:r w:rsidR="000352CE" w:rsidRPr="00B4721A">
        <w:rPr>
          <w:rFonts w:eastAsiaTheme="minorEastAsia" w:cs="Open Sans SemiCondensed"/>
          <w:lang w:val="fr-CH"/>
        </w:rPr>
        <w:br/>
      </w:r>
      <w:r w:rsidR="00154D3B" w:rsidRPr="00B4721A">
        <w:rPr>
          <w:rFonts w:eastAsiaTheme="minorEastAsia" w:cs="Open Sans SemiCondensed"/>
          <w:lang w:val="fr-CH"/>
        </w:rPr>
        <w:t xml:space="preserve">Une éducation de qualité à l’ère de la numérisation et de l’inclusion nécessite non seulement des </w:t>
      </w:r>
      <w:r w:rsidR="00D603DE" w:rsidRPr="00B4721A">
        <w:rPr>
          <w:rFonts w:eastAsiaTheme="minorEastAsia" w:cs="Open Sans SemiCondensed"/>
          <w:lang w:val="fr-CH"/>
        </w:rPr>
        <w:t xml:space="preserve">enseignantes et </w:t>
      </w:r>
      <w:r w:rsidR="00154D3B" w:rsidRPr="00B4721A">
        <w:rPr>
          <w:rFonts w:eastAsiaTheme="minorEastAsia" w:cs="Open Sans SemiCondensed"/>
          <w:lang w:val="fr-CH"/>
        </w:rPr>
        <w:t>enseignants formés dans ce domaine, mais aussi des ressources d’enseignement et d’apprentissage numériques adapté</w:t>
      </w:r>
      <w:r w:rsidR="00914E31">
        <w:rPr>
          <w:rFonts w:eastAsiaTheme="minorEastAsia" w:cs="Open Sans SemiCondensed"/>
          <w:lang w:val="fr-CH"/>
        </w:rPr>
        <w:t>e</w:t>
      </w:r>
      <w:r w:rsidR="00154D3B" w:rsidRPr="00B4721A">
        <w:rPr>
          <w:rFonts w:eastAsiaTheme="minorEastAsia" w:cs="Open Sans SemiCondensed"/>
          <w:lang w:val="fr-CH"/>
        </w:rPr>
        <w:t>s. Celle-ci devrait tenir compte des aptitudes et des besoins d’apprentissage de chaque apprenant</w:t>
      </w:r>
      <w:r w:rsidR="00FE4C9E" w:rsidRPr="00B4721A">
        <w:rPr>
          <w:rFonts w:eastAsiaTheme="minorEastAsia" w:cs="Open Sans SemiCondensed"/>
          <w:lang w:val="fr-CH"/>
        </w:rPr>
        <w:t>e et apprenant</w:t>
      </w:r>
      <w:r w:rsidR="00154D3B" w:rsidRPr="00B4721A">
        <w:rPr>
          <w:rFonts w:eastAsiaTheme="minorEastAsia" w:cs="Open Sans SemiCondensed"/>
          <w:lang w:val="fr-CH"/>
        </w:rPr>
        <w:t>. La Conférence suisse des</w:t>
      </w:r>
      <w:r w:rsidR="00FE4C9E" w:rsidRPr="00B4721A">
        <w:rPr>
          <w:rFonts w:eastAsiaTheme="minorEastAsia" w:cs="Open Sans SemiCondensed"/>
          <w:lang w:val="fr-CH"/>
        </w:rPr>
        <w:t xml:space="preserve"> directrices et</w:t>
      </w:r>
      <w:r w:rsidR="00154D3B" w:rsidRPr="00B4721A">
        <w:rPr>
          <w:rFonts w:eastAsiaTheme="minorEastAsia" w:cs="Open Sans SemiCondensed"/>
          <w:lang w:val="fr-CH"/>
        </w:rPr>
        <w:t xml:space="preserve"> directeurs cantonaux de l’instruction publique (CDIP) a chargé la fondation Centre suisse de pédagogie spécialisée (CSPS) de lancer une campagne de sensibilisation pour le développement de ressources numériques d’enseignement et d’apprentissage adaptables et accessibles dans l’esprit de la conception universelle.</w:t>
      </w:r>
    </w:p>
    <w:p w14:paraId="6846DE64" w14:textId="75CD1E5A" w:rsidR="00746880" w:rsidRPr="00F14E7D" w:rsidRDefault="00985126" w:rsidP="00B4721A">
      <w:pPr>
        <w:pStyle w:val="Abstract"/>
        <w:rPr>
          <w:rFonts w:eastAsiaTheme="minorEastAsia" w:cs="Open Sans SemiCondensed"/>
          <w:lang w:val="de-CH"/>
        </w:rPr>
      </w:pPr>
      <w:r w:rsidRPr="00F14E7D">
        <w:rPr>
          <w:rFonts w:eastAsiaTheme="minorEastAsia" w:cs="Open Sans SemiCondensed"/>
          <w:lang w:val="de-CH"/>
        </w:rPr>
        <w:t>Zusammenfassung</w:t>
      </w:r>
      <w:r w:rsidR="00E7780E" w:rsidRPr="00F14E7D">
        <w:rPr>
          <w:rFonts w:eastAsiaTheme="minorEastAsia" w:cs="Open Sans SemiCondensed"/>
          <w:lang w:val="de-CH"/>
        </w:rPr>
        <w:br/>
      </w:r>
      <w:r w:rsidR="00746880" w:rsidRPr="00F14E7D">
        <w:rPr>
          <w:rFonts w:eastAsiaTheme="minorEastAsia" w:cs="Open Sans SemiCondensed"/>
          <w:lang w:val="de-CH"/>
        </w:rPr>
        <w:t xml:space="preserve">Eine qualitativ gute Bildung im Zeitalter der Digitalisierung und Inklusion braucht nicht nur </w:t>
      </w:r>
      <w:r w:rsidR="00230ABC" w:rsidRPr="00F14E7D">
        <w:rPr>
          <w:rFonts w:eastAsiaTheme="minorEastAsia" w:cs="Open Sans SemiCondensed"/>
          <w:lang w:val="de-CH"/>
        </w:rPr>
        <w:t>entsprechend ausgebildeter Lehrpersonen</w:t>
      </w:r>
      <w:r w:rsidR="00746880" w:rsidRPr="00F14E7D">
        <w:rPr>
          <w:rFonts w:eastAsiaTheme="minorEastAsia" w:cs="Open Sans SemiCondensed"/>
          <w:lang w:val="de-CH"/>
        </w:rPr>
        <w:t>, sondern auch geeignete digitale Lehrmittel. Diese sollten individuelle Lernvoraussetzungen und -bedürfnisse der Lernenden berücksichtigen. Die Schweizerische Konferenz der kantonalen Erziehungsdirektor</w:t>
      </w:r>
      <w:r w:rsidR="004E02E2" w:rsidRPr="00F14E7D">
        <w:rPr>
          <w:rFonts w:eastAsiaTheme="minorEastAsia" w:cs="Open Sans SemiCondensed"/>
          <w:lang w:val="de-CH"/>
        </w:rPr>
        <w:t>innen und -</w:t>
      </w:r>
      <w:r w:rsidR="000E34F9" w:rsidRPr="00F14E7D">
        <w:rPr>
          <w:rFonts w:eastAsiaTheme="minorEastAsia" w:cs="Open Sans SemiCondensed"/>
          <w:lang w:val="de-CH"/>
        </w:rPr>
        <w:t>direktor</w:t>
      </w:r>
      <w:r w:rsidR="00746880" w:rsidRPr="00F14E7D">
        <w:rPr>
          <w:rFonts w:eastAsiaTheme="minorEastAsia" w:cs="Open Sans SemiCondensed"/>
          <w:lang w:val="de-CH"/>
        </w:rPr>
        <w:t>en (EDK) hat die Stiftung Schweizer Zentrum für Heil- und Sonderpädagogik (SZH) damit beauftragt, eine Sensibilisierungskampagne zu starten für die Entwicklung von flexibel anpassbaren und barrierefreien digitalen Lehr- und Lernressourcen im</w:t>
      </w:r>
      <w:r w:rsidR="00F14E7D">
        <w:rPr>
          <w:rFonts w:eastAsiaTheme="minorEastAsia" w:cs="Open Sans SemiCondensed"/>
          <w:lang w:val="de-CH"/>
        </w:rPr>
        <w:t xml:space="preserve"> </w:t>
      </w:r>
      <w:r w:rsidR="00746880" w:rsidRPr="00F14E7D">
        <w:rPr>
          <w:rFonts w:eastAsiaTheme="minorEastAsia" w:cs="Open Sans SemiCondensed"/>
          <w:lang w:val="de-CH"/>
        </w:rPr>
        <w:t>Sinne von</w:t>
      </w:r>
      <w:r w:rsidR="00F14E7D">
        <w:rPr>
          <w:rFonts w:eastAsiaTheme="minorEastAsia" w:cs="Open Sans SemiCondensed"/>
          <w:lang w:val="de-CH"/>
        </w:rPr>
        <w:t xml:space="preserve"> </w:t>
      </w:r>
      <w:r w:rsidR="00746880" w:rsidRPr="00F14E7D">
        <w:rPr>
          <w:rFonts w:eastAsiaTheme="minorEastAsia" w:cs="Open Sans SemiCondensed"/>
          <w:lang w:val="de-CH"/>
        </w:rPr>
        <w:t>Universal Design.</w:t>
      </w:r>
    </w:p>
    <w:p w14:paraId="48D2475C" w14:textId="12C147F7" w:rsidR="003E2ACA" w:rsidRPr="00F14E7D" w:rsidRDefault="00EA4676" w:rsidP="00935C5D">
      <w:pPr>
        <w:pStyle w:val="Corpsdetexte3"/>
        <w:rPr>
          <w:i/>
          <w:lang w:val="fr-CH"/>
        </w:rPr>
      </w:pPr>
      <w:proofErr w:type="gramStart"/>
      <w:r w:rsidRPr="00F14E7D">
        <w:rPr>
          <w:rStyle w:val="lev"/>
          <w:rFonts w:eastAsiaTheme="minorEastAsia" w:cs="Open Sans SemiCondensed"/>
          <w:iCs/>
          <w:lang w:val="fr-CH"/>
        </w:rPr>
        <w:t>Keywords</w:t>
      </w:r>
      <w:r w:rsidRPr="00F14E7D">
        <w:rPr>
          <w:lang w:val="fr-CH"/>
        </w:rPr>
        <w:t>:</w:t>
      </w:r>
      <w:proofErr w:type="gramEnd"/>
      <w:r w:rsidRPr="00F14E7D">
        <w:rPr>
          <w:lang w:val="fr-CH"/>
        </w:rPr>
        <w:t xml:space="preserve"> </w:t>
      </w:r>
      <w:r w:rsidR="0000522D" w:rsidRPr="00F14E7D">
        <w:rPr>
          <w:lang w:val="fr-CH"/>
        </w:rPr>
        <w:t>apprentissage, inclusion, moyen d</w:t>
      </w:r>
      <w:r w:rsidR="00F45D16" w:rsidRPr="00F14E7D">
        <w:rPr>
          <w:lang w:val="fr-CH"/>
        </w:rPr>
        <w:t>’</w:t>
      </w:r>
      <w:r w:rsidR="0000522D" w:rsidRPr="00F14E7D">
        <w:rPr>
          <w:lang w:val="fr-CH"/>
        </w:rPr>
        <w:t>enseignement numérique</w:t>
      </w:r>
      <w:r w:rsidR="000665A0" w:rsidRPr="00F14E7D">
        <w:rPr>
          <w:lang w:val="fr-CH"/>
        </w:rPr>
        <w:t xml:space="preserve"> </w:t>
      </w:r>
      <w:r w:rsidR="00F45D16" w:rsidRPr="00F14E7D">
        <w:rPr>
          <w:lang w:val="fr-CH"/>
        </w:rPr>
        <w:t>/</w:t>
      </w:r>
      <w:r w:rsidR="000665A0" w:rsidRPr="00F14E7D">
        <w:rPr>
          <w:lang w:val="fr-CH"/>
        </w:rPr>
        <w:t xml:space="preserve"> </w:t>
      </w:r>
      <w:proofErr w:type="spellStart"/>
      <w:r w:rsidR="004162DB" w:rsidRPr="00F14E7D">
        <w:rPr>
          <w:lang w:val="fr-CH"/>
        </w:rPr>
        <w:t>Lernprozess</w:t>
      </w:r>
      <w:proofErr w:type="spellEnd"/>
      <w:r w:rsidR="004162DB" w:rsidRPr="00F14E7D">
        <w:rPr>
          <w:lang w:val="fr-CH"/>
        </w:rPr>
        <w:t xml:space="preserve">, </w:t>
      </w:r>
      <w:proofErr w:type="spellStart"/>
      <w:r w:rsidR="004162DB" w:rsidRPr="00F14E7D">
        <w:rPr>
          <w:lang w:val="fr-CH"/>
        </w:rPr>
        <w:t>Inklusion</w:t>
      </w:r>
      <w:proofErr w:type="spellEnd"/>
      <w:r w:rsidR="004162DB" w:rsidRPr="00F14E7D">
        <w:rPr>
          <w:lang w:val="fr-CH"/>
        </w:rPr>
        <w:t xml:space="preserve">, Digitale </w:t>
      </w:r>
      <w:proofErr w:type="spellStart"/>
      <w:r w:rsidR="004162DB" w:rsidRPr="00F14E7D">
        <w:rPr>
          <w:lang w:val="fr-CH"/>
        </w:rPr>
        <w:t>Lehrmittel</w:t>
      </w:r>
      <w:proofErr w:type="spellEnd"/>
    </w:p>
    <w:p w14:paraId="5091F347" w14:textId="3C984EAF" w:rsidR="001D3BFB" w:rsidRPr="00F14E7D" w:rsidRDefault="00EA4676" w:rsidP="00935C5D">
      <w:pPr>
        <w:pStyle w:val="Corpsdetexte3"/>
        <w:rPr>
          <w:i/>
          <w:lang w:val="fr-CH"/>
        </w:rPr>
      </w:pPr>
      <w:r w:rsidRPr="003E2ACA">
        <w:rPr>
          <w:rStyle w:val="lev"/>
          <w:rFonts w:eastAsiaTheme="minorEastAsia" w:cs="Open Sans SemiCondensed"/>
          <w:iCs/>
          <w:lang w:val="fr-CH"/>
        </w:rPr>
        <w:t>DOI</w:t>
      </w:r>
      <w:r w:rsidR="00F45D16">
        <w:rPr>
          <w:rStyle w:val="lev"/>
          <w:rFonts w:eastAsiaTheme="minorEastAsia" w:cs="Open Sans SemiCondensed"/>
          <w:iCs/>
          <w:lang w:val="fr-CH"/>
        </w:rPr>
        <w:t> </w:t>
      </w:r>
      <w:r w:rsidRPr="003E2ACA">
        <w:rPr>
          <w:lang w:val="fr-CH"/>
        </w:rPr>
        <w:t xml:space="preserve">: </w:t>
      </w:r>
      <w:hyperlink r:id="rId11" w:history="1">
        <w:r w:rsidR="00536EAB" w:rsidRPr="00F14E7D">
          <w:rPr>
            <w:rStyle w:val="Lienhypertexte"/>
            <w:rFonts w:eastAsiaTheme="minorEastAsia" w:cs="Open Sans SemiCondensed"/>
            <w:lang w:val="fr-CH"/>
          </w:rPr>
          <w:t>https://doi.org/10.57161/r2023-01-08</w:t>
        </w:r>
      </w:hyperlink>
      <w:r w:rsidR="00536EAB" w:rsidRPr="00F14E7D">
        <w:rPr>
          <w:rFonts w:eastAsiaTheme="minorEastAsia" w:cs="Open Sans SemiCondensed"/>
          <w:bCs/>
          <w:lang w:val="fr-CH"/>
        </w:rPr>
        <w:t xml:space="preserve"> </w:t>
      </w:r>
    </w:p>
    <w:p w14:paraId="0A2EC469" w14:textId="5BD58EBB" w:rsidR="00EA4676" w:rsidRPr="00F14E7D" w:rsidRDefault="00EA4676" w:rsidP="00935C5D">
      <w:pPr>
        <w:pStyle w:val="Corpsdetexte3"/>
        <w:rPr>
          <w:lang w:val="fr-CH"/>
        </w:rPr>
      </w:pPr>
      <w:r w:rsidRPr="00F14E7D">
        <w:rPr>
          <w:lang w:val="fr-CH"/>
        </w:rPr>
        <w:t>Revue Suisse de Pédagogie Spécialisée, Vol.</w:t>
      </w:r>
      <w:r w:rsidR="00F45D16" w:rsidRPr="00F14E7D">
        <w:rPr>
          <w:lang w:val="fr-CH"/>
        </w:rPr>
        <w:t> </w:t>
      </w:r>
      <w:r w:rsidR="001A4056" w:rsidRPr="00F14E7D">
        <w:rPr>
          <w:lang w:val="fr-CH"/>
        </w:rPr>
        <w:t>13</w:t>
      </w:r>
      <w:r w:rsidRPr="00F14E7D">
        <w:rPr>
          <w:lang w:val="fr-CH"/>
        </w:rPr>
        <w:t xml:space="preserve">, </w:t>
      </w:r>
      <w:r w:rsidR="001A4056" w:rsidRPr="00F14E7D">
        <w:rPr>
          <w:lang w:val="fr-CH"/>
        </w:rPr>
        <w:t>01</w:t>
      </w:r>
      <w:r w:rsidRPr="00F14E7D">
        <w:rPr>
          <w:lang w:val="fr-CH"/>
        </w:rPr>
        <w:t>/</w:t>
      </w:r>
      <w:r w:rsidR="001A4056" w:rsidRPr="00F14E7D">
        <w:rPr>
          <w:lang w:val="fr-CH"/>
        </w:rPr>
        <w:t>2023</w:t>
      </w:r>
    </w:p>
    <w:p w14:paraId="3F31ACE9" w14:textId="77777777" w:rsidR="000E6A66" w:rsidRPr="00B4721A" w:rsidRDefault="000E6A66" w:rsidP="009A5784">
      <w:pPr>
        <w:pStyle w:val="Corpsdetexte3"/>
      </w:pPr>
      <w:r w:rsidRPr="00B4721A">
        <w:rPr>
          <w:noProof/>
        </w:rPr>
        <w:drawing>
          <wp:inline distT="0" distB="0" distL="0" distR="0" wp14:anchorId="5CA93128" wp14:editId="61CFBEFC">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103D3E44" w14:textId="158B8B8A" w:rsidR="006E2582" w:rsidRPr="00B4721A" w:rsidRDefault="006E2582" w:rsidP="00B4721A">
      <w:pPr>
        <w:pStyle w:val="Titre1"/>
        <w:rPr>
          <w:rFonts w:eastAsiaTheme="minorEastAsia"/>
          <w:lang w:val="fr-CH"/>
        </w:rPr>
      </w:pPr>
      <w:r w:rsidRPr="00B4721A">
        <w:rPr>
          <w:rFonts w:eastAsiaTheme="minorEastAsia"/>
          <w:lang w:val="fr-CH"/>
        </w:rPr>
        <w:t xml:space="preserve">Contexte </w:t>
      </w:r>
      <w:r w:rsidR="00E033C2" w:rsidRPr="00B4721A">
        <w:rPr>
          <w:rFonts w:eastAsiaTheme="minorEastAsia"/>
          <w:lang w:val="fr-CH"/>
        </w:rPr>
        <w:t>et besoins</w:t>
      </w:r>
    </w:p>
    <w:p w14:paraId="33649EDA" w14:textId="799BEE75" w:rsidR="00C55662" w:rsidRPr="00B4721A" w:rsidRDefault="00C55662" w:rsidP="00B4721A">
      <w:pPr>
        <w:pStyle w:val="Corpsdetexte"/>
        <w:rPr>
          <w:rFonts w:eastAsiaTheme="minorEastAsia" w:cs="Open Sans SemiCondensed"/>
          <w:lang w:val="fr-CH"/>
        </w:rPr>
      </w:pPr>
      <w:r w:rsidRPr="00B4721A">
        <w:rPr>
          <w:rFonts w:eastAsiaTheme="minorEastAsia" w:cs="Open Sans SemiCondensed"/>
          <w:lang w:val="fr-CH"/>
        </w:rPr>
        <w:t>Actuellement, l</w:t>
      </w:r>
      <w:r w:rsidR="00F45D16">
        <w:rPr>
          <w:rFonts w:eastAsiaTheme="minorEastAsia" w:cs="Open Sans SemiCondensed"/>
          <w:lang w:val="fr-CH"/>
        </w:rPr>
        <w:t>’</w:t>
      </w:r>
      <w:r w:rsidRPr="00B4721A">
        <w:rPr>
          <w:rFonts w:eastAsiaTheme="minorEastAsia" w:cs="Open Sans SemiCondensed"/>
          <w:lang w:val="fr-CH"/>
        </w:rPr>
        <w:t>école est au cœur d</w:t>
      </w:r>
      <w:r w:rsidR="00F45D16">
        <w:rPr>
          <w:rFonts w:eastAsiaTheme="minorEastAsia" w:cs="Open Sans SemiCondensed"/>
          <w:lang w:val="fr-CH"/>
        </w:rPr>
        <w:t>’</w:t>
      </w:r>
      <w:r w:rsidRPr="00B4721A">
        <w:rPr>
          <w:rFonts w:eastAsiaTheme="minorEastAsia" w:cs="Open Sans SemiCondensed"/>
          <w:lang w:val="fr-CH"/>
        </w:rPr>
        <w:t xml:space="preserve">une transformation numérique. </w:t>
      </w:r>
      <w:r w:rsidR="0025345A" w:rsidRPr="00B4721A">
        <w:rPr>
          <w:rFonts w:eastAsiaTheme="minorEastAsia" w:cs="Open Sans SemiCondensed"/>
          <w:lang w:val="fr-CH"/>
        </w:rPr>
        <w:t>« </w:t>
      </w:r>
      <w:r w:rsidR="00301AED" w:rsidRPr="00B4721A">
        <w:rPr>
          <w:rFonts w:eastAsiaTheme="minorEastAsia" w:cs="Open Sans SemiCondensed"/>
          <w:lang w:val="fr-CH"/>
        </w:rPr>
        <w:t>Nous constatons qu’aussi bien la fréquence que la durée d’utilisation des outils technologiques se sont accrues, une observation qui s’applique non seulement à l’enseignement en classe, mais aussi à l’apprentissage à la maison.</w:t>
      </w:r>
      <w:r w:rsidR="00F45D16">
        <w:rPr>
          <w:rFonts w:eastAsiaTheme="minorEastAsia" w:cs="Open Sans SemiCondensed"/>
          <w:lang w:val="fr-CH"/>
        </w:rPr>
        <w:t> </w:t>
      </w:r>
      <w:r w:rsidR="0025345A" w:rsidRPr="00B4721A">
        <w:rPr>
          <w:rFonts w:eastAsiaTheme="minorEastAsia" w:cs="Open Sans SemiCondensed"/>
          <w:lang w:val="fr-CH"/>
        </w:rPr>
        <w:t>»</w:t>
      </w:r>
      <w:r w:rsidRPr="00B4721A">
        <w:rPr>
          <w:rFonts w:eastAsiaTheme="minorEastAsia" w:cs="Open Sans SemiCondensed"/>
          <w:lang w:val="fr-CH"/>
        </w:rPr>
        <w:t xml:space="preserve"> (Volland, 2021, </w:t>
      </w:r>
      <w:r w:rsidR="002B15D7" w:rsidRPr="00B4721A">
        <w:rPr>
          <w:rFonts w:eastAsiaTheme="minorEastAsia" w:cs="Open Sans SemiCondensed"/>
          <w:lang w:val="fr-CH"/>
        </w:rPr>
        <w:t>para</w:t>
      </w:r>
      <w:r w:rsidRPr="00B4721A">
        <w:rPr>
          <w:rFonts w:eastAsiaTheme="minorEastAsia" w:cs="Open Sans SemiCondensed"/>
          <w:lang w:val="fr-CH"/>
        </w:rPr>
        <w:t>.</w:t>
      </w:r>
      <w:r w:rsidR="00F45D16">
        <w:rPr>
          <w:rFonts w:eastAsiaTheme="minorEastAsia" w:cs="Open Sans SemiCondensed"/>
          <w:lang w:val="fr-CH"/>
        </w:rPr>
        <w:t xml:space="preserve"> </w:t>
      </w:r>
      <w:r w:rsidR="002B15D7" w:rsidRPr="00B4721A">
        <w:rPr>
          <w:rFonts w:eastAsiaTheme="minorEastAsia" w:cs="Open Sans SemiCondensed"/>
          <w:lang w:val="fr-CH"/>
        </w:rPr>
        <w:t>4</w:t>
      </w:r>
      <w:r w:rsidRPr="00B4721A">
        <w:rPr>
          <w:rFonts w:eastAsiaTheme="minorEastAsia" w:cs="Open Sans SemiCondensed"/>
          <w:lang w:val="fr-CH"/>
        </w:rPr>
        <w:t xml:space="preserve">). </w:t>
      </w:r>
      <w:r w:rsidR="00751688" w:rsidRPr="00B4721A">
        <w:rPr>
          <w:rFonts w:eastAsiaTheme="minorEastAsia" w:cs="Open Sans SemiCondensed"/>
          <w:lang w:val="fr-CH"/>
        </w:rPr>
        <w:t>À la suite de</w:t>
      </w:r>
      <w:r w:rsidRPr="00B4721A">
        <w:rPr>
          <w:rFonts w:eastAsiaTheme="minorEastAsia" w:cs="Open Sans SemiCondensed"/>
          <w:lang w:val="fr-CH"/>
        </w:rPr>
        <w:t xml:space="preserve"> cette </w:t>
      </w:r>
      <w:r w:rsidR="00F45D16">
        <w:rPr>
          <w:rFonts w:eastAsiaTheme="minorEastAsia" w:cs="Open Sans SemiCondensed"/>
          <w:lang w:val="fr-CH"/>
        </w:rPr>
        <w:t>« </w:t>
      </w:r>
      <w:r w:rsidRPr="00B4721A">
        <w:rPr>
          <w:rFonts w:eastAsiaTheme="minorEastAsia" w:cs="Open Sans SemiCondensed"/>
          <w:lang w:val="fr-CH"/>
        </w:rPr>
        <w:t>poussée de la numérisation</w:t>
      </w:r>
      <w:r w:rsidR="00F45D16">
        <w:rPr>
          <w:rFonts w:eastAsiaTheme="minorEastAsia" w:cs="Open Sans SemiCondensed"/>
          <w:lang w:val="fr-CH"/>
        </w:rPr>
        <w:t> »</w:t>
      </w:r>
      <w:r w:rsidRPr="00B4721A">
        <w:rPr>
          <w:rFonts w:eastAsiaTheme="minorEastAsia" w:cs="Open Sans SemiCondensed"/>
          <w:lang w:val="fr-CH"/>
        </w:rPr>
        <w:t>, l</w:t>
      </w:r>
      <w:r w:rsidR="00F45D16">
        <w:rPr>
          <w:rFonts w:eastAsiaTheme="minorEastAsia" w:cs="Open Sans SemiCondensed"/>
          <w:lang w:val="fr-CH"/>
        </w:rPr>
        <w:t>’</w:t>
      </w:r>
      <w:r w:rsidRPr="00B4721A">
        <w:rPr>
          <w:rFonts w:eastAsiaTheme="minorEastAsia" w:cs="Open Sans SemiCondensed"/>
          <w:lang w:val="fr-CH"/>
        </w:rPr>
        <w:t>école doit créer un environnement d</w:t>
      </w:r>
      <w:r w:rsidR="00F45D16">
        <w:rPr>
          <w:rFonts w:eastAsiaTheme="minorEastAsia" w:cs="Open Sans SemiCondensed"/>
          <w:lang w:val="fr-CH"/>
        </w:rPr>
        <w:t>’</w:t>
      </w:r>
      <w:r w:rsidRPr="00B4721A">
        <w:rPr>
          <w:rFonts w:eastAsiaTheme="minorEastAsia" w:cs="Open Sans SemiCondensed"/>
          <w:lang w:val="fr-CH"/>
        </w:rPr>
        <w:t>apprentissage qui permet une interaction cohérente entre les séquences d</w:t>
      </w:r>
      <w:r w:rsidR="00F45D16">
        <w:rPr>
          <w:rFonts w:eastAsiaTheme="minorEastAsia" w:cs="Open Sans SemiCondensed"/>
          <w:lang w:val="fr-CH"/>
        </w:rPr>
        <w:t>’</w:t>
      </w:r>
      <w:r w:rsidRPr="00B4721A">
        <w:rPr>
          <w:rFonts w:eastAsiaTheme="minorEastAsia" w:cs="Open Sans SemiCondensed"/>
          <w:lang w:val="fr-CH"/>
        </w:rPr>
        <w:t>enseignement basées sur l</w:t>
      </w:r>
      <w:r w:rsidR="00F45D16">
        <w:rPr>
          <w:rFonts w:eastAsiaTheme="minorEastAsia" w:cs="Open Sans SemiCondensed"/>
          <w:lang w:val="fr-CH"/>
        </w:rPr>
        <w:t>’</w:t>
      </w:r>
      <w:r w:rsidRPr="00B4721A">
        <w:rPr>
          <w:rFonts w:eastAsiaTheme="minorEastAsia" w:cs="Open Sans SemiCondensed"/>
          <w:lang w:val="fr-CH"/>
        </w:rPr>
        <w:t>analogique et le numérique. L</w:t>
      </w:r>
      <w:r w:rsidR="00F45D16">
        <w:rPr>
          <w:rFonts w:eastAsiaTheme="minorEastAsia" w:cs="Open Sans SemiCondensed"/>
          <w:lang w:val="fr-CH"/>
        </w:rPr>
        <w:t>’</w:t>
      </w:r>
      <w:r w:rsidRPr="00B4721A">
        <w:rPr>
          <w:rFonts w:eastAsiaTheme="minorEastAsia" w:cs="Open Sans SemiCondensed"/>
          <w:lang w:val="fr-CH"/>
        </w:rPr>
        <w:t>enseignement inclusif implique des apprenant</w:t>
      </w:r>
      <w:r w:rsidR="0020143D" w:rsidRPr="00B4721A">
        <w:rPr>
          <w:rFonts w:eastAsiaTheme="minorEastAsia" w:cs="Open Sans SemiCondensed"/>
          <w:lang w:val="fr-CH"/>
        </w:rPr>
        <w:t>e</w:t>
      </w:r>
      <w:r w:rsidRPr="00B4721A">
        <w:rPr>
          <w:rFonts w:eastAsiaTheme="minorEastAsia" w:cs="Open Sans SemiCondensed"/>
          <w:lang w:val="fr-CH"/>
        </w:rPr>
        <w:t xml:space="preserve">s </w:t>
      </w:r>
      <w:r w:rsidR="0020143D" w:rsidRPr="00B4721A">
        <w:rPr>
          <w:rFonts w:eastAsiaTheme="minorEastAsia" w:cs="Open Sans SemiCondensed"/>
          <w:lang w:val="fr-CH"/>
        </w:rPr>
        <w:t xml:space="preserve">et apprenants </w:t>
      </w:r>
      <w:r w:rsidRPr="00B4721A">
        <w:rPr>
          <w:rFonts w:eastAsiaTheme="minorEastAsia" w:cs="Open Sans SemiCondensed"/>
          <w:lang w:val="fr-CH"/>
        </w:rPr>
        <w:t>ayant des besoins éducatifs particuliers ou en situation de handicap. L</w:t>
      </w:r>
      <w:r w:rsidR="00F45D16">
        <w:rPr>
          <w:rFonts w:eastAsiaTheme="minorEastAsia" w:cs="Open Sans SemiCondensed"/>
          <w:lang w:val="fr-CH"/>
        </w:rPr>
        <w:t>’</w:t>
      </w:r>
      <w:r w:rsidRPr="00B4721A">
        <w:rPr>
          <w:rFonts w:eastAsiaTheme="minorEastAsia" w:cs="Open Sans SemiCondensed"/>
          <w:lang w:val="fr-CH"/>
        </w:rPr>
        <w:t>équilibre entre l</w:t>
      </w:r>
      <w:r w:rsidR="00F45D16">
        <w:rPr>
          <w:rFonts w:eastAsiaTheme="minorEastAsia" w:cs="Open Sans SemiCondensed"/>
          <w:lang w:val="fr-CH"/>
        </w:rPr>
        <w:t>’</w:t>
      </w:r>
      <w:r w:rsidRPr="00B4721A">
        <w:rPr>
          <w:rFonts w:eastAsiaTheme="minorEastAsia" w:cs="Open Sans SemiCondensed"/>
          <w:lang w:val="fr-CH"/>
        </w:rPr>
        <w:t xml:space="preserve">apprentissage en commun dans la classe et le soutien individuel des </w:t>
      </w:r>
      <w:r w:rsidR="00EB30C5" w:rsidRPr="00B4721A">
        <w:rPr>
          <w:rFonts w:eastAsiaTheme="minorEastAsia" w:cs="Open Sans SemiCondensed"/>
          <w:lang w:val="fr-CH"/>
        </w:rPr>
        <w:t xml:space="preserve">apprenantes et </w:t>
      </w:r>
      <w:r w:rsidRPr="00B4721A">
        <w:rPr>
          <w:rFonts w:eastAsiaTheme="minorEastAsia" w:cs="Open Sans SemiCondensed"/>
          <w:lang w:val="fr-CH"/>
        </w:rPr>
        <w:t xml:space="preserve">apprenants est un grand défi pour </w:t>
      </w:r>
      <w:r w:rsidR="00EB30C5" w:rsidRPr="00B4721A">
        <w:rPr>
          <w:rFonts w:eastAsiaTheme="minorEastAsia" w:cs="Open Sans SemiCondensed"/>
          <w:lang w:val="fr-CH"/>
        </w:rPr>
        <w:t xml:space="preserve">le </w:t>
      </w:r>
      <w:r w:rsidR="00E65CBC" w:rsidRPr="00B4721A">
        <w:rPr>
          <w:rFonts w:eastAsiaTheme="minorEastAsia" w:cs="Open Sans SemiCondensed"/>
          <w:lang w:val="fr-CH"/>
        </w:rPr>
        <w:t>personnel</w:t>
      </w:r>
      <w:r w:rsidR="00EB30C5" w:rsidRPr="00B4721A">
        <w:rPr>
          <w:rFonts w:eastAsiaTheme="minorEastAsia" w:cs="Open Sans SemiCondensed"/>
          <w:lang w:val="fr-CH"/>
        </w:rPr>
        <w:t xml:space="preserve"> enseignant</w:t>
      </w:r>
      <w:r w:rsidRPr="00B4721A">
        <w:rPr>
          <w:rFonts w:eastAsiaTheme="minorEastAsia" w:cs="Open Sans SemiCondensed"/>
          <w:lang w:val="fr-CH"/>
        </w:rPr>
        <w:t xml:space="preserve">. </w:t>
      </w:r>
    </w:p>
    <w:p w14:paraId="362EE23B" w14:textId="11D3F458" w:rsidR="00C55662" w:rsidRPr="00B4721A" w:rsidRDefault="00C55662" w:rsidP="00B4721A">
      <w:pPr>
        <w:pStyle w:val="Corpsdetexte"/>
        <w:rPr>
          <w:rFonts w:eastAsiaTheme="minorEastAsia" w:cs="Open Sans SemiCondensed"/>
          <w:lang w:val="fr-CH"/>
        </w:rPr>
      </w:pPr>
      <w:r w:rsidRPr="00B4721A">
        <w:rPr>
          <w:rFonts w:eastAsiaTheme="minorEastAsia" w:cs="Open Sans SemiCondensed"/>
          <w:lang w:val="fr-CH"/>
        </w:rPr>
        <w:t xml:space="preserve">Le concept </w:t>
      </w:r>
      <w:r w:rsidR="000821CC" w:rsidRPr="00B4721A">
        <w:rPr>
          <w:rFonts w:eastAsiaTheme="minorEastAsia" w:cs="Open Sans SemiCondensed"/>
          <w:lang w:val="fr-CH"/>
        </w:rPr>
        <w:t>d’</w:t>
      </w:r>
      <w:r w:rsidRPr="00B4721A">
        <w:rPr>
          <w:rFonts w:eastAsiaTheme="minorEastAsia" w:cs="Open Sans SemiCondensed"/>
          <w:i/>
          <w:iCs/>
          <w:lang w:val="fr-CH"/>
        </w:rPr>
        <w:t>Universal Design for Learning</w:t>
      </w:r>
      <w:r w:rsidRPr="00B4721A">
        <w:rPr>
          <w:rFonts w:eastAsiaTheme="minorEastAsia" w:cs="Open Sans SemiCondensed"/>
          <w:lang w:val="fr-CH"/>
        </w:rPr>
        <w:t xml:space="preserve"> (UDL</w:t>
      </w:r>
      <w:r w:rsidR="00EB30C5" w:rsidRPr="00B4721A">
        <w:rPr>
          <w:rFonts w:eastAsiaTheme="minorEastAsia" w:cs="Open Sans SemiCondensed"/>
          <w:lang w:val="fr-CH"/>
        </w:rPr>
        <w:t xml:space="preserve">, </w:t>
      </w:r>
      <w:r w:rsidR="00AD0AE3" w:rsidRPr="00B4721A">
        <w:rPr>
          <w:rFonts w:eastAsiaTheme="minorEastAsia" w:cs="Open Sans SemiCondensed"/>
          <w:lang w:val="fr-CH"/>
        </w:rPr>
        <w:t>C</w:t>
      </w:r>
      <w:r w:rsidR="00EB30C5" w:rsidRPr="00B4721A">
        <w:rPr>
          <w:rFonts w:eastAsiaTheme="minorEastAsia" w:cs="Open Sans SemiCondensed"/>
          <w:lang w:val="fr-CH"/>
        </w:rPr>
        <w:t>oncept</w:t>
      </w:r>
      <w:r w:rsidR="00D8787E" w:rsidRPr="00B4721A">
        <w:rPr>
          <w:rFonts w:eastAsiaTheme="minorEastAsia" w:cs="Open Sans SemiCondensed"/>
          <w:lang w:val="fr-CH"/>
        </w:rPr>
        <w:t xml:space="preserve">ion </w:t>
      </w:r>
      <w:r w:rsidR="000821CC" w:rsidRPr="00B4721A">
        <w:rPr>
          <w:rFonts w:eastAsiaTheme="minorEastAsia" w:cs="Open Sans SemiCondensed"/>
          <w:lang w:val="fr-CH"/>
        </w:rPr>
        <w:t xml:space="preserve">universelle de </w:t>
      </w:r>
      <w:r w:rsidR="007F0B56" w:rsidRPr="00B4721A">
        <w:rPr>
          <w:rFonts w:eastAsiaTheme="minorEastAsia" w:cs="Open Sans SemiCondensed"/>
          <w:lang w:val="fr-CH"/>
        </w:rPr>
        <w:t>l</w:t>
      </w:r>
      <w:r w:rsidR="00D8787E" w:rsidRPr="00B4721A">
        <w:rPr>
          <w:rFonts w:eastAsiaTheme="minorEastAsia" w:cs="Open Sans SemiCondensed"/>
          <w:lang w:val="fr-CH"/>
        </w:rPr>
        <w:t>’apprentissage</w:t>
      </w:r>
      <w:r w:rsidRPr="00B4721A">
        <w:rPr>
          <w:rFonts w:eastAsiaTheme="minorEastAsia" w:cs="Open Sans SemiCondensed"/>
          <w:lang w:val="fr-CH"/>
        </w:rPr>
        <w:t>)</w:t>
      </w:r>
      <w:r w:rsidR="00DE555E" w:rsidRPr="00B4721A">
        <w:rPr>
          <w:rStyle w:val="Appelnotedebasdep"/>
          <w:rFonts w:eastAsiaTheme="minorEastAsia" w:cs="Open Sans SemiCondensed"/>
          <w:lang w:val="fr-CH"/>
        </w:rPr>
        <w:footnoteReference w:id="2"/>
      </w:r>
      <w:r w:rsidRPr="00B4721A">
        <w:rPr>
          <w:rFonts w:eastAsiaTheme="minorEastAsia" w:cs="Open Sans SemiCondensed"/>
          <w:lang w:val="fr-CH"/>
        </w:rPr>
        <w:t xml:space="preserve"> fournit une bonne base pour la conception d</w:t>
      </w:r>
      <w:r w:rsidR="00F45D16">
        <w:rPr>
          <w:rFonts w:eastAsiaTheme="minorEastAsia" w:cs="Open Sans SemiCondensed"/>
          <w:lang w:val="fr-CH"/>
        </w:rPr>
        <w:t>’</w:t>
      </w:r>
      <w:r w:rsidRPr="00B4721A">
        <w:rPr>
          <w:rFonts w:eastAsiaTheme="minorEastAsia" w:cs="Open Sans SemiCondensed"/>
          <w:lang w:val="fr-CH"/>
        </w:rPr>
        <w:t xml:space="preserve">un enseignement inclusif </w:t>
      </w:r>
      <w:r w:rsidR="003E130A" w:rsidRPr="00B4721A">
        <w:rPr>
          <w:rFonts w:eastAsiaTheme="minorEastAsia" w:cs="Open Sans SemiCondensed"/>
          <w:lang w:val="fr-CH"/>
        </w:rPr>
        <w:t xml:space="preserve">pouvant recourir </w:t>
      </w:r>
      <w:r w:rsidRPr="00B4721A">
        <w:rPr>
          <w:rFonts w:eastAsiaTheme="minorEastAsia" w:cs="Open Sans SemiCondensed"/>
          <w:lang w:val="fr-CH"/>
        </w:rPr>
        <w:t xml:space="preserve">aux </w:t>
      </w:r>
      <w:r w:rsidR="003E130A" w:rsidRPr="00B4721A">
        <w:rPr>
          <w:rFonts w:eastAsiaTheme="minorEastAsia" w:cs="Open Sans SemiCondensed"/>
          <w:lang w:val="fr-CH"/>
        </w:rPr>
        <w:t xml:space="preserve">outils </w:t>
      </w:r>
      <w:r w:rsidRPr="00B4721A">
        <w:rPr>
          <w:rFonts w:eastAsiaTheme="minorEastAsia" w:cs="Open Sans SemiCondensed"/>
          <w:lang w:val="fr-CH"/>
        </w:rPr>
        <w:t>numériques. Il a été développé en s</w:t>
      </w:r>
      <w:r w:rsidR="00F45D16">
        <w:rPr>
          <w:rFonts w:eastAsiaTheme="minorEastAsia" w:cs="Open Sans SemiCondensed"/>
          <w:lang w:val="fr-CH"/>
        </w:rPr>
        <w:t>’</w:t>
      </w:r>
      <w:r w:rsidRPr="00B4721A">
        <w:rPr>
          <w:rFonts w:eastAsiaTheme="minorEastAsia" w:cs="Open Sans SemiCondensed"/>
          <w:lang w:val="fr-CH"/>
        </w:rPr>
        <w:t xml:space="preserve">inspirant du concept plus général de </w:t>
      </w:r>
      <w:r w:rsidR="00411C2D" w:rsidRPr="00B4721A">
        <w:rPr>
          <w:rFonts w:eastAsiaTheme="minorEastAsia" w:cs="Open Sans SemiCondensed"/>
          <w:i/>
          <w:lang w:val="fr-CH"/>
        </w:rPr>
        <w:t xml:space="preserve">Universal Design </w:t>
      </w:r>
      <w:r w:rsidR="00411C2D" w:rsidRPr="00B4721A">
        <w:rPr>
          <w:rFonts w:eastAsiaTheme="minorEastAsia" w:cs="Open Sans SemiCondensed"/>
          <w:iCs/>
          <w:lang w:val="fr-CH"/>
        </w:rPr>
        <w:t xml:space="preserve">(UD, </w:t>
      </w:r>
      <w:r w:rsidR="00AD0AE3" w:rsidRPr="00B4721A">
        <w:rPr>
          <w:rFonts w:eastAsiaTheme="minorEastAsia" w:cs="Open Sans SemiCondensed"/>
          <w:iCs/>
          <w:lang w:val="fr-CH"/>
        </w:rPr>
        <w:t>C</w:t>
      </w:r>
      <w:r w:rsidRPr="00B4721A">
        <w:rPr>
          <w:rFonts w:eastAsiaTheme="minorEastAsia" w:cs="Open Sans SemiCondensed"/>
          <w:lang w:val="fr-CH"/>
        </w:rPr>
        <w:t>onception universelle) (Meier-</w:t>
      </w:r>
      <w:proofErr w:type="spellStart"/>
      <w:r w:rsidRPr="00B4721A">
        <w:rPr>
          <w:rFonts w:eastAsiaTheme="minorEastAsia" w:cs="Open Sans SemiCondensed"/>
          <w:lang w:val="fr-CH"/>
        </w:rPr>
        <w:t>Popa</w:t>
      </w:r>
      <w:proofErr w:type="spellEnd"/>
      <w:r w:rsidRPr="00B4721A">
        <w:rPr>
          <w:rFonts w:eastAsiaTheme="minorEastAsia" w:cs="Open Sans SemiCondensed"/>
          <w:lang w:val="fr-CH"/>
        </w:rPr>
        <w:t xml:space="preserve"> &amp; Salamin, 2020). L</w:t>
      </w:r>
      <w:r w:rsidR="00F45D16">
        <w:rPr>
          <w:rFonts w:eastAsiaTheme="minorEastAsia" w:cs="Open Sans SemiCondensed"/>
          <w:lang w:val="fr-CH"/>
        </w:rPr>
        <w:t>’</w:t>
      </w:r>
      <w:r w:rsidRPr="00B4721A">
        <w:rPr>
          <w:rFonts w:eastAsiaTheme="minorEastAsia" w:cs="Open Sans SemiCondensed"/>
          <w:lang w:val="fr-CH"/>
        </w:rPr>
        <w:t>UD est défini dans la Convention relative aux droits des personnes handicapées (</w:t>
      </w:r>
      <w:r w:rsidR="00782F7F" w:rsidRPr="00B4721A">
        <w:rPr>
          <w:rFonts w:eastAsiaTheme="minorEastAsia" w:cs="Open Sans SemiCondensed"/>
          <w:lang w:val="fr-CH"/>
        </w:rPr>
        <w:t>ONU</w:t>
      </w:r>
      <w:r w:rsidR="00EA2896" w:rsidRPr="00B4721A">
        <w:rPr>
          <w:rFonts w:eastAsiaTheme="minorEastAsia" w:cs="Open Sans SemiCondensed"/>
          <w:lang w:val="fr-CH"/>
        </w:rPr>
        <w:t>, 2006</w:t>
      </w:r>
      <w:r w:rsidRPr="00B4721A">
        <w:rPr>
          <w:rFonts w:eastAsiaTheme="minorEastAsia" w:cs="Open Sans SemiCondensed"/>
          <w:lang w:val="fr-CH"/>
        </w:rPr>
        <w:t xml:space="preserve">) comme </w:t>
      </w:r>
      <w:r w:rsidR="003E130A" w:rsidRPr="00B4721A">
        <w:rPr>
          <w:rFonts w:eastAsiaTheme="minorEastAsia" w:cs="Open Sans SemiCondensed"/>
          <w:lang w:val="fr-CH"/>
        </w:rPr>
        <w:t>« </w:t>
      </w:r>
      <w:r w:rsidR="002F638A" w:rsidRPr="00B4721A">
        <w:rPr>
          <w:rFonts w:eastAsiaTheme="minorEastAsia" w:cs="Open Sans SemiCondensed"/>
          <w:lang w:val="fr-CH"/>
        </w:rPr>
        <w:t>la conception de produits, d’équipements, de programmes et de services qui puissent être utilisés par</w:t>
      </w:r>
      <w:r w:rsidR="001B363A" w:rsidRPr="00B4721A">
        <w:rPr>
          <w:rFonts w:eastAsiaTheme="minorEastAsia" w:cs="Open Sans SemiCondensed"/>
          <w:lang w:val="fr-CH"/>
        </w:rPr>
        <w:t xml:space="preserve"> [toutes et]</w:t>
      </w:r>
      <w:r w:rsidR="002F638A" w:rsidRPr="00B4721A">
        <w:rPr>
          <w:rFonts w:eastAsiaTheme="minorEastAsia" w:cs="Open Sans SemiCondensed"/>
          <w:lang w:val="fr-CH"/>
        </w:rPr>
        <w:t xml:space="preserve"> tous, dans toute la mesure possible, sans nécessiter ni adaptation ni conception spéciale </w:t>
      </w:r>
      <w:r w:rsidR="003E130A" w:rsidRPr="00B4721A">
        <w:rPr>
          <w:rFonts w:eastAsiaTheme="minorEastAsia" w:cs="Open Sans SemiCondensed"/>
          <w:lang w:val="fr-CH"/>
        </w:rPr>
        <w:t>»</w:t>
      </w:r>
      <w:r w:rsidRPr="00B4721A">
        <w:rPr>
          <w:rFonts w:eastAsiaTheme="minorEastAsia" w:cs="Open Sans SemiCondensed"/>
          <w:lang w:val="fr-CH"/>
        </w:rPr>
        <w:t xml:space="preserve"> (</w:t>
      </w:r>
      <w:r w:rsidR="00782F7F" w:rsidRPr="00B4721A">
        <w:rPr>
          <w:rFonts w:eastAsiaTheme="minorEastAsia" w:cs="Open Sans SemiCondensed"/>
          <w:lang w:val="fr-CH"/>
        </w:rPr>
        <w:t>ONU</w:t>
      </w:r>
      <w:r w:rsidRPr="00B4721A">
        <w:rPr>
          <w:rFonts w:eastAsiaTheme="minorEastAsia" w:cs="Open Sans SemiCondensed"/>
          <w:lang w:val="fr-CH"/>
        </w:rPr>
        <w:t>,</w:t>
      </w:r>
      <w:r w:rsidR="00EA2896" w:rsidRPr="00B4721A">
        <w:rPr>
          <w:rFonts w:eastAsiaTheme="minorEastAsia" w:cs="Open Sans SemiCondensed"/>
          <w:lang w:val="fr-CH"/>
        </w:rPr>
        <w:t xml:space="preserve"> 2006,</w:t>
      </w:r>
      <w:r w:rsidRPr="00B4721A">
        <w:rPr>
          <w:rFonts w:eastAsiaTheme="minorEastAsia" w:cs="Open Sans SemiCondensed"/>
          <w:lang w:val="fr-CH"/>
        </w:rPr>
        <w:t xml:space="preserve"> art.</w:t>
      </w:r>
      <w:r w:rsidR="00F45D16">
        <w:rPr>
          <w:rFonts w:eastAsiaTheme="minorEastAsia" w:cs="Open Sans SemiCondensed"/>
          <w:lang w:val="fr-CH"/>
        </w:rPr>
        <w:t> </w:t>
      </w:r>
      <w:r w:rsidRPr="00B4721A">
        <w:rPr>
          <w:rFonts w:eastAsiaTheme="minorEastAsia" w:cs="Open Sans SemiCondensed"/>
          <w:lang w:val="fr-CH"/>
        </w:rPr>
        <w:t>2). La conception de l</w:t>
      </w:r>
      <w:r w:rsidR="00F45D16">
        <w:rPr>
          <w:rFonts w:eastAsiaTheme="minorEastAsia" w:cs="Open Sans SemiCondensed"/>
          <w:lang w:val="fr-CH"/>
        </w:rPr>
        <w:t>’</w:t>
      </w:r>
      <w:r w:rsidRPr="00B4721A">
        <w:rPr>
          <w:rFonts w:eastAsiaTheme="minorEastAsia" w:cs="Open Sans SemiCondensed"/>
          <w:lang w:val="fr-CH"/>
        </w:rPr>
        <w:t>enseignement selon les principes de l</w:t>
      </w:r>
      <w:r w:rsidR="00F45D16">
        <w:rPr>
          <w:rFonts w:eastAsiaTheme="minorEastAsia" w:cs="Open Sans SemiCondensed"/>
          <w:lang w:val="fr-CH"/>
        </w:rPr>
        <w:t>’</w:t>
      </w:r>
      <w:r w:rsidRPr="00B4721A">
        <w:rPr>
          <w:rFonts w:eastAsiaTheme="minorEastAsia" w:cs="Open Sans SemiCondensed"/>
          <w:lang w:val="fr-CH"/>
        </w:rPr>
        <w:t>UDL contribue à réduire les barrières situationnelles dans l</w:t>
      </w:r>
      <w:r w:rsidR="00F45D16">
        <w:rPr>
          <w:rFonts w:eastAsiaTheme="minorEastAsia" w:cs="Open Sans SemiCondensed"/>
          <w:lang w:val="fr-CH"/>
        </w:rPr>
        <w:t>’</w:t>
      </w:r>
      <w:r w:rsidRPr="00B4721A">
        <w:rPr>
          <w:rFonts w:eastAsiaTheme="minorEastAsia" w:cs="Open Sans SemiCondensed"/>
          <w:lang w:val="fr-CH"/>
        </w:rPr>
        <w:t>enseignement. Pour cela, il est nécessaire</w:t>
      </w:r>
      <w:r w:rsidR="00F538D7" w:rsidRPr="00B4721A">
        <w:rPr>
          <w:rFonts w:eastAsiaTheme="minorEastAsia" w:cs="Open Sans SemiCondensed"/>
          <w:lang w:val="fr-CH"/>
        </w:rPr>
        <w:t>, entre autres,</w:t>
      </w:r>
      <w:r w:rsidRPr="00B4721A">
        <w:rPr>
          <w:rFonts w:eastAsiaTheme="minorEastAsia" w:cs="Open Sans SemiCondensed"/>
          <w:lang w:val="fr-CH"/>
        </w:rPr>
        <w:t xml:space="preserve"> de disposer de ressources d</w:t>
      </w:r>
      <w:r w:rsidR="00F45D16">
        <w:rPr>
          <w:rFonts w:eastAsiaTheme="minorEastAsia" w:cs="Open Sans SemiCondensed"/>
          <w:lang w:val="fr-CH"/>
        </w:rPr>
        <w:t>’</w:t>
      </w:r>
      <w:r w:rsidRPr="00B4721A">
        <w:rPr>
          <w:rFonts w:eastAsiaTheme="minorEastAsia" w:cs="Open Sans SemiCondensed"/>
          <w:lang w:val="fr-CH"/>
        </w:rPr>
        <w:t>enseignement et d</w:t>
      </w:r>
      <w:r w:rsidR="00F45D16">
        <w:rPr>
          <w:rFonts w:eastAsiaTheme="minorEastAsia" w:cs="Open Sans SemiCondensed"/>
          <w:lang w:val="fr-CH"/>
        </w:rPr>
        <w:t>’</w:t>
      </w:r>
      <w:r w:rsidRPr="00B4721A">
        <w:rPr>
          <w:rFonts w:eastAsiaTheme="minorEastAsia" w:cs="Open Sans SemiCondensed"/>
          <w:lang w:val="fr-CH"/>
        </w:rPr>
        <w:t xml:space="preserve">apprentissage numériques accessibles, adaptables et </w:t>
      </w:r>
      <w:r w:rsidRPr="00B4721A">
        <w:rPr>
          <w:rFonts w:eastAsiaTheme="minorEastAsia" w:cs="Open Sans SemiCondensed"/>
          <w:lang w:val="fr-CH"/>
        </w:rPr>
        <w:lastRenderedPageBreak/>
        <w:t>mises en réseau, qui soutiennent, si possible, les processus d</w:t>
      </w:r>
      <w:r w:rsidR="00F45D16">
        <w:rPr>
          <w:rFonts w:eastAsiaTheme="minorEastAsia" w:cs="Open Sans SemiCondensed"/>
          <w:lang w:val="fr-CH"/>
        </w:rPr>
        <w:t>’</w:t>
      </w:r>
      <w:r w:rsidRPr="00B4721A">
        <w:rPr>
          <w:rFonts w:eastAsiaTheme="minorEastAsia" w:cs="Open Sans SemiCondensed"/>
          <w:lang w:val="fr-CH"/>
        </w:rPr>
        <w:t>apprentissage de tous les enfants</w:t>
      </w:r>
      <w:r w:rsidR="00176314" w:rsidRPr="00B4721A">
        <w:rPr>
          <w:rFonts w:eastAsiaTheme="minorEastAsia" w:cs="Open Sans SemiCondensed"/>
          <w:lang w:val="fr-CH"/>
        </w:rPr>
        <w:t>,</w:t>
      </w:r>
      <w:r w:rsidRPr="00B4721A">
        <w:rPr>
          <w:rFonts w:eastAsiaTheme="minorEastAsia" w:cs="Open Sans SemiCondensed"/>
          <w:lang w:val="fr-CH"/>
        </w:rPr>
        <w:t xml:space="preserve"> adolescent</w:t>
      </w:r>
      <w:r w:rsidR="00176314" w:rsidRPr="00B4721A">
        <w:rPr>
          <w:rFonts w:eastAsiaTheme="minorEastAsia" w:cs="Open Sans SemiCondensed"/>
          <w:lang w:val="fr-CH"/>
        </w:rPr>
        <w:t>e</w:t>
      </w:r>
      <w:r w:rsidRPr="00B4721A">
        <w:rPr>
          <w:rFonts w:eastAsiaTheme="minorEastAsia" w:cs="Open Sans SemiCondensed"/>
          <w:lang w:val="fr-CH"/>
        </w:rPr>
        <w:t xml:space="preserve">s </w:t>
      </w:r>
      <w:r w:rsidR="00176314" w:rsidRPr="00B4721A">
        <w:rPr>
          <w:rFonts w:eastAsiaTheme="minorEastAsia" w:cs="Open Sans SemiCondensed"/>
          <w:lang w:val="fr-CH"/>
        </w:rPr>
        <w:t xml:space="preserve">et adolescentes </w:t>
      </w:r>
      <w:r w:rsidRPr="00B4721A">
        <w:rPr>
          <w:rFonts w:eastAsiaTheme="minorEastAsia" w:cs="Open Sans SemiCondensed"/>
          <w:lang w:val="fr-CH"/>
        </w:rPr>
        <w:t>(Lanners, 2020).</w:t>
      </w:r>
    </w:p>
    <w:p w14:paraId="3FA9C923" w14:textId="421E8243" w:rsidR="00C55662" w:rsidRPr="00B4721A" w:rsidRDefault="00C55662" w:rsidP="00B4721A">
      <w:pPr>
        <w:pStyle w:val="Corpsdetexte"/>
        <w:rPr>
          <w:rFonts w:eastAsiaTheme="minorEastAsia" w:cs="Open Sans SemiCondensed"/>
          <w:lang w:val="fr-CH"/>
        </w:rPr>
      </w:pPr>
      <w:r w:rsidRPr="00B4721A">
        <w:rPr>
          <w:rFonts w:eastAsiaTheme="minorEastAsia" w:cs="Open Sans SemiCondensed"/>
          <w:lang w:val="fr-CH"/>
        </w:rPr>
        <w:t>Le programme d</w:t>
      </w:r>
      <w:r w:rsidR="00F45D16">
        <w:rPr>
          <w:rFonts w:eastAsiaTheme="minorEastAsia" w:cs="Open Sans SemiCondensed"/>
          <w:lang w:val="fr-CH"/>
        </w:rPr>
        <w:t>’</w:t>
      </w:r>
      <w:r w:rsidRPr="00B4721A">
        <w:rPr>
          <w:rFonts w:eastAsiaTheme="minorEastAsia" w:cs="Open Sans SemiCondensed"/>
          <w:lang w:val="fr-CH"/>
        </w:rPr>
        <w:t>activité actuel 2021-2024 de la CDIP souligne le potentiel des médias numériques pour améliorer l</w:t>
      </w:r>
      <w:r w:rsidR="00F45D16">
        <w:rPr>
          <w:rFonts w:eastAsiaTheme="minorEastAsia" w:cs="Open Sans SemiCondensed"/>
          <w:lang w:val="fr-CH"/>
        </w:rPr>
        <w:t>’</w:t>
      </w:r>
      <w:r w:rsidRPr="00B4721A">
        <w:rPr>
          <w:rFonts w:eastAsiaTheme="minorEastAsia" w:cs="Open Sans SemiCondensed"/>
          <w:lang w:val="fr-CH"/>
        </w:rPr>
        <w:t>accès de tous les apprenant</w:t>
      </w:r>
      <w:r w:rsidR="008D11AB">
        <w:rPr>
          <w:rFonts w:eastAsiaTheme="minorEastAsia" w:cs="Open Sans SemiCondensed"/>
          <w:lang w:val="fr-CH"/>
        </w:rPr>
        <w:t>e</w:t>
      </w:r>
      <w:r w:rsidRPr="00B4721A">
        <w:rPr>
          <w:rFonts w:eastAsiaTheme="minorEastAsia" w:cs="Open Sans SemiCondensed"/>
          <w:lang w:val="fr-CH"/>
        </w:rPr>
        <w:t>s</w:t>
      </w:r>
      <w:r w:rsidR="001C42F8" w:rsidRPr="00B4721A">
        <w:rPr>
          <w:rFonts w:eastAsiaTheme="minorEastAsia" w:cs="Open Sans SemiCondensed"/>
          <w:lang w:val="fr-CH"/>
        </w:rPr>
        <w:t xml:space="preserve"> et apprenants</w:t>
      </w:r>
      <w:r w:rsidRPr="00B4721A">
        <w:rPr>
          <w:rFonts w:eastAsiaTheme="minorEastAsia" w:cs="Open Sans SemiCondensed"/>
          <w:lang w:val="fr-CH"/>
        </w:rPr>
        <w:t xml:space="preserve"> à la formation. L</w:t>
      </w:r>
      <w:r w:rsidR="001C42F8" w:rsidRPr="00B4721A">
        <w:rPr>
          <w:rFonts w:eastAsiaTheme="minorEastAsia" w:cs="Open Sans SemiCondensed"/>
          <w:lang w:val="fr-CH"/>
        </w:rPr>
        <w:t>’</w:t>
      </w:r>
      <w:r w:rsidRPr="00B4721A">
        <w:rPr>
          <w:rFonts w:eastAsiaTheme="minorEastAsia" w:cs="Open Sans SemiCondensed"/>
          <w:lang w:val="fr-CH"/>
        </w:rPr>
        <w:t>exploitation de ce potentiel permet de garantir les exigences d</w:t>
      </w:r>
      <w:r w:rsidR="001C42F8" w:rsidRPr="00B4721A">
        <w:rPr>
          <w:rFonts w:eastAsiaTheme="minorEastAsia" w:cs="Open Sans SemiCondensed"/>
          <w:lang w:val="fr-CH"/>
        </w:rPr>
        <w:t>’</w:t>
      </w:r>
      <w:r w:rsidRPr="00B4721A">
        <w:rPr>
          <w:rFonts w:eastAsiaTheme="minorEastAsia" w:cs="Open Sans SemiCondensed"/>
          <w:lang w:val="fr-CH"/>
        </w:rPr>
        <w:t>une éducation équitable, inclusive et de bonne qualité</w:t>
      </w:r>
      <w:r w:rsidR="001C42F8" w:rsidRPr="00B4721A">
        <w:rPr>
          <w:rFonts w:eastAsiaTheme="minorEastAsia" w:cs="Open Sans SemiCondensed"/>
          <w:lang w:val="fr-CH"/>
        </w:rPr>
        <w:t>,</w:t>
      </w:r>
      <w:r w:rsidRPr="00B4721A">
        <w:rPr>
          <w:rFonts w:eastAsiaTheme="minorEastAsia" w:cs="Open Sans SemiCondensed"/>
          <w:lang w:val="fr-CH"/>
        </w:rPr>
        <w:t xml:space="preserve"> ainsi que l</w:t>
      </w:r>
      <w:r w:rsidR="00F45D16">
        <w:rPr>
          <w:rFonts w:eastAsiaTheme="minorEastAsia" w:cs="Open Sans SemiCondensed"/>
          <w:lang w:val="fr-CH"/>
        </w:rPr>
        <w:t>’</w:t>
      </w:r>
      <w:r w:rsidRPr="00B4721A">
        <w:rPr>
          <w:rFonts w:eastAsiaTheme="minorEastAsia" w:cs="Open Sans SemiCondensed"/>
          <w:lang w:val="fr-CH"/>
        </w:rPr>
        <w:t>apprentissage tout au long de la vie pour tou</w:t>
      </w:r>
      <w:r w:rsidR="001C42F8" w:rsidRPr="00B4721A">
        <w:rPr>
          <w:rFonts w:eastAsiaTheme="minorEastAsia" w:cs="Open Sans SemiCondensed"/>
          <w:lang w:val="fr-CH"/>
        </w:rPr>
        <w:t>te</w:t>
      </w:r>
      <w:r w:rsidRPr="00B4721A">
        <w:rPr>
          <w:rFonts w:eastAsiaTheme="minorEastAsia" w:cs="Open Sans SemiCondensed"/>
          <w:lang w:val="fr-CH"/>
        </w:rPr>
        <w:t xml:space="preserve">s </w:t>
      </w:r>
      <w:r w:rsidR="001C42F8" w:rsidRPr="00B4721A">
        <w:rPr>
          <w:rFonts w:eastAsiaTheme="minorEastAsia" w:cs="Open Sans SemiCondensed"/>
          <w:lang w:val="fr-CH"/>
        </w:rPr>
        <w:t xml:space="preserve">et tous </w:t>
      </w:r>
      <w:r w:rsidR="00F45D16">
        <w:rPr>
          <w:rFonts w:eastAsiaTheme="minorEastAsia" w:cs="Open Sans SemiCondensed"/>
          <w:lang w:val="fr-CH"/>
        </w:rPr>
        <w:t xml:space="preserve">– </w:t>
      </w:r>
      <w:r w:rsidRPr="00B4721A">
        <w:rPr>
          <w:rFonts w:eastAsiaTheme="minorEastAsia" w:cs="Open Sans SemiCondensed"/>
          <w:lang w:val="fr-CH"/>
        </w:rPr>
        <w:t xml:space="preserve">comme le demande la stratégie de développement durable de la Confédération (Conseil fédéral, 2021). Le CSPS a reçu de la CDIP le mandat de </w:t>
      </w:r>
      <w:r w:rsidR="007E5E22" w:rsidRPr="00B4721A">
        <w:rPr>
          <w:rFonts w:eastAsiaTheme="minorEastAsia" w:cs="Open Sans SemiCondensed"/>
          <w:lang w:val="fr-CH"/>
        </w:rPr>
        <w:t>« </w:t>
      </w:r>
      <w:r w:rsidR="001D303D" w:rsidRPr="00B4721A">
        <w:rPr>
          <w:rFonts w:eastAsiaTheme="minorEastAsia" w:cs="Open Sans SemiCondensed"/>
          <w:lang w:val="fr-CH"/>
        </w:rPr>
        <w:t>clarifier et promouvoir l’accessibilité aux moyens d’enseignement et services numériques </w:t>
      </w:r>
      <w:r w:rsidR="007E5E22" w:rsidRPr="00B4721A">
        <w:rPr>
          <w:rFonts w:eastAsiaTheme="minorEastAsia" w:cs="Open Sans SemiCondensed"/>
          <w:lang w:val="fr-CH"/>
        </w:rPr>
        <w:t xml:space="preserve">», </w:t>
      </w:r>
      <w:r w:rsidRPr="00B4721A">
        <w:rPr>
          <w:rFonts w:eastAsiaTheme="minorEastAsia" w:cs="Open Sans SemiCondensed"/>
          <w:lang w:val="fr-CH"/>
        </w:rPr>
        <w:t>notamment en ce qui concerne les aspects de conception universelle (CDIP, 2022, p.</w:t>
      </w:r>
      <w:r w:rsidR="00191774">
        <w:rPr>
          <w:rFonts w:eastAsiaTheme="minorEastAsia" w:cs="Open Sans SemiCondensed"/>
          <w:lang w:val="fr-CH"/>
        </w:rPr>
        <w:t> </w:t>
      </w:r>
      <w:r w:rsidRPr="00B4721A">
        <w:rPr>
          <w:rFonts w:eastAsiaTheme="minorEastAsia" w:cs="Open Sans SemiCondensed"/>
          <w:lang w:val="fr-CH"/>
        </w:rPr>
        <w:t xml:space="preserve">13). </w:t>
      </w:r>
    </w:p>
    <w:p w14:paraId="6F9621D2" w14:textId="6F8B7314" w:rsidR="00C55662" w:rsidRPr="00B4721A" w:rsidRDefault="00C55662" w:rsidP="2A68C9A5">
      <w:pPr>
        <w:pStyle w:val="Corpsdetexte"/>
        <w:rPr>
          <w:rFonts w:eastAsiaTheme="minorEastAsia" w:cs="Open Sans SemiCondensed"/>
          <w:lang w:val="fr-CH"/>
        </w:rPr>
      </w:pPr>
      <w:r w:rsidRPr="2A68C9A5">
        <w:rPr>
          <w:rFonts w:eastAsiaTheme="minorEastAsia" w:cs="Open Sans SemiCondensed"/>
          <w:lang w:val="fr-CH"/>
        </w:rPr>
        <w:t>Le développement d</w:t>
      </w:r>
      <w:r w:rsidR="00F45D16">
        <w:rPr>
          <w:rFonts w:eastAsiaTheme="minorEastAsia" w:cs="Open Sans SemiCondensed"/>
          <w:lang w:val="fr-CH"/>
        </w:rPr>
        <w:t>’</w:t>
      </w:r>
      <w:r w:rsidRPr="2A68C9A5">
        <w:rPr>
          <w:rFonts w:eastAsiaTheme="minorEastAsia" w:cs="Open Sans SemiCondensed"/>
          <w:lang w:val="fr-CH"/>
        </w:rPr>
        <w:t>un matériel pédagogique est un processus complexe, de longue haleine et co</w:t>
      </w:r>
      <w:r w:rsidR="00E4441D">
        <w:rPr>
          <w:rFonts w:eastAsiaTheme="minorEastAsia" w:cs="Open Sans SemiCondensed"/>
          <w:lang w:val="fr-CH"/>
        </w:rPr>
        <w:t>u</w:t>
      </w:r>
      <w:r w:rsidRPr="2A68C9A5">
        <w:rPr>
          <w:rFonts w:eastAsiaTheme="minorEastAsia" w:cs="Open Sans SemiCondensed"/>
          <w:lang w:val="fr-CH"/>
        </w:rPr>
        <w:t xml:space="preserve">teux. Le </w:t>
      </w:r>
      <w:r w:rsidR="00320D7F" w:rsidRPr="2A68C9A5">
        <w:rPr>
          <w:rFonts w:eastAsiaTheme="minorEastAsia" w:cs="Open Sans SemiCondensed"/>
          <w:lang w:val="fr-CH"/>
        </w:rPr>
        <w:t xml:space="preserve">contenu produit </w:t>
      </w:r>
      <w:r w:rsidRPr="2A68C9A5">
        <w:rPr>
          <w:rFonts w:eastAsiaTheme="minorEastAsia" w:cs="Open Sans SemiCondensed"/>
          <w:lang w:val="fr-CH"/>
        </w:rPr>
        <w:t>doit répondre à des exigences élevées, qui découlent de ses multiples fonctions (</w:t>
      </w:r>
      <w:proofErr w:type="spellStart"/>
      <w:r w:rsidR="00F642FA" w:rsidRPr="00F14E7D">
        <w:rPr>
          <w:rFonts w:eastAsiaTheme="minorEastAsia" w:cs="Open Sans SemiCondensed"/>
          <w:lang w:val="fr-CH"/>
        </w:rPr>
        <w:t>Interkantonale</w:t>
      </w:r>
      <w:proofErr w:type="spellEnd"/>
      <w:r w:rsidR="00F642FA" w:rsidRPr="00F14E7D">
        <w:rPr>
          <w:rFonts w:eastAsiaTheme="minorEastAsia" w:cs="Open Sans SemiCondensed"/>
          <w:lang w:val="fr-CH"/>
        </w:rPr>
        <w:t xml:space="preserve"> </w:t>
      </w:r>
      <w:proofErr w:type="spellStart"/>
      <w:r w:rsidR="00F642FA" w:rsidRPr="00F14E7D">
        <w:rPr>
          <w:rFonts w:eastAsiaTheme="minorEastAsia" w:cs="Open Sans SemiCondensed"/>
          <w:lang w:val="fr-CH"/>
        </w:rPr>
        <w:t>Lehrmittelzentrale</w:t>
      </w:r>
      <w:proofErr w:type="spellEnd"/>
      <w:r w:rsidR="00F642FA" w:rsidRPr="00F14E7D">
        <w:rPr>
          <w:rFonts w:eastAsiaTheme="minorEastAsia" w:cs="Open Sans SemiCondensed"/>
          <w:lang w:val="fr-CH"/>
        </w:rPr>
        <w:t xml:space="preserve"> [</w:t>
      </w:r>
      <w:r w:rsidRPr="2A68C9A5">
        <w:rPr>
          <w:rFonts w:eastAsiaTheme="minorEastAsia" w:cs="Open Sans SemiCondensed"/>
          <w:lang w:val="fr-CH"/>
        </w:rPr>
        <w:t>ILZ</w:t>
      </w:r>
      <w:r w:rsidR="00F642FA" w:rsidRPr="2A68C9A5">
        <w:rPr>
          <w:rFonts w:eastAsiaTheme="minorEastAsia" w:cs="Open Sans SemiCondensed"/>
          <w:lang w:val="fr-CH"/>
        </w:rPr>
        <w:t>]</w:t>
      </w:r>
      <w:r w:rsidRPr="2A68C9A5">
        <w:rPr>
          <w:rFonts w:eastAsiaTheme="minorEastAsia" w:cs="Open Sans SemiCondensed"/>
          <w:lang w:val="fr-CH"/>
        </w:rPr>
        <w:t xml:space="preserve">, 2013). Le matériel pédagogique doit répondre à des exigences de qualité fondamentales, qui résultent des </w:t>
      </w:r>
      <w:r w:rsidR="00377028" w:rsidRPr="2A68C9A5">
        <w:rPr>
          <w:rFonts w:eastAsiaTheme="minorEastAsia" w:cs="Open Sans SemiCondensed"/>
          <w:lang w:val="fr-CH"/>
        </w:rPr>
        <w:t xml:space="preserve">attentes </w:t>
      </w:r>
      <w:r w:rsidRPr="2A68C9A5">
        <w:rPr>
          <w:rFonts w:eastAsiaTheme="minorEastAsia" w:cs="Open Sans SemiCondensed"/>
          <w:lang w:val="fr-CH"/>
        </w:rPr>
        <w:t>de</w:t>
      </w:r>
      <w:r w:rsidR="00377028" w:rsidRPr="2A68C9A5">
        <w:rPr>
          <w:rFonts w:eastAsiaTheme="minorEastAsia" w:cs="Open Sans SemiCondensed"/>
          <w:lang w:val="fr-CH"/>
        </w:rPr>
        <w:t>s</w:t>
      </w:r>
      <w:r w:rsidRPr="2A68C9A5">
        <w:rPr>
          <w:rFonts w:eastAsiaTheme="minorEastAsia" w:cs="Open Sans SemiCondensed"/>
          <w:lang w:val="fr-CH"/>
        </w:rPr>
        <w:t xml:space="preserve"> politique</w:t>
      </w:r>
      <w:r w:rsidR="00377028" w:rsidRPr="2A68C9A5">
        <w:rPr>
          <w:rFonts w:eastAsiaTheme="minorEastAsia" w:cs="Open Sans SemiCondensed"/>
          <w:lang w:val="fr-CH"/>
        </w:rPr>
        <w:t>s</w:t>
      </w:r>
      <w:r w:rsidRPr="2A68C9A5">
        <w:rPr>
          <w:rFonts w:eastAsiaTheme="minorEastAsia" w:cs="Open Sans SemiCondensed"/>
          <w:lang w:val="fr-CH"/>
        </w:rPr>
        <w:t xml:space="preserve"> sociale</w:t>
      </w:r>
      <w:r w:rsidR="00377028" w:rsidRPr="2A68C9A5">
        <w:rPr>
          <w:rFonts w:eastAsiaTheme="minorEastAsia" w:cs="Open Sans SemiCondensed"/>
          <w:lang w:val="fr-CH"/>
        </w:rPr>
        <w:t>s</w:t>
      </w:r>
      <w:r w:rsidRPr="2A68C9A5">
        <w:rPr>
          <w:rFonts w:eastAsiaTheme="minorEastAsia" w:cs="Open Sans SemiCondensed"/>
          <w:lang w:val="fr-CH"/>
        </w:rPr>
        <w:t xml:space="preserve"> et éducative</w:t>
      </w:r>
      <w:r w:rsidR="00377028" w:rsidRPr="2A68C9A5">
        <w:rPr>
          <w:rFonts w:eastAsiaTheme="minorEastAsia" w:cs="Open Sans SemiCondensed"/>
          <w:lang w:val="fr-CH"/>
        </w:rPr>
        <w:t>s</w:t>
      </w:r>
      <w:r w:rsidRPr="2A68C9A5">
        <w:rPr>
          <w:rFonts w:eastAsiaTheme="minorEastAsia" w:cs="Open Sans SemiCondensed"/>
          <w:lang w:val="fr-CH"/>
        </w:rPr>
        <w:t xml:space="preserve">. Le fait </w:t>
      </w:r>
      <w:r w:rsidR="004E3ABE" w:rsidRPr="2A68C9A5">
        <w:rPr>
          <w:rFonts w:eastAsiaTheme="minorEastAsia" w:cs="Open Sans SemiCondensed"/>
          <w:lang w:val="fr-CH"/>
        </w:rPr>
        <w:t xml:space="preserve">de demander </w:t>
      </w:r>
      <w:r w:rsidRPr="2A68C9A5">
        <w:rPr>
          <w:rFonts w:eastAsiaTheme="minorEastAsia" w:cs="Open Sans SemiCondensed"/>
          <w:lang w:val="fr-CH"/>
        </w:rPr>
        <w:t>que le matériel pédagogique numérique soit conçu de manière universelle est une exigence de qualité supplémentaire qui repose également sur des dispositions légales supérieures (</w:t>
      </w:r>
      <w:r w:rsidR="005D218D" w:rsidRPr="2A68C9A5">
        <w:rPr>
          <w:rFonts w:eastAsiaTheme="minorEastAsia" w:cs="Open Sans SemiCondensed"/>
          <w:lang w:val="fr-CH"/>
        </w:rPr>
        <w:t>p.</w:t>
      </w:r>
      <w:r w:rsidR="00462AC8" w:rsidRPr="2A68C9A5">
        <w:rPr>
          <w:rFonts w:eastAsiaTheme="minorEastAsia" w:cs="Open Sans SemiCondensed"/>
          <w:lang w:val="fr-CH"/>
        </w:rPr>
        <w:t> </w:t>
      </w:r>
      <w:r w:rsidR="005D218D" w:rsidRPr="2A68C9A5">
        <w:rPr>
          <w:rFonts w:eastAsiaTheme="minorEastAsia" w:cs="Open Sans SemiCondensed"/>
          <w:lang w:val="fr-CH"/>
        </w:rPr>
        <w:t>ex.,</w:t>
      </w:r>
      <w:r w:rsidR="00715F15" w:rsidRPr="2A68C9A5">
        <w:rPr>
          <w:rFonts w:eastAsiaTheme="minorEastAsia" w:cs="Open Sans SemiCondensed"/>
          <w:lang w:val="fr-CH"/>
        </w:rPr>
        <w:t xml:space="preserve"> </w:t>
      </w:r>
      <w:r w:rsidRPr="2A68C9A5">
        <w:rPr>
          <w:rFonts w:eastAsiaTheme="minorEastAsia" w:cs="Open Sans SemiCondensed"/>
          <w:lang w:val="fr-CH"/>
        </w:rPr>
        <w:t xml:space="preserve">la </w:t>
      </w:r>
      <w:r w:rsidR="00BF7E9F" w:rsidRPr="2A68C9A5">
        <w:rPr>
          <w:rFonts w:eastAsiaTheme="minorEastAsia" w:cs="Open Sans SemiCondensed"/>
          <w:lang w:val="fr-CH"/>
        </w:rPr>
        <w:t>CDPH</w:t>
      </w:r>
      <w:r w:rsidRPr="2A68C9A5">
        <w:rPr>
          <w:rFonts w:eastAsiaTheme="minorEastAsia" w:cs="Open Sans SemiCondensed"/>
          <w:lang w:val="fr-CH"/>
        </w:rPr>
        <w:t>). La mise en œuvre de cette exigence de qualité n</w:t>
      </w:r>
      <w:r w:rsidR="00F45D16">
        <w:rPr>
          <w:rFonts w:eastAsiaTheme="minorEastAsia" w:cs="Open Sans SemiCondensed"/>
          <w:lang w:val="fr-CH"/>
        </w:rPr>
        <w:t>’</w:t>
      </w:r>
      <w:r w:rsidRPr="2A68C9A5">
        <w:rPr>
          <w:rFonts w:eastAsiaTheme="minorEastAsia" w:cs="Open Sans SemiCondensed"/>
          <w:lang w:val="fr-CH"/>
        </w:rPr>
        <w:t>en est toutefois qu</w:t>
      </w:r>
      <w:r w:rsidR="00F45D16">
        <w:rPr>
          <w:rFonts w:eastAsiaTheme="minorEastAsia" w:cs="Open Sans SemiCondensed"/>
          <w:lang w:val="fr-CH"/>
        </w:rPr>
        <w:t>’</w:t>
      </w:r>
      <w:r w:rsidRPr="2A68C9A5">
        <w:rPr>
          <w:rFonts w:eastAsiaTheme="minorEastAsia" w:cs="Open Sans SemiCondensed"/>
          <w:lang w:val="fr-CH"/>
        </w:rPr>
        <w:t>à ses débuts, car les compétences, les normes et les exemples de bonnes pratiques font encore défaut dans ce domaine. Une difficulté réside également dans le nombre et la diversité des parties prenantes pour le développement et l</w:t>
      </w:r>
      <w:r w:rsidR="00F45D16">
        <w:rPr>
          <w:rFonts w:eastAsiaTheme="minorEastAsia" w:cs="Open Sans SemiCondensed"/>
          <w:lang w:val="fr-CH"/>
        </w:rPr>
        <w:t>’</w:t>
      </w:r>
      <w:r w:rsidRPr="2A68C9A5">
        <w:rPr>
          <w:rFonts w:eastAsiaTheme="minorEastAsia" w:cs="Open Sans SemiCondensed"/>
          <w:lang w:val="fr-CH"/>
        </w:rPr>
        <w:t>utilisation du matériel pédagogique. De plus, l</w:t>
      </w:r>
      <w:r w:rsidR="00F45D16">
        <w:rPr>
          <w:rFonts w:eastAsiaTheme="minorEastAsia" w:cs="Open Sans SemiCondensed"/>
          <w:lang w:val="fr-CH"/>
        </w:rPr>
        <w:t>’</w:t>
      </w:r>
      <w:r w:rsidRPr="2A68C9A5">
        <w:rPr>
          <w:rFonts w:eastAsiaTheme="minorEastAsia" w:cs="Open Sans SemiCondensed"/>
          <w:lang w:val="fr-CH"/>
        </w:rPr>
        <w:t>utilisation de ces outils pédagogiques dans la pratique dépend de l</w:t>
      </w:r>
      <w:r w:rsidR="00F45D16">
        <w:rPr>
          <w:rFonts w:eastAsiaTheme="minorEastAsia" w:cs="Open Sans SemiCondensed"/>
          <w:lang w:val="fr-CH"/>
        </w:rPr>
        <w:t>’</w:t>
      </w:r>
      <w:r w:rsidRPr="2A68C9A5">
        <w:rPr>
          <w:rFonts w:eastAsiaTheme="minorEastAsia" w:cs="Open Sans SemiCondensed"/>
          <w:lang w:val="fr-CH"/>
        </w:rPr>
        <w:t>infrastructure technique des écoles et des compétences numériques d</w:t>
      </w:r>
      <w:r w:rsidR="0069446D" w:rsidRPr="2A68C9A5">
        <w:rPr>
          <w:rFonts w:eastAsiaTheme="minorEastAsia" w:cs="Open Sans SemiCondensed"/>
          <w:lang w:val="fr-CH"/>
        </w:rPr>
        <w:t xml:space="preserve">u personnel </w:t>
      </w:r>
      <w:r w:rsidRPr="2A68C9A5">
        <w:rPr>
          <w:rFonts w:eastAsiaTheme="minorEastAsia" w:cs="Open Sans SemiCondensed"/>
          <w:lang w:val="fr-CH"/>
        </w:rPr>
        <w:t>enseignant, des</w:t>
      </w:r>
      <w:r w:rsidR="7AC1EBA2" w:rsidRPr="2A68C9A5">
        <w:rPr>
          <w:rFonts w:eastAsiaTheme="minorEastAsia" w:cs="Open Sans SemiCondensed"/>
          <w:lang w:val="fr-CH"/>
        </w:rPr>
        <w:t xml:space="preserve"> apprenantes et apprenant</w:t>
      </w:r>
      <w:r w:rsidR="00E4441D">
        <w:rPr>
          <w:rFonts w:eastAsiaTheme="minorEastAsia" w:cs="Open Sans SemiCondensed"/>
          <w:lang w:val="fr-CH"/>
        </w:rPr>
        <w:t>s</w:t>
      </w:r>
      <w:r w:rsidR="7AC1EBA2" w:rsidRPr="2A68C9A5">
        <w:rPr>
          <w:rFonts w:eastAsiaTheme="minorEastAsia" w:cs="Open Sans SemiCondensed"/>
          <w:lang w:val="fr-CH"/>
        </w:rPr>
        <w:t xml:space="preserve">, ainsi que </w:t>
      </w:r>
      <w:r w:rsidRPr="2A68C9A5">
        <w:rPr>
          <w:rFonts w:eastAsiaTheme="minorEastAsia" w:cs="Open Sans SemiCondensed"/>
          <w:lang w:val="fr-CH"/>
        </w:rPr>
        <w:t xml:space="preserve">des directions </w:t>
      </w:r>
      <w:r w:rsidR="00C15972" w:rsidRPr="2A68C9A5">
        <w:rPr>
          <w:rFonts w:eastAsiaTheme="minorEastAsia" w:cs="Open Sans SemiCondensed"/>
          <w:lang w:val="fr-CH"/>
        </w:rPr>
        <w:t>d’établissement</w:t>
      </w:r>
      <w:r w:rsidRPr="2A68C9A5">
        <w:rPr>
          <w:rFonts w:eastAsiaTheme="minorEastAsia" w:cs="Open Sans SemiCondensed"/>
          <w:lang w:val="fr-CH"/>
        </w:rPr>
        <w:t xml:space="preserve">. </w:t>
      </w:r>
    </w:p>
    <w:p w14:paraId="18785D50" w14:textId="025B1B2F" w:rsidR="00704FFB" w:rsidRPr="00B4721A" w:rsidRDefault="00704FFB" w:rsidP="00B4721A">
      <w:pPr>
        <w:pStyle w:val="Titre1"/>
        <w:rPr>
          <w:rFonts w:eastAsiaTheme="minorEastAsia"/>
          <w:lang w:val="fr-CH"/>
        </w:rPr>
      </w:pPr>
      <w:r w:rsidRPr="00B4721A">
        <w:rPr>
          <w:rFonts w:eastAsiaTheme="minorEastAsia"/>
          <w:lang w:val="fr-CH"/>
        </w:rPr>
        <w:t>Campagne de sensibilisation du CSPS</w:t>
      </w:r>
    </w:p>
    <w:p w14:paraId="6D9C7AE2" w14:textId="23DF4A58" w:rsidR="00C55662" w:rsidRPr="00B4721A" w:rsidRDefault="00C55662" w:rsidP="00B4721A">
      <w:pPr>
        <w:pStyle w:val="Corpsdetexte"/>
        <w:rPr>
          <w:rFonts w:eastAsiaTheme="minorEastAsia" w:cs="Open Sans SemiCondensed"/>
          <w:lang w:val="fr-CH"/>
        </w:rPr>
      </w:pPr>
      <w:r w:rsidRPr="00B4721A">
        <w:rPr>
          <w:rFonts w:eastAsiaTheme="minorEastAsia" w:cs="Open Sans SemiCondensed"/>
          <w:lang w:val="fr-CH"/>
        </w:rPr>
        <w:t>La campagne de sensibilisation du CSPS vise en premier lieu six parties prenantes clés impliquées dans le développement et l</w:t>
      </w:r>
      <w:r w:rsidR="00387ACA">
        <w:rPr>
          <w:rFonts w:eastAsiaTheme="minorEastAsia" w:cs="Open Sans SemiCondensed"/>
          <w:lang w:val="fr-CH"/>
        </w:rPr>
        <w:t>’</w:t>
      </w:r>
      <w:r w:rsidRPr="00B4721A">
        <w:rPr>
          <w:rFonts w:eastAsiaTheme="minorEastAsia" w:cs="Open Sans SemiCondensed"/>
          <w:lang w:val="fr-CH"/>
        </w:rPr>
        <w:t>utilisation des outils pédagogiques</w:t>
      </w:r>
      <w:r w:rsidR="001711DF">
        <w:rPr>
          <w:rFonts w:eastAsiaTheme="minorEastAsia" w:cs="Open Sans SemiCondensed"/>
          <w:lang w:val="fr-CH"/>
        </w:rPr>
        <w:t> </w:t>
      </w:r>
      <w:r w:rsidRPr="00B4721A">
        <w:rPr>
          <w:rFonts w:eastAsiaTheme="minorEastAsia" w:cs="Open Sans SemiCondensed"/>
          <w:lang w:val="fr-CH"/>
        </w:rPr>
        <w:t xml:space="preserve">: </w:t>
      </w:r>
    </w:p>
    <w:p w14:paraId="27232B36" w14:textId="08CAEE51" w:rsidR="00C55662" w:rsidRPr="00B4721A" w:rsidRDefault="00FD4E6B" w:rsidP="00B4721A">
      <w:pPr>
        <w:pStyle w:val="Liste"/>
        <w:rPr>
          <w:rFonts w:eastAsiaTheme="minorEastAsia" w:cs="Open Sans SemiCondensed"/>
          <w:lang w:val="fr-CH"/>
        </w:rPr>
      </w:pPr>
      <w:proofErr w:type="gramStart"/>
      <w:r w:rsidRPr="00B4721A">
        <w:rPr>
          <w:rFonts w:eastAsiaTheme="minorEastAsia" w:cs="Open Sans SemiCondensed"/>
          <w:lang w:val="fr-CH"/>
        </w:rPr>
        <w:t>les</w:t>
      </w:r>
      <w:proofErr w:type="gramEnd"/>
      <w:r w:rsidRPr="00B4721A">
        <w:rPr>
          <w:rFonts w:eastAsiaTheme="minorEastAsia" w:cs="Open Sans SemiCondensed"/>
          <w:lang w:val="fr-CH"/>
        </w:rPr>
        <w:t xml:space="preserve"> </w:t>
      </w:r>
      <w:r w:rsidR="00AA5F40" w:rsidRPr="00B4721A">
        <w:rPr>
          <w:rFonts w:eastAsiaTheme="minorEastAsia" w:cs="Open Sans SemiCondensed"/>
          <w:lang w:val="fr-CH"/>
        </w:rPr>
        <w:t xml:space="preserve">responsables </w:t>
      </w:r>
      <w:r w:rsidR="00C55662" w:rsidRPr="00B4721A">
        <w:rPr>
          <w:rFonts w:eastAsiaTheme="minorEastAsia" w:cs="Open Sans SemiCondensed"/>
          <w:lang w:val="fr-CH"/>
        </w:rPr>
        <w:t>de l</w:t>
      </w:r>
      <w:r w:rsidR="00387ACA">
        <w:rPr>
          <w:rFonts w:eastAsiaTheme="minorEastAsia" w:cs="Open Sans SemiCondensed"/>
          <w:lang w:val="fr-CH"/>
        </w:rPr>
        <w:t>’</w:t>
      </w:r>
      <w:r w:rsidR="00C55662" w:rsidRPr="00B4721A">
        <w:rPr>
          <w:rFonts w:eastAsiaTheme="minorEastAsia" w:cs="Open Sans SemiCondensed"/>
          <w:lang w:val="fr-CH"/>
        </w:rPr>
        <w:t>éducation</w:t>
      </w:r>
      <w:r w:rsidRPr="00B4721A">
        <w:rPr>
          <w:rFonts w:eastAsiaTheme="minorEastAsia" w:cs="Open Sans SemiCondensed"/>
          <w:lang w:val="fr-CH"/>
        </w:rPr>
        <w:t> ;</w:t>
      </w:r>
    </w:p>
    <w:p w14:paraId="0B3D7AE1" w14:textId="2CDCD857" w:rsidR="00C55662" w:rsidRPr="00B4721A" w:rsidRDefault="00F025F7" w:rsidP="00B4721A">
      <w:pPr>
        <w:pStyle w:val="Liste"/>
        <w:rPr>
          <w:rFonts w:eastAsiaTheme="minorEastAsia" w:cs="Open Sans SemiCondensed"/>
          <w:lang w:val="fr-CH"/>
        </w:rPr>
      </w:pPr>
      <w:proofErr w:type="gramStart"/>
      <w:r w:rsidRPr="00B4721A">
        <w:rPr>
          <w:rFonts w:eastAsiaTheme="minorEastAsia" w:cs="Open Sans SemiCondensed"/>
          <w:lang w:val="fr-CH"/>
        </w:rPr>
        <w:t>les</w:t>
      </w:r>
      <w:proofErr w:type="gramEnd"/>
      <w:r w:rsidRPr="00B4721A">
        <w:rPr>
          <w:rFonts w:eastAsiaTheme="minorEastAsia" w:cs="Open Sans SemiCondensed"/>
          <w:lang w:val="fr-CH"/>
        </w:rPr>
        <w:t xml:space="preserve"> </w:t>
      </w:r>
      <w:r w:rsidR="00705786" w:rsidRPr="00B4721A">
        <w:rPr>
          <w:rFonts w:eastAsiaTheme="minorEastAsia" w:cs="Open Sans SemiCondensed"/>
          <w:lang w:val="fr-CH"/>
        </w:rPr>
        <w:t xml:space="preserve">maisons d’édition </w:t>
      </w:r>
      <w:r w:rsidR="00C55662" w:rsidRPr="00B4721A">
        <w:rPr>
          <w:rFonts w:eastAsiaTheme="minorEastAsia" w:cs="Open Sans SemiCondensed"/>
          <w:lang w:val="fr-CH"/>
        </w:rPr>
        <w:t>de matériel pédagogique</w:t>
      </w:r>
      <w:r w:rsidR="00FD4E6B" w:rsidRPr="00B4721A">
        <w:rPr>
          <w:rFonts w:eastAsiaTheme="minorEastAsia" w:cs="Open Sans SemiCondensed"/>
          <w:lang w:val="fr-CH"/>
        </w:rPr>
        <w:t> ;</w:t>
      </w:r>
    </w:p>
    <w:p w14:paraId="509FCF6C" w14:textId="2EE94403" w:rsidR="00C55662" w:rsidRPr="00B4721A" w:rsidRDefault="00F025F7" w:rsidP="00B4721A">
      <w:pPr>
        <w:pStyle w:val="Liste"/>
        <w:rPr>
          <w:rFonts w:eastAsiaTheme="minorEastAsia" w:cs="Open Sans SemiCondensed"/>
          <w:lang w:val="fr-CH"/>
        </w:rPr>
      </w:pPr>
      <w:proofErr w:type="gramStart"/>
      <w:r w:rsidRPr="00B4721A">
        <w:rPr>
          <w:rFonts w:eastAsiaTheme="minorEastAsia" w:cs="Open Sans SemiCondensed"/>
          <w:lang w:val="fr-CH"/>
        </w:rPr>
        <w:t>les</w:t>
      </w:r>
      <w:proofErr w:type="gramEnd"/>
      <w:r w:rsidRPr="00B4721A">
        <w:rPr>
          <w:rFonts w:eastAsiaTheme="minorEastAsia" w:cs="Open Sans SemiCondensed"/>
          <w:lang w:val="fr-CH"/>
        </w:rPr>
        <w:t xml:space="preserve"> </w:t>
      </w:r>
      <w:r w:rsidR="00C55662" w:rsidRPr="00B4721A">
        <w:rPr>
          <w:rFonts w:eastAsiaTheme="minorEastAsia" w:cs="Open Sans SemiCondensed"/>
          <w:lang w:val="fr-CH"/>
        </w:rPr>
        <w:t>spécialistes de la didactique</w:t>
      </w:r>
      <w:r w:rsidR="00A62145">
        <w:rPr>
          <w:rFonts w:eastAsiaTheme="minorEastAsia" w:cs="Open Sans SemiCondensed"/>
          <w:lang w:val="fr-CH"/>
        </w:rPr>
        <w:t> ;</w:t>
      </w:r>
    </w:p>
    <w:p w14:paraId="1DE5393B" w14:textId="6FB05851" w:rsidR="00C55662" w:rsidRPr="00B4721A" w:rsidRDefault="00435029" w:rsidP="00B4721A">
      <w:pPr>
        <w:pStyle w:val="Liste"/>
        <w:rPr>
          <w:rFonts w:eastAsiaTheme="minorEastAsia" w:cs="Open Sans SemiCondensed"/>
          <w:lang w:val="fr-CH"/>
        </w:rPr>
      </w:pPr>
      <w:proofErr w:type="gramStart"/>
      <w:r w:rsidRPr="00B4721A">
        <w:rPr>
          <w:rFonts w:eastAsiaTheme="minorEastAsia" w:cs="Open Sans SemiCondensed"/>
          <w:lang w:val="fr-CH"/>
        </w:rPr>
        <w:t>les</w:t>
      </w:r>
      <w:proofErr w:type="gramEnd"/>
      <w:r w:rsidRPr="00B4721A">
        <w:rPr>
          <w:rFonts w:eastAsiaTheme="minorEastAsia" w:cs="Open Sans SemiCondensed"/>
          <w:lang w:val="fr-CH"/>
        </w:rPr>
        <w:t xml:space="preserve"> </w:t>
      </w:r>
      <w:r w:rsidR="00C55662" w:rsidRPr="00B4721A">
        <w:rPr>
          <w:rFonts w:eastAsiaTheme="minorEastAsia" w:cs="Open Sans SemiCondensed"/>
          <w:lang w:val="fr-CH"/>
        </w:rPr>
        <w:t>spécialistes de l</w:t>
      </w:r>
      <w:r w:rsidR="00387ACA">
        <w:rPr>
          <w:rFonts w:eastAsiaTheme="minorEastAsia" w:cs="Open Sans SemiCondensed"/>
          <w:lang w:val="fr-CH"/>
        </w:rPr>
        <w:t>’</w:t>
      </w:r>
      <w:r w:rsidR="00C55662" w:rsidRPr="00B4721A">
        <w:rPr>
          <w:rFonts w:eastAsiaTheme="minorEastAsia" w:cs="Open Sans SemiCondensed"/>
          <w:lang w:val="fr-CH"/>
        </w:rPr>
        <w:t>informatique</w:t>
      </w:r>
      <w:r w:rsidR="00FD4E6B" w:rsidRPr="00B4721A">
        <w:rPr>
          <w:rFonts w:eastAsiaTheme="minorEastAsia" w:cs="Open Sans SemiCondensed"/>
          <w:lang w:val="fr-CH"/>
        </w:rPr>
        <w:t> ;</w:t>
      </w:r>
    </w:p>
    <w:p w14:paraId="7DD13B7C" w14:textId="63C090E3" w:rsidR="00C55662" w:rsidRPr="00B4721A" w:rsidRDefault="00FD4E6B" w:rsidP="00B4721A">
      <w:pPr>
        <w:pStyle w:val="Liste"/>
        <w:rPr>
          <w:rFonts w:eastAsiaTheme="minorEastAsia" w:cs="Open Sans SemiCondensed"/>
          <w:lang w:val="fr-CH"/>
        </w:rPr>
      </w:pPr>
      <w:proofErr w:type="gramStart"/>
      <w:r w:rsidRPr="00B4721A">
        <w:rPr>
          <w:rFonts w:eastAsiaTheme="minorEastAsia" w:cs="Open Sans SemiCondensed"/>
          <w:lang w:val="fr-CH"/>
        </w:rPr>
        <w:t>le</w:t>
      </w:r>
      <w:proofErr w:type="gramEnd"/>
      <w:r w:rsidRPr="00B4721A">
        <w:rPr>
          <w:rFonts w:eastAsiaTheme="minorEastAsia" w:cs="Open Sans SemiCondensed"/>
          <w:lang w:val="fr-CH"/>
        </w:rPr>
        <w:t xml:space="preserve"> </w:t>
      </w:r>
      <w:r w:rsidR="00C55662" w:rsidRPr="00B4721A">
        <w:rPr>
          <w:rFonts w:eastAsiaTheme="minorEastAsia" w:cs="Open Sans SemiCondensed"/>
          <w:lang w:val="fr-CH"/>
        </w:rPr>
        <w:t>personnel enseignant</w:t>
      </w:r>
      <w:r w:rsidRPr="00B4721A">
        <w:rPr>
          <w:rFonts w:eastAsiaTheme="minorEastAsia" w:cs="Open Sans SemiCondensed"/>
          <w:lang w:val="fr-CH"/>
        </w:rPr>
        <w:t> ;</w:t>
      </w:r>
    </w:p>
    <w:p w14:paraId="5EE406F2" w14:textId="1C58C8F5" w:rsidR="00C55662" w:rsidRPr="00B4721A" w:rsidRDefault="00FD4E6B" w:rsidP="00B4721A">
      <w:pPr>
        <w:pStyle w:val="Liste"/>
        <w:rPr>
          <w:rFonts w:eastAsiaTheme="minorEastAsia" w:cs="Open Sans SemiCondensed"/>
          <w:lang w:val="fr-CH"/>
        </w:rPr>
      </w:pPr>
      <w:proofErr w:type="gramStart"/>
      <w:r w:rsidRPr="00B4721A">
        <w:rPr>
          <w:rFonts w:eastAsiaTheme="minorEastAsia" w:cs="Open Sans SemiCondensed"/>
          <w:lang w:val="fr-CH"/>
        </w:rPr>
        <w:t>les</w:t>
      </w:r>
      <w:proofErr w:type="gramEnd"/>
      <w:r w:rsidRPr="00B4721A">
        <w:rPr>
          <w:rFonts w:eastAsiaTheme="minorEastAsia" w:cs="Open Sans SemiCondensed"/>
          <w:lang w:val="fr-CH"/>
        </w:rPr>
        <w:t xml:space="preserve"> </w:t>
      </w:r>
      <w:r w:rsidR="00C55662" w:rsidRPr="00B4721A">
        <w:rPr>
          <w:rFonts w:eastAsiaTheme="minorEastAsia" w:cs="Open Sans SemiCondensed"/>
          <w:lang w:val="fr-CH"/>
        </w:rPr>
        <w:t xml:space="preserve">institutions de formation des enseignants. </w:t>
      </w:r>
    </w:p>
    <w:p w14:paraId="6CEB5857" w14:textId="746314ED" w:rsidR="00C55662" w:rsidRPr="00B4721A" w:rsidRDefault="00C55662" w:rsidP="00B4721A">
      <w:pPr>
        <w:pStyle w:val="Corpsdetexte"/>
        <w:rPr>
          <w:rFonts w:eastAsiaTheme="minorEastAsia" w:cs="Open Sans SemiCondensed"/>
          <w:lang w:val="fr-CH"/>
        </w:rPr>
      </w:pPr>
      <w:r w:rsidRPr="00B4721A">
        <w:rPr>
          <w:rFonts w:eastAsiaTheme="minorEastAsia" w:cs="Open Sans SemiCondensed"/>
          <w:lang w:val="fr-CH"/>
        </w:rPr>
        <w:t xml:space="preserve">Dans un premier temps, le CSPS a élaboré des </w:t>
      </w:r>
      <w:proofErr w:type="spellStart"/>
      <w:r w:rsidR="00D12AA0" w:rsidRPr="00B4721A">
        <w:rPr>
          <w:rFonts w:eastAsiaTheme="minorEastAsia" w:cs="Open Sans SemiCondensed"/>
          <w:i/>
          <w:iCs/>
          <w:lang w:val="fr-CH"/>
        </w:rPr>
        <w:t>C</w:t>
      </w:r>
      <w:r w:rsidR="00EB63F2" w:rsidRPr="00B4721A">
        <w:rPr>
          <w:rFonts w:eastAsiaTheme="minorEastAsia" w:cs="Open Sans SemiCondensed"/>
          <w:i/>
          <w:iCs/>
          <w:lang w:val="fr-CH"/>
        </w:rPr>
        <w:t>heat</w:t>
      </w:r>
      <w:proofErr w:type="spellEnd"/>
      <w:r w:rsidR="00D12AA0" w:rsidRPr="00B4721A">
        <w:rPr>
          <w:rFonts w:eastAsiaTheme="minorEastAsia" w:cs="Open Sans SemiCondensed"/>
          <w:i/>
          <w:iCs/>
          <w:lang w:val="fr-CH"/>
        </w:rPr>
        <w:t xml:space="preserve"> S</w:t>
      </w:r>
      <w:r w:rsidR="00EB63F2" w:rsidRPr="00B4721A">
        <w:rPr>
          <w:rFonts w:eastAsiaTheme="minorEastAsia" w:cs="Open Sans SemiCondensed"/>
          <w:i/>
          <w:iCs/>
          <w:lang w:val="fr-CH"/>
        </w:rPr>
        <w:t xml:space="preserve">heets </w:t>
      </w:r>
      <w:r w:rsidR="00EB63F2" w:rsidRPr="00B4721A">
        <w:rPr>
          <w:rFonts w:eastAsiaTheme="minorEastAsia" w:cs="Open Sans SemiCondensed"/>
          <w:lang w:val="fr-CH"/>
        </w:rPr>
        <w:t>(</w:t>
      </w:r>
      <w:r w:rsidRPr="00B4721A">
        <w:rPr>
          <w:rFonts w:eastAsiaTheme="minorEastAsia" w:cs="Open Sans SemiCondensed"/>
          <w:lang w:val="fr-CH"/>
        </w:rPr>
        <w:t xml:space="preserve">antisèches) </w:t>
      </w:r>
      <w:r w:rsidR="0056580A" w:rsidRPr="00B4721A">
        <w:rPr>
          <w:rFonts w:eastAsiaTheme="minorEastAsia" w:cs="Open Sans SemiCondensed"/>
          <w:lang w:val="fr-CH"/>
        </w:rPr>
        <w:t xml:space="preserve">concises </w:t>
      </w:r>
      <w:r w:rsidR="00627315" w:rsidRPr="00B4721A">
        <w:rPr>
          <w:rFonts w:eastAsiaTheme="minorEastAsia" w:cs="Open Sans SemiCondensed"/>
          <w:lang w:val="fr-CH"/>
        </w:rPr>
        <w:t>destinées aux</w:t>
      </w:r>
      <w:r w:rsidRPr="00B4721A">
        <w:rPr>
          <w:rFonts w:eastAsiaTheme="minorEastAsia" w:cs="Open Sans SemiCondensed"/>
          <w:lang w:val="fr-CH"/>
        </w:rPr>
        <w:t xml:space="preserve"> parties prenantes. Elles présentent brièvement la situation problématique</w:t>
      </w:r>
      <w:r w:rsidR="00417833" w:rsidRPr="00B4721A">
        <w:rPr>
          <w:rFonts w:eastAsiaTheme="minorEastAsia" w:cs="Open Sans SemiCondensed"/>
          <w:lang w:val="fr-CH"/>
        </w:rPr>
        <w:t xml:space="preserve">, à savoir </w:t>
      </w:r>
      <w:r w:rsidRPr="00B4721A">
        <w:rPr>
          <w:rFonts w:eastAsiaTheme="minorEastAsia" w:cs="Open Sans SemiCondensed"/>
          <w:lang w:val="fr-CH"/>
        </w:rPr>
        <w:t>des moyens d</w:t>
      </w:r>
      <w:r w:rsidR="00387ACA">
        <w:rPr>
          <w:rFonts w:eastAsiaTheme="minorEastAsia" w:cs="Open Sans SemiCondensed"/>
          <w:lang w:val="fr-CH"/>
        </w:rPr>
        <w:t>’</w:t>
      </w:r>
      <w:r w:rsidRPr="00B4721A">
        <w:rPr>
          <w:rFonts w:eastAsiaTheme="minorEastAsia" w:cs="Open Sans SemiCondensed"/>
          <w:lang w:val="fr-CH"/>
        </w:rPr>
        <w:t>enseignement qui ne peuvent être utilisés par tous les apprenant</w:t>
      </w:r>
      <w:r w:rsidR="00417833" w:rsidRPr="00B4721A">
        <w:rPr>
          <w:rFonts w:eastAsiaTheme="minorEastAsia" w:cs="Open Sans SemiCondensed"/>
          <w:lang w:val="fr-CH"/>
        </w:rPr>
        <w:t>e</w:t>
      </w:r>
      <w:r w:rsidRPr="00B4721A">
        <w:rPr>
          <w:rFonts w:eastAsiaTheme="minorEastAsia" w:cs="Open Sans SemiCondensed"/>
          <w:lang w:val="fr-CH"/>
        </w:rPr>
        <w:t xml:space="preserve">s </w:t>
      </w:r>
      <w:r w:rsidR="00417833" w:rsidRPr="00B4721A">
        <w:rPr>
          <w:rFonts w:eastAsiaTheme="minorEastAsia" w:cs="Open Sans SemiCondensed"/>
          <w:lang w:val="fr-CH"/>
        </w:rPr>
        <w:t xml:space="preserve">et apprenants </w:t>
      </w:r>
      <w:r w:rsidRPr="00B4721A">
        <w:rPr>
          <w:rFonts w:eastAsiaTheme="minorEastAsia" w:cs="Open Sans SemiCondensed"/>
          <w:lang w:val="fr-CH"/>
        </w:rPr>
        <w:t>qu</w:t>
      </w:r>
      <w:r w:rsidR="00387ACA">
        <w:rPr>
          <w:rFonts w:eastAsiaTheme="minorEastAsia" w:cs="Open Sans SemiCondensed"/>
          <w:lang w:val="fr-CH"/>
        </w:rPr>
        <w:t>’</w:t>
      </w:r>
      <w:r w:rsidRPr="00B4721A">
        <w:rPr>
          <w:rFonts w:eastAsiaTheme="minorEastAsia" w:cs="Open Sans SemiCondensed"/>
          <w:lang w:val="fr-CH"/>
        </w:rPr>
        <w:t xml:space="preserve">au prix </w:t>
      </w:r>
      <w:r w:rsidR="00D84269" w:rsidRPr="00B4721A">
        <w:rPr>
          <w:rFonts w:eastAsiaTheme="minorEastAsia" w:cs="Open Sans SemiCondensed"/>
          <w:lang w:val="fr-CH"/>
        </w:rPr>
        <w:t>d’adaptation nécessitant u</w:t>
      </w:r>
      <w:r w:rsidRPr="00B4721A">
        <w:rPr>
          <w:rFonts w:eastAsiaTheme="minorEastAsia" w:cs="Open Sans SemiCondensed"/>
          <w:lang w:val="fr-CH"/>
        </w:rPr>
        <w:t xml:space="preserve">n investissement </w:t>
      </w:r>
      <w:r w:rsidR="00D84269" w:rsidRPr="00B4721A">
        <w:rPr>
          <w:rFonts w:eastAsiaTheme="minorEastAsia" w:cs="Open Sans SemiCondensed"/>
          <w:lang w:val="fr-CH"/>
        </w:rPr>
        <w:t xml:space="preserve">de </w:t>
      </w:r>
      <w:r w:rsidR="00F26B71" w:rsidRPr="00B4721A">
        <w:rPr>
          <w:rFonts w:eastAsiaTheme="minorEastAsia" w:cs="Open Sans SemiCondensed"/>
          <w:lang w:val="fr-CH"/>
        </w:rPr>
        <w:t>ressources conséquentes</w:t>
      </w:r>
      <w:r w:rsidRPr="00B4721A">
        <w:rPr>
          <w:rFonts w:eastAsiaTheme="minorEastAsia" w:cs="Open Sans SemiCondensed"/>
          <w:lang w:val="fr-CH"/>
        </w:rPr>
        <w:t>. Il s</w:t>
      </w:r>
      <w:r w:rsidR="00387ACA">
        <w:rPr>
          <w:rFonts w:eastAsiaTheme="minorEastAsia" w:cs="Open Sans SemiCondensed"/>
          <w:lang w:val="fr-CH"/>
        </w:rPr>
        <w:t>’</w:t>
      </w:r>
      <w:r w:rsidRPr="00B4721A">
        <w:rPr>
          <w:rFonts w:eastAsiaTheme="minorEastAsia" w:cs="Open Sans SemiCondensed"/>
          <w:lang w:val="fr-CH"/>
        </w:rPr>
        <w:t xml:space="preserve">ensuit la solution de base </w:t>
      </w:r>
      <w:r w:rsidR="00387ACA">
        <w:rPr>
          <w:rFonts w:eastAsiaTheme="minorEastAsia" w:cs="Open Sans SemiCondensed"/>
          <w:lang w:val="fr-CH"/>
        </w:rPr>
        <w:t xml:space="preserve">– </w:t>
      </w:r>
      <w:r w:rsidRPr="00B4721A">
        <w:rPr>
          <w:rFonts w:eastAsiaTheme="minorEastAsia" w:cs="Open Sans SemiCondensed"/>
          <w:lang w:val="fr-CH"/>
        </w:rPr>
        <w:t>à savoir que les ressources d</w:t>
      </w:r>
      <w:r w:rsidR="00387ACA">
        <w:rPr>
          <w:rFonts w:eastAsiaTheme="minorEastAsia" w:cs="Open Sans SemiCondensed"/>
          <w:lang w:val="fr-CH"/>
        </w:rPr>
        <w:t>’</w:t>
      </w:r>
      <w:r w:rsidRPr="00B4721A">
        <w:rPr>
          <w:rFonts w:eastAsiaTheme="minorEastAsia" w:cs="Open Sans SemiCondensed"/>
          <w:lang w:val="fr-CH"/>
        </w:rPr>
        <w:t>enseignement et d</w:t>
      </w:r>
      <w:r w:rsidR="00387ACA">
        <w:rPr>
          <w:rFonts w:eastAsiaTheme="minorEastAsia" w:cs="Open Sans SemiCondensed"/>
          <w:lang w:val="fr-CH"/>
        </w:rPr>
        <w:t>’</w:t>
      </w:r>
      <w:r w:rsidRPr="00B4721A">
        <w:rPr>
          <w:rFonts w:eastAsiaTheme="minorEastAsia" w:cs="Open Sans SemiCondensed"/>
          <w:lang w:val="fr-CH"/>
        </w:rPr>
        <w:t>apprentissage soient perceptibles (</w:t>
      </w:r>
      <w:proofErr w:type="spellStart"/>
      <w:r w:rsidRPr="00B4721A">
        <w:rPr>
          <w:rFonts w:eastAsiaTheme="minorEastAsia" w:cs="Open Sans SemiCondensed"/>
          <w:i/>
          <w:iCs/>
          <w:lang w:val="fr-CH"/>
        </w:rPr>
        <w:t>perceivable</w:t>
      </w:r>
      <w:proofErr w:type="spellEnd"/>
      <w:r w:rsidRPr="00B4721A">
        <w:rPr>
          <w:rFonts w:eastAsiaTheme="minorEastAsia" w:cs="Open Sans SemiCondensed"/>
          <w:lang w:val="fr-CH"/>
        </w:rPr>
        <w:t>), utilisables (</w:t>
      </w:r>
      <w:proofErr w:type="spellStart"/>
      <w:r w:rsidRPr="00B4721A">
        <w:rPr>
          <w:rFonts w:eastAsiaTheme="minorEastAsia" w:cs="Open Sans SemiCondensed"/>
          <w:i/>
          <w:iCs/>
          <w:lang w:val="fr-CH"/>
        </w:rPr>
        <w:t>operable</w:t>
      </w:r>
      <w:proofErr w:type="spellEnd"/>
      <w:r w:rsidRPr="00B4721A">
        <w:rPr>
          <w:rFonts w:eastAsiaTheme="minorEastAsia" w:cs="Open Sans SemiCondensed"/>
          <w:lang w:val="fr-CH"/>
        </w:rPr>
        <w:t>), compréhensibles (</w:t>
      </w:r>
      <w:proofErr w:type="spellStart"/>
      <w:r w:rsidRPr="00B4721A">
        <w:rPr>
          <w:rFonts w:eastAsiaTheme="minorEastAsia" w:cs="Open Sans SemiCondensed"/>
          <w:i/>
          <w:iCs/>
          <w:lang w:val="fr-CH"/>
        </w:rPr>
        <w:t>understandable</w:t>
      </w:r>
      <w:proofErr w:type="spellEnd"/>
      <w:r w:rsidRPr="00B4721A">
        <w:rPr>
          <w:rFonts w:eastAsiaTheme="minorEastAsia" w:cs="Open Sans SemiCondensed"/>
          <w:lang w:val="fr-CH"/>
        </w:rPr>
        <w:t>) et robustes (</w:t>
      </w:r>
      <w:proofErr w:type="spellStart"/>
      <w:r w:rsidRPr="00B4721A">
        <w:rPr>
          <w:rFonts w:eastAsiaTheme="minorEastAsia" w:cs="Open Sans SemiCondensed"/>
          <w:i/>
          <w:iCs/>
          <w:lang w:val="fr-CH"/>
        </w:rPr>
        <w:t>robust</w:t>
      </w:r>
      <w:proofErr w:type="spellEnd"/>
      <w:r w:rsidRPr="00B4721A">
        <w:rPr>
          <w:rFonts w:eastAsiaTheme="minorEastAsia" w:cs="Open Sans SemiCondensed"/>
          <w:lang w:val="fr-CH"/>
        </w:rPr>
        <w:t>)</w:t>
      </w:r>
      <w:r w:rsidR="00387ACA">
        <w:rPr>
          <w:rFonts w:eastAsiaTheme="minorEastAsia" w:cs="Open Sans SemiCondensed"/>
          <w:lang w:val="fr-CH"/>
        </w:rPr>
        <w:t xml:space="preserve"> –</w:t>
      </w:r>
      <w:r w:rsidRPr="00B4721A">
        <w:rPr>
          <w:rFonts w:eastAsiaTheme="minorEastAsia" w:cs="Open Sans SemiCondensed"/>
          <w:lang w:val="fr-CH"/>
        </w:rPr>
        <w:t xml:space="preserve"> conformément aux quatre principes du </w:t>
      </w:r>
      <w:r w:rsidRPr="00B4721A">
        <w:rPr>
          <w:rFonts w:eastAsiaTheme="minorEastAsia" w:cs="Open Sans SemiCondensed"/>
          <w:i/>
          <w:lang w:val="fr-CH"/>
        </w:rPr>
        <w:t xml:space="preserve">Web Content </w:t>
      </w:r>
      <w:proofErr w:type="spellStart"/>
      <w:r w:rsidRPr="00B4721A">
        <w:rPr>
          <w:rFonts w:eastAsiaTheme="minorEastAsia" w:cs="Open Sans SemiCondensed"/>
          <w:i/>
          <w:lang w:val="fr-CH"/>
        </w:rPr>
        <w:t>Accessibility</w:t>
      </w:r>
      <w:proofErr w:type="spellEnd"/>
      <w:r w:rsidRPr="00B4721A">
        <w:rPr>
          <w:rFonts w:eastAsiaTheme="minorEastAsia" w:cs="Open Sans SemiCondensed"/>
          <w:i/>
          <w:lang w:val="fr-CH"/>
        </w:rPr>
        <w:t xml:space="preserve"> Guide</w:t>
      </w:r>
      <w:r w:rsidR="008817FA" w:rsidRPr="00B4721A">
        <w:rPr>
          <w:rFonts w:eastAsiaTheme="minorEastAsia" w:cs="Open Sans SemiCondensed"/>
          <w:i/>
          <w:lang w:val="fr-CH"/>
        </w:rPr>
        <w:t>lines</w:t>
      </w:r>
      <w:r w:rsidRPr="00B4721A">
        <w:rPr>
          <w:rFonts w:eastAsiaTheme="minorEastAsia" w:cs="Open Sans SemiCondensed"/>
          <w:lang w:val="fr-CH"/>
        </w:rPr>
        <w:t xml:space="preserve"> (WCAG</w:t>
      </w:r>
      <w:r w:rsidR="006B399B" w:rsidRPr="00B4721A">
        <w:rPr>
          <w:rFonts w:eastAsiaTheme="minorEastAsia" w:cs="Open Sans SemiCondensed"/>
          <w:lang w:val="fr-CH"/>
        </w:rPr>
        <w:t xml:space="preserve">, </w:t>
      </w:r>
      <w:r w:rsidR="008817FA" w:rsidRPr="00B4721A">
        <w:rPr>
          <w:rFonts w:eastAsiaTheme="minorEastAsia" w:cs="Open Sans SemiCondensed"/>
          <w:lang w:val="fr-CH"/>
        </w:rPr>
        <w:t>Règles</w:t>
      </w:r>
      <w:r w:rsidR="006B399B" w:rsidRPr="00B4721A">
        <w:rPr>
          <w:rFonts w:eastAsiaTheme="minorEastAsia" w:cs="Open Sans SemiCondensed"/>
          <w:lang w:val="fr-CH"/>
        </w:rPr>
        <w:t xml:space="preserve"> </w:t>
      </w:r>
      <w:r w:rsidR="00D60940" w:rsidRPr="00B4721A">
        <w:rPr>
          <w:rFonts w:eastAsiaTheme="minorEastAsia" w:cs="Open Sans SemiCondensed"/>
          <w:lang w:val="fr-CH"/>
        </w:rPr>
        <w:t>pour l’</w:t>
      </w:r>
      <w:r w:rsidR="006B399B" w:rsidRPr="00B4721A">
        <w:rPr>
          <w:rFonts w:eastAsiaTheme="minorEastAsia" w:cs="Open Sans SemiCondensed"/>
          <w:lang w:val="fr-CH"/>
        </w:rPr>
        <w:t>accessibilité d</w:t>
      </w:r>
      <w:r w:rsidR="00D60940" w:rsidRPr="00B4721A">
        <w:rPr>
          <w:rFonts w:eastAsiaTheme="minorEastAsia" w:cs="Open Sans SemiCondensed"/>
          <w:lang w:val="fr-CH"/>
        </w:rPr>
        <w:t>es</w:t>
      </w:r>
      <w:r w:rsidR="006B399B" w:rsidRPr="00B4721A">
        <w:rPr>
          <w:rFonts w:eastAsiaTheme="minorEastAsia" w:cs="Open Sans SemiCondensed"/>
          <w:lang w:val="fr-CH"/>
        </w:rPr>
        <w:t xml:space="preserve"> contenu</w:t>
      </w:r>
      <w:r w:rsidR="00D60940" w:rsidRPr="00B4721A">
        <w:rPr>
          <w:rFonts w:eastAsiaTheme="minorEastAsia" w:cs="Open Sans SemiCondensed"/>
          <w:lang w:val="fr-CH"/>
        </w:rPr>
        <w:t>s</w:t>
      </w:r>
      <w:r w:rsidR="006B399B" w:rsidRPr="00B4721A">
        <w:rPr>
          <w:rFonts w:eastAsiaTheme="minorEastAsia" w:cs="Open Sans SemiCondensed"/>
          <w:lang w:val="fr-CH"/>
        </w:rPr>
        <w:t xml:space="preserve"> </w:t>
      </w:r>
      <w:r w:rsidR="00D60940" w:rsidRPr="00B4721A">
        <w:rPr>
          <w:rFonts w:eastAsiaTheme="minorEastAsia" w:cs="Open Sans SemiCondensed"/>
          <w:lang w:val="fr-CH"/>
        </w:rPr>
        <w:t>W</w:t>
      </w:r>
      <w:r w:rsidR="006B399B" w:rsidRPr="00B4721A">
        <w:rPr>
          <w:rFonts w:eastAsiaTheme="minorEastAsia" w:cs="Open Sans SemiCondensed"/>
          <w:lang w:val="fr-CH"/>
        </w:rPr>
        <w:t>eb)</w:t>
      </w:r>
      <w:r w:rsidR="00293CB4" w:rsidRPr="00B4721A">
        <w:rPr>
          <w:rStyle w:val="Appelnotedebasdep"/>
          <w:rFonts w:eastAsiaTheme="minorEastAsia" w:cs="Open Sans SemiCondensed"/>
          <w:lang w:val="fr-CH"/>
        </w:rPr>
        <w:footnoteReference w:id="3"/>
      </w:r>
      <w:r w:rsidRPr="00B4721A">
        <w:rPr>
          <w:rFonts w:eastAsiaTheme="minorEastAsia" w:cs="Open Sans SemiCondensed"/>
          <w:lang w:val="fr-CH"/>
        </w:rPr>
        <w:t xml:space="preserve">. En outre, chaque </w:t>
      </w:r>
      <w:proofErr w:type="spellStart"/>
      <w:r w:rsidR="00DF1271" w:rsidRPr="00B4721A">
        <w:rPr>
          <w:rFonts w:eastAsiaTheme="minorEastAsia" w:cs="Open Sans SemiCondensed"/>
          <w:i/>
          <w:iCs/>
          <w:lang w:val="fr-CH"/>
        </w:rPr>
        <w:t>Cheat</w:t>
      </w:r>
      <w:proofErr w:type="spellEnd"/>
      <w:r w:rsidR="00DF1271" w:rsidRPr="00B4721A">
        <w:rPr>
          <w:rFonts w:eastAsiaTheme="minorEastAsia" w:cs="Open Sans SemiCondensed"/>
          <w:i/>
          <w:iCs/>
          <w:lang w:val="fr-CH"/>
        </w:rPr>
        <w:t xml:space="preserve"> Sheets </w:t>
      </w:r>
      <w:r w:rsidRPr="00B4721A">
        <w:rPr>
          <w:rFonts w:eastAsiaTheme="minorEastAsia" w:cs="Open Sans SemiCondensed"/>
          <w:lang w:val="fr-CH"/>
        </w:rPr>
        <w:t xml:space="preserve">contient des recommandations spécifiques qui aident à développer des outils pédagogiques numériques adaptables et accessibles. </w:t>
      </w:r>
    </w:p>
    <w:p w14:paraId="0272B195" w14:textId="1E82C51F" w:rsidR="0013310A" w:rsidRPr="00B4721A" w:rsidRDefault="00C55662" w:rsidP="00B4721A">
      <w:pPr>
        <w:pStyle w:val="Corpsdetexte"/>
        <w:rPr>
          <w:rFonts w:eastAsiaTheme="minorEastAsia" w:cs="Open Sans SemiCondensed"/>
          <w:lang w:val="fr-CH"/>
        </w:rPr>
      </w:pPr>
      <w:r w:rsidRPr="00B4721A">
        <w:rPr>
          <w:rFonts w:eastAsiaTheme="minorEastAsia" w:cs="Open Sans SemiCondensed"/>
          <w:lang w:val="fr-CH"/>
        </w:rPr>
        <w:t xml:space="preserve">Dans une deuxième étape, des </w:t>
      </w:r>
      <w:r w:rsidR="0071724C">
        <w:rPr>
          <w:rFonts w:eastAsiaTheme="minorEastAsia" w:cs="Open Sans SemiCondensed"/>
          <w:lang w:val="fr-CH"/>
        </w:rPr>
        <w:t xml:space="preserve">représentantes et </w:t>
      </w:r>
      <w:r w:rsidRPr="00B4721A">
        <w:rPr>
          <w:rFonts w:eastAsiaTheme="minorEastAsia" w:cs="Open Sans SemiCondensed"/>
          <w:lang w:val="fr-CH"/>
        </w:rPr>
        <w:t>représentants des six parties prenantes ont été impliqués en septembre</w:t>
      </w:r>
      <w:r w:rsidR="00387ACA">
        <w:rPr>
          <w:rFonts w:eastAsiaTheme="minorEastAsia" w:cs="Open Sans SemiCondensed"/>
          <w:lang w:val="fr-CH"/>
        </w:rPr>
        <w:t> </w:t>
      </w:r>
      <w:r w:rsidRPr="00B4721A">
        <w:rPr>
          <w:rFonts w:eastAsiaTheme="minorEastAsia" w:cs="Open Sans SemiCondensed"/>
          <w:lang w:val="fr-CH"/>
        </w:rPr>
        <w:t xml:space="preserve">2022. La prochaine étape </w:t>
      </w:r>
      <w:r w:rsidR="00DB29A4" w:rsidRPr="00B4721A">
        <w:rPr>
          <w:rFonts w:eastAsiaTheme="minorEastAsia" w:cs="Open Sans SemiCondensed"/>
          <w:lang w:val="fr-CH"/>
        </w:rPr>
        <w:t xml:space="preserve">consiste en </w:t>
      </w:r>
      <w:r w:rsidRPr="00B4721A">
        <w:rPr>
          <w:rFonts w:eastAsiaTheme="minorEastAsia" w:cs="Open Sans SemiCondensed"/>
          <w:lang w:val="fr-CH"/>
        </w:rPr>
        <w:t>une large consultation, qui s</w:t>
      </w:r>
      <w:r w:rsidR="00387ACA">
        <w:rPr>
          <w:rFonts w:eastAsiaTheme="minorEastAsia" w:cs="Open Sans SemiCondensed"/>
          <w:lang w:val="fr-CH"/>
        </w:rPr>
        <w:t>’</w:t>
      </w:r>
      <w:r w:rsidRPr="00B4721A">
        <w:rPr>
          <w:rFonts w:eastAsiaTheme="minorEastAsia" w:cs="Open Sans SemiCondensed"/>
          <w:lang w:val="fr-CH"/>
        </w:rPr>
        <w:t xml:space="preserve">adresse entre autres aux </w:t>
      </w:r>
      <w:r w:rsidR="00DB29A4" w:rsidRPr="00B4721A">
        <w:rPr>
          <w:rFonts w:eastAsiaTheme="minorEastAsia" w:cs="Open Sans SemiCondensed"/>
          <w:lang w:val="fr-CH"/>
        </w:rPr>
        <w:t xml:space="preserve">apprenantes et </w:t>
      </w:r>
      <w:r w:rsidRPr="00B4721A">
        <w:rPr>
          <w:rFonts w:eastAsiaTheme="minorEastAsia" w:cs="Open Sans SemiCondensed"/>
          <w:lang w:val="fr-CH"/>
        </w:rPr>
        <w:t>apprenants concernés</w:t>
      </w:r>
      <w:r w:rsidR="00846925" w:rsidRPr="00B4721A">
        <w:rPr>
          <w:rFonts w:eastAsiaTheme="minorEastAsia" w:cs="Open Sans SemiCondensed"/>
          <w:lang w:val="fr-CH"/>
        </w:rPr>
        <w:t>,</w:t>
      </w:r>
      <w:r w:rsidRPr="00B4721A">
        <w:rPr>
          <w:rFonts w:eastAsiaTheme="minorEastAsia" w:cs="Open Sans SemiCondensed"/>
          <w:lang w:val="fr-CH"/>
        </w:rPr>
        <w:t xml:space="preserve"> ayant des besoins éducatifs particuliers ou en situation de handicap. Les </w:t>
      </w:r>
      <w:proofErr w:type="spellStart"/>
      <w:r w:rsidR="00846925" w:rsidRPr="00B4721A">
        <w:rPr>
          <w:rFonts w:eastAsiaTheme="minorEastAsia" w:cs="Open Sans SemiCondensed"/>
          <w:i/>
          <w:iCs/>
          <w:lang w:val="fr-CH"/>
        </w:rPr>
        <w:t>Cheat</w:t>
      </w:r>
      <w:proofErr w:type="spellEnd"/>
      <w:r w:rsidR="00846925" w:rsidRPr="00B4721A">
        <w:rPr>
          <w:rFonts w:eastAsiaTheme="minorEastAsia" w:cs="Open Sans SemiCondensed"/>
          <w:i/>
          <w:iCs/>
          <w:lang w:val="fr-CH"/>
        </w:rPr>
        <w:t xml:space="preserve"> Sheets </w:t>
      </w:r>
      <w:r w:rsidRPr="00B4721A">
        <w:rPr>
          <w:rFonts w:eastAsiaTheme="minorEastAsia" w:cs="Open Sans SemiCondensed"/>
          <w:lang w:val="fr-CH"/>
        </w:rPr>
        <w:t>seront ensuite publiées sur le site web du CSPS à l</w:t>
      </w:r>
      <w:r w:rsidR="00387ACA">
        <w:rPr>
          <w:rFonts w:eastAsiaTheme="minorEastAsia" w:cs="Open Sans SemiCondensed"/>
          <w:lang w:val="fr-CH"/>
        </w:rPr>
        <w:t>’</w:t>
      </w:r>
      <w:r w:rsidRPr="00B4721A">
        <w:rPr>
          <w:rFonts w:eastAsiaTheme="minorEastAsia" w:cs="Open Sans SemiCondensed"/>
          <w:lang w:val="fr-CH"/>
        </w:rPr>
        <w:t>automne</w:t>
      </w:r>
      <w:r w:rsidR="00387ACA">
        <w:rPr>
          <w:rFonts w:eastAsiaTheme="minorEastAsia" w:cs="Open Sans SemiCondensed"/>
          <w:lang w:val="fr-CH"/>
        </w:rPr>
        <w:t> </w:t>
      </w:r>
      <w:r w:rsidRPr="00B4721A">
        <w:rPr>
          <w:rFonts w:eastAsiaTheme="minorEastAsia" w:cs="Open Sans SemiCondensed"/>
          <w:lang w:val="fr-CH"/>
        </w:rPr>
        <w:t xml:space="preserve">2023. </w:t>
      </w:r>
    </w:p>
    <w:p w14:paraId="6FC34C65" w14:textId="1CF4A7B4" w:rsidR="006E260B" w:rsidRPr="00B4721A" w:rsidRDefault="001A4056" w:rsidP="00B4721A">
      <w:pPr>
        <w:pStyle w:val="Titre1"/>
        <w:rPr>
          <w:rFonts w:eastAsiaTheme="minorEastAsia"/>
          <w:lang w:val="fr-CH"/>
        </w:rPr>
      </w:pPr>
      <w:r w:rsidRPr="00B4721A">
        <w:rPr>
          <w:rFonts w:eastAsiaTheme="minorEastAsia"/>
          <w:lang w:val="fr-CH"/>
        </w:rPr>
        <w:lastRenderedPageBreak/>
        <w:t>Autrice et auteurs</w:t>
      </w:r>
    </w:p>
    <w:tbl>
      <w:tblPr>
        <w:tblStyle w:val="Grilledutableau"/>
        <w:tblW w:w="507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09"/>
        <w:gridCol w:w="2550"/>
        <w:gridCol w:w="2128"/>
      </w:tblGrid>
      <w:tr w:rsidR="00854166" w:rsidRPr="00B4721A" w14:paraId="675A057E" w14:textId="44D71115" w:rsidTr="009A5784">
        <w:tc>
          <w:tcPr>
            <w:tcW w:w="1154" w:type="pct"/>
            <w:vAlign w:val="center"/>
          </w:tcPr>
          <w:p w14:paraId="3256B228" w14:textId="4DC32D13" w:rsidR="00261370" w:rsidRPr="00230ABC" w:rsidRDefault="00A133CC" w:rsidP="00230ABC">
            <w:pPr>
              <w:pStyle w:val="Corpsdetexte3"/>
            </w:pPr>
            <w:r w:rsidRPr="00230ABC">
              <w:rPr>
                <w:noProof/>
              </w:rPr>
              <w:drawing>
                <wp:inline distT="0" distB="0" distL="0" distR="0" wp14:anchorId="5A70A9FA" wp14:editId="07DF178A">
                  <wp:extent cx="827669" cy="1080000"/>
                  <wp:effectExtent l="0" t="0" r="0" b="6350"/>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7669" cy="1080000"/>
                          </a:xfrm>
                          <a:prstGeom prst="rect">
                            <a:avLst/>
                          </a:prstGeom>
                          <a:noFill/>
                          <a:ln>
                            <a:noFill/>
                          </a:ln>
                        </pic:spPr>
                      </pic:pic>
                    </a:graphicData>
                  </a:graphic>
                </wp:inline>
              </w:drawing>
            </w:r>
          </w:p>
        </w:tc>
        <w:tc>
          <w:tcPr>
            <w:tcW w:w="1307" w:type="pct"/>
            <w:vAlign w:val="center"/>
          </w:tcPr>
          <w:p w14:paraId="42FD7EEC" w14:textId="7403194A" w:rsidR="00261370" w:rsidRPr="00230ABC" w:rsidRDefault="00A133CC" w:rsidP="00230ABC">
            <w:pPr>
              <w:pStyle w:val="Corpsdetexte3"/>
            </w:pPr>
            <w:r w:rsidRPr="00230ABC">
              <w:rPr>
                <w:noProof/>
              </w:rPr>
              <w:drawing>
                <wp:inline distT="0" distB="0" distL="0" distR="0" wp14:anchorId="784BA0D8" wp14:editId="1496AB01">
                  <wp:extent cx="852043" cy="1080000"/>
                  <wp:effectExtent l="0" t="0" r="5715" b="6350"/>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2043" cy="1080000"/>
                          </a:xfrm>
                          <a:prstGeom prst="rect">
                            <a:avLst/>
                          </a:prstGeom>
                          <a:noFill/>
                          <a:ln>
                            <a:noFill/>
                          </a:ln>
                        </pic:spPr>
                      </pic:pic>
                    </a:graphicData>
                  </a:graphic>
                </wp:inline>
              </w:drawing>
            </w:r>
          </w:p>
        </w:tc>
        <w:tc>
          <w:tcPr>
            <w:tcW w:w="1384" w:type="pct"/>
            <w:vAlign w:val="center"/>
          </w:tcPr>
          <w:p w14:paraId="11FB0E23" w14:textId="66C8E78E" w:rsidR="00261370" w:rsidRPr="00230ABC" w:rsidRDefault="00BC4C02" w:rsidP="00230ABC">
            <w:pPr>
              <w:pStyle w:val="Corpsdetexte3"/>
            </w:pPr>
            <w:r w:rsidRPr="00230ABC">
              <w:rPr>
                <w:noProof/>
              </w:rPr>
              <w:drawing>
                <wp:inline distT="0" distB="0" distL="0" distR="0" wp14:anchorId="6CB3B97D" wp14:editId="732AFCBC">
                  <wp:extent cx="1080000" cy="1080000"/>
                  <wp:effectExtent l="0" t="0" r="6350" b="6350"/>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1155" w:type="pct"/>
          </w:tcPr>
          <w:p w14:paraId="09B73144" w14:textId="2E876CEF" w:rsidR="00261370" w:rsidRPr="00230ABC" w:rsidRDefault="00BC4C02" w:rsidP="00230ABC">
            <w:pPr>
              <w:pStyle w:val="Corpsdetexte3"/>
            </w:pPr>
            <w:r w:rsidRPr="00230ABC">
              <w:rPr>
                <w:noProof/>
              </w:rPr>
              <w:drawing>
                <wp:inline distT="0" distB="0" distL="0" distR="0" wp14:anchorId="422D38BC" wp14:editId="532E9B0D">
                  <wp:extent cx="852043" cy="1080000"/>
                  <wp:effectExtent l="0" t="0" r="5715" b="6350"/>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2043" cy="1080000"/>
                          </a:xfrm>
                          <a:prstGeom prst="rect">
                            <a:avLst/>
                          </a:prstGeom>
                          <a:noFill/>
                          <a:ln>
                            <a:noFill/>
                          </a:ln>
                        </pic:spPr>
                      </pic:pic>
                    </a:graphicData>
                  </a:graphic>
                </wp:inline>
              </w:drawing>
            </w:r>
          </w:p>
        </w:tc>
      </w:tr>
      <w:tr w:rsidR="00854166" w:rsidRPr="00F14E7D" w14:paraId="168037F7" w14:textId="3B7AE6EC" w:rsidTr="009A5784">
        <w:trPr>
          <w:trHeight w:val="960"/>
        </w:trPr>
        <w:tc>
          <w:tcPr>
            <w:tcW w:w="1154" w:type="pct"/>
          </w:tcPr>
          <w:p w14:paraId="7FA250C7" w14:textId="7FDD1B3B" w:rsidR="00261370" w:rsidRPr="00230ABC" w:rsidRDefault="00261370" w:rsidP="00230ABC">
            <w:pPr>
              <w:pStyle w:val="Corpsdetexte3"/>
            </w:pPr>
            <w:r w:rsidRPr="00230ABC">
              <w:t>Dr. Romain</w:t>
            </w:r>
            <w:r w:rsidR="00387ACA" w:rsidRPr="00230ABC">
              <w:t> </w:t>
            </w:r>
            <w:r w:rsidRPr="00230ABC">
              <w:t>Lanners</w:t>
            </w:r>
          </w:p>
          <w:p w14:paraId="33FB5687" w14:textId="77777777" w:rsidR="00F14915" w:rsidRPr="00230ABC" w:rsidRDefault="00261370" w:rsidP="00230ABC">
            <w:pPr>
              <w:pStyle w:val="Corpsdetexte3"/>
            </w:pPr>
            <w:proofErr w:type="spellStart"/>
            <w:r w:rsidRPr="00230ABC">
              <w:t>Directeur</w:t>
            </w:r>
            <w:proofErr w:type="spellEnd"/>
            <w:r w:rsidRPr="00230ABC">
              <w:t xml:space="preserve"> </w:t>
            </w:r>
          </w:p>
          <w:p w14:paraId="46FD6542" w14:textId="78229A8A" w:rsidR="00261370" w:rsidRPr="00230ABC" w:rsidRDefault="0067400D" w:rsidP="00230ABC">
            <w:pPr>
              <w:pStyle w:val="Corpsdetexte3"/>
            </w:pPr>
            <w:r w:rsidRPr="00230ABC">
              <w:t>SZH</w:t>
            </w:r>
            <w:r w:rsidR="00387ACA" w:rsidRPr="00230ABC">
              <w:t>/</w:t>
            </w:r>
            <w:r w:rsidRPr="00230ABC">
              <w:t>CSPS</w:t>
            </w:r>
          </w:p>
        </w:tc>
        <w:tc>
          <w:tcPr>
            <w:tcW w:w="1307" w:type="pct"/>
          </w:tcPr>
          <w:p w14:paraId="32DE1315" w14:textId="3AF875B6" w:rsidR="00261370" w:rsidRPr="00230ABC" w:rsidRDefault="00261370" w:rsidP="00230ABC">
            <w:pPr>
              <w:pStyle w:val="Corpsdetexte3"/>
            </w:pPr>
            <w:r w:rsidRPr="00230ABC">
              <w:t>Dr. Olga</w:t>
            </w:r>
            <w:r w:rsidR="00387ACA" w:rsidRPr="00230ABC">
              <w:t> </w:t>
            </w:r>
            <w:r w:rsidRPr="00230ABC">
              <w:t>Meier-Popa</w:t>
            </w:r>
          </w:p>
          <w:p w14:paraId="34167713" w14:textId="77777777" w:rsidR="0067400D" w:rsidRPr="00230ABC" w:rsidRDefault="0067400D" w:rsidP="00230ABC">
            <w:pPr>
              <w:pStyle w:val="Corpsdetexte3"/>
            </w:pPr>
            <w:proofErr w:type="spellStart"/>
            <w:r w:rsidRPr="00230ABC">
              <w:t>Collaboratrice</w:t>
            </w:r>
            <w:proofErr w:type="spellEnd"/>
            <w:r w:rsidRPr="00230ABC">
              <w:t xml:space="preserve"> </w:t>
            </w:r>
            <w:proofErr w:type="spellStart"/>
            <w:r w:rsidRPr="00230ABC">
              <w:t>scientifique</w:t>
            </w:r>
            <w:proofErr w:type="spellEnd"/>
          </w:p>
          <w:p w14:paraId="08032800" w14:textId="5E9E26EF" w:rsidR="0067400D" w:rsidRPr="00230ABC" w:rsidRDefault="0067400D" w:rsidP="00230ABC">
            <w:pPr>
              <w:pStyle w:val="Corpsdetexte3"/>
            </w:pPr>
            <w:r w:rsidRPr="00230ABC">
              <w:t xml:space="preserve">SZH / CSPS </w:t>
            </w:r>
          </w:p>
          <w:p w14:paraId="7DA634BC" w14:textId="6055D409" w:rsidR="00261370" w:rsidRPr="00230ABC" w:rsidRDefault="00261370" w:rsidP="00230ABC">
            <w:pPr>
              <w:pStyle w:val="Corpsdetexte3"/>
            </w:pPr>
          </w:p>
        </w:tc>
        <w:tc>
          <w:tcPr>
            <w:tcW w:w="1384" w:type="pct"/>
          </w:tcPr>
          <w:p w14:paraId="3C61DC4C" w14:textId="732FD00B" w:rsidR="00261370" w:rsidRPr="00230ABC" w:rsidRDefault="00261370" w:rsidP="00230ABC">
            <w:pPr>
              <w:pStyle w:val="Corpsdetexte3"/>
            </w:pPr>
            <w:r w:rsidRPr="00230ABC">
              <w:t>Robin</w:t>
            </w:r>
            <w:r w:rsidR="00387ACA" w:rsidRPr="00230ABC">
              <w:t> </w:t>
            </w:r>
            <w:r w:rsidRPr="00230ABC">
              <w:t>Morand</w:t>
            </w:r>
          </w:p>
          <w:p w14:paraId="37857903" w14:textId="09C8ECD5" w:rsidR="00261370" w:rsidRPr="00230ABC" w:rsidRDefault="00261370" w:rsidP="00230ABC">
            <w:pPr>
              <w:pStyle w:val="Corpsdetexte3"/>
            </w:pPr>
            <w:proofErr w:type="spellStart"/>
            <w:r w:rsidRPr="00230ABC">
              <w:t>Collaborateur</w:t>
            </w:r>
            <w:proofErr w:type="spellEnd"/>
            <w:r w:rsidRPr="00230ABC">
              <w:t xml:space="preserve"> </w:t>
            </w:r>
            <w:proofErr w:type="spellStart"/>
            <w:r w:rsidRPr="00230ABC">
              <w:t>scientifique</w:t>
            </w:r>
            <w:proofErr w:type="spellEnd"/>
            <w:r w:rsidRPr="00230ABC">
              <w:t xml:space="preserve"> </w:t>
            </w:r>
            <w:r w:rsidR="0067400D" w:rsidRPr="00230ABC">
              <w:t>SZH</w:t>
            </w:r>
            <w:r w:rsidR="00387ACA" w:rsidRPr="00230ABC">
              <w:t>/</w:t>
            </w:r>
            <w:r w:rsidR="0067400D" w:rsidRPr="00230ABC">
              <w:t>CSPS</w:t>
            </w:r>
          </w:p>
        </w:tc>
        <w:tc>
          <w:tcPr>
            <w:tcW w:w="1155" w:type="pct"/>
          </w:tcPr>
          <w:p w14:paraId="16B32339" w14:textId="320DFE28" w:rsidR="00261370" w:rsidRPr="00230ABC" w:rsidRDefault="00261370" w:rsidP="00230ABC">
            <w:pPr>
              <w:pStyle w:val="Corpsdetexte3"/>
            </w:pPr>
            <w:r w:rsidRPr="00230ABC">
              <w:t>Thomas</w:t>
            </w:r>
            <w:r w:rsidR="00387ACA" w:rsidRPr="00230ABC">
              <w:t> </w:t>
            </w:r>
            <w:r w:rsidRPr="00230ABC">
              <w:t>Wetter</w:t>
            </w:r>
          </w:p>
          <w:p w14:paraId="74F9BC48" w14:textId="5D165BC1" w:rsidR="00261370" w:rsidRPr="00230ABC" w:rsidRDefault="00F14915" w:rsidP="00230ABC">
            <w:pPr>
              <w:pStyle w:val="Corpsdetexte3"/>
            </w:pPr>
            <w:proofErr w:type="spellStart"/>
            <w:r w:rsidRPr="00230ABC">
              <w:t>Collaborateur</w:t>
            </w:r>
            <w:proofErr w:type="spellEnd"/>
            <w:r w:rsidRPr="00230ABC">
              <w:t xml:space="preserve"> </w:t>
            </w:r>
            <w:proofErr w:type="spellStart"/>
            <w:r w:rsidRPr="00230ABC">
              <w:t>scientifique</w:t>
            </w:r>
            <w:proofErr w:type="spellEnd"/>
            <w:r w:rsidRPr="00230ABC">
              <w:t xml:space="preserve"> </w:t>
            </w:r>
            <w:r w:rsidR="0067400D" w:rsidRPr="00230ABC">
              <w:t>SZH</w:t>
            </w:r>
            <w:r w:rsidR="00387ACA" w:rsidRPr="00230ABC">
              <w:t>/</w:t>
            </w:r>
            <w:r w:rsidR="0067400D" w:rsidRPr="00230ABC">
              <w:t>CSPS</w:t>
            </w:r>
          </w:p>
        </w:tc>
      </w:tr>
      <w:tr w:rsidR="0013310A" w:rsidRPr="00B4721A" w14:paraId="240F6B58" w14:textId="77777777" w:rsidTr="009A5784">
        <w:trPr>
          <w:trHeight w:val="405"/>
        </w:trPr>
        <w:tc>
          <w:tcPr>
            <w:tcW w:w="5000" w:type="pct"/>
            <w:gridSpan w:val="4"/>
          </w:tcPr>
          <w:p w14:paraId="6DB7178D" w14:textId="2E492D69" w:rsidR="0013310A" w:rsidRPr="00B4721A" w:rsidRDefault="0013310A" w:rsidP="00B4721A">
            <w:pPr>
              <w:rPr>
                <w:rFonts w:eastAsiaTheme="minorEastAsia" w:cs="Open Sans SemiCondensed"/>
              </w:rPr>
            </w:pPr>
            <w:r w:rsidRPr="00B4721A">
              <w:rPr>
                <w:rFonts w:eastAsiaTheme="minorEastAsia" w:cs="Open Sans SemiCondensed"/>
                <w:lang w:val="fr-CH"/>
              </w:rPr>
              <w:t>Conta</w:t>
            </w:r>
            <w:r w:rsidR="00A416F7" w:rsidRPr="00B4721A">
              <w:rPr>
                <w:rFonts w:eastAsiaTheme="minorEastAsia" w:cs="Open Sans SemiCondensed"/>
                <w:lang w:val="fr-CH"/>
              </w:rPr>
              <w:t>c</w:t>
            </w:r>
            <w:r w:rsidRPr="00B4721A">
              <w:rPr>
                <w:rFonts w:eastAsiaTheme="minorEastAsia" w:cs="Open Sans SemiCondensed"/>
                <w:lang w:val="fr-CH"/>
              </w:rPr>
              <w:t>t</w:t>
            </w:r>
            <w:r w:rsidR="00A416F7" w:rsidRPr="00B4721A">
              <w:rPr>
                <w:rFonts w:eastAsiaTheme="minorEastAsia" w:cs="Open Sans SemiCondensed"/>
                <w:lang w:val="fr-CH"/>
              </w:rPr>
              <w:t> </w:t>
            </w:r>
            <w:r w:rsidRPr="00B4721A">
              <w:rPr>
                <w:rFonts w:eastAsiaTheme="minorEastAsia" w:cs="Open Sans SemiCondensed"/>
                <w:lang w:val="fr-CH"/>
              </w:rPr>
              <w:t>:</w:t>
            </w:r>
            <w:r w:rsidR="00387ACA">
              <w:rPr>
                <w:rFonts w:eastAsiaTheme="minorEastAsia" w:cs="Open Sans SemiCondensed"/>
                <w:lang w:val="fr-CH"/>
              </w:rPr>
              <w:t xml:space="preserve"> </w:t>
            </w:r>
            <w:hyperlink r:id="rId18" w:history="1">
              <w:r w:rsidR="00374015" w:rsidRPr="00B4721A">
                <w:rPr>
                  <w:rStyle w:val="Lienhypertexte"/>
                  <w:rFonts w:eastAsiaTheme="minorEastAsia" w:cs="Open Sans SemiCondensed"/>
                </w:rPr>
                <w:t>udl@csps.ch</w:t>
              </w:r>
            </w:hyperlink>
            <w:r w:rsidRPr="00B4721A">
              <w:rPr>
                <w:rFonts w:eastAsiaTheme="minorEastAsia" w:cs="Open Sans SemiCondensed"/>
                <w:lang w:val="fr-CH"/>
              </w:rPr>
              <w:t xml:space="preserve"> </w:t>
            </w:r>
          </w:p>
        </w:tc>
      </w:tr>
    </w:tbl>
    <w:p w14:paraId="5D34B51A" w14:textId="155DF920" w:rsidR="00D3261D" w:rsidRPr="00B4721A" w:rsidRDefault="00D3261D" w:rsidP="00B4721A">
      <w:pPr>
        <w:rPr>
          <w:rFonts w:eastAsiaTheme="minorEastAsia" w:cs="Open Sans SemiCondensed"/>
          <w:lang w:val="fr-CH"/>
        </w:rPr>
      </w:pPr>
      <w:r w:rsidRPr="00B4721A">
        <w:rPr>
          <w:rFonts w:eastAsiaTheme="minorEastAsia" w:cs="Open Sans SemiCondensed"/>
          <w:lang w:val="fr-CH"/>
        </w:rPr>
        <w:t xml:space="preserve"> </w:t>
      </w:r>
    </w:p>
    <w:p w14:paraId="42B4CA48" w14:textId="155A6A08" w:rsidR="006111D5" w:rsidRPr="00B4721A" w:rsidRDefault="00CA6A6C" w:rsidP="00E22F68">
      <w:pPr>
        <w:pStyle w:val="WichtigBox"/>
        <w:ind w:firstLine="0"/>
        <w:rPr>
          <w:rFonts w:eastAsiaTheme="minorEastAsia" w:cs="Open Sans SemiCondensed"/>
        </w:rPr>
      </w:pPr>
      <w:r w:rsidRPr="00B4721A">
        <w:rPr>
          <w:rFonts w:eastAsiaTheme="minorEastAsia" w:cs="Open Sans SemiCondensed"/>
        </w:rPr>
        <w:t>Un article largement identique a été</w:t>
      </w:r>
      <w:r w:rsidR="004E2EBB" w:rsidRPr="00B4721A">
        <w:rPr>
          <w:rFonts w:eastAsiaTheme="minorEastAsia" w:cs="Open Sans SemiCondensed"/>
        </w:rPr>
        <w:t xml:space="preserve"> publié dans la </w:t>
      </w:r>
      <w:proofErr w:type="spellStart"/>
      <w:r w:rsidR="004E2EBB" w:rsidRPr="00B4721A">
        <w:rPr>
          <w:rFonts w:eastAsiaTheme="minorEastAsia" w:cs="Open Sans SemiCondensed"/>
          <w:i/>
          <w:iCs/>
        </w:rPr>
        <w:t>Schweizerische</w:t>
      </w:r>
      <w:proofErr w:type="spellEnd"/>
      <w:r w:rsidR="00C66B79" w:rsidRPr="00B4721A">
        <w:rPr>
          <w:rFonts w:eastAsiaTheme="minorEastAsia" w:cs="Open Sans SemiCondensed"/>
          <w:i/>
          <w:iCs/>
        </w:rPr>
        <w:t xml:space="preserve"> </w:t>
      </w:r>
      <w:proofErr w:type="spellStart"/>
      <w:r w:rsidR="00C66B79" w:rsidRPr="00B4721A">
        <w:rPr>
          <w:rFonts w:eastAsiaTheme="minorEastAsia" w:cs="Open Sans SemiCondensed"/>
          <w:i/>
          <w:iCs/>
        </w:rPr>
        <w:t>Zeitschrift</w:t>
      </w:r>
      <w:proofErr w:type="spellEnd"/>
      <w:r w:rsidR="00C66B79" w:rsidRPr="00B4721A">
        <w:rPr>
          <w:rFonts w:eastAsiaTheme="minorEastAsia" w:cs="Open Sans SemiCondensed"/>
          <w:i/>
          <w:iCs/>
        </w:rPr>
        <w:t xml:space="preserve"> </w:t>
      </w:r>
      <w:proofErr w:type="spellStart"/>
      <w:r w:rsidR="00C66B79" w:rsidRPr="00B4721A">
        <w:rPr>
          <w:rFonts w:eastAsiaTheme="minorEastAsia" w:cs="Open Sans SemiCondensed"/>
          <w:i/>
          <w:iCs/>
        </w:rPr>
        <w:t>für</w:t>
      </w:r>
      <w:proofErr w:type="spellEnd"/>
      <w:r w:rsidR="00C66B79" w:rsidRPr="00B4721A">
        <w:rPr>
          <w:rFonts w:eastAsiaTheme="minorEastAsia" w:cs="Open Sans SemiCondensed"/>
          <w:i/>
          <w:iCs/>
        </w:rPr>
        <w:t xml:space="preserve"> </w:t>
      </w:r>
      <w:proofErr w:type="spellStart"/>
      <w:r w:rsidR="00C66B79" w:rsidRPr="00B4721A">
        <w:rPr>
          <w:rFonts w:eastAsiaTheme="minorEastAsia" w:cs="Open Sans SemiCondensed"/>
          <w:i/>
          <w:iCs/>
        </w:rPr>
        <w:t>Heilpädagogik</w:t>
      </w:r>
      <w:proofErr w:type="spellEnd"/>
      <w:r w:rsidR="00C66B79" w:rsidRPr="00B4721A">
        <w:rPr>
          <w:rFonts w:eastAsiaTheme="minorEastAsia" w:cs="Open Sans SemiCondensed"/>
        </w:rPr>
        <w:t xml:space="preserve"> (</w:t>
      </w:r>
      <w:r w:rsidR="00ED048D" w:rsidRPr="00B4721A">
        <w:rPr>
          <w:rFonts w:eastAsiaTheme="minorEastAsia" w:cs="Open Sans SemiCondensed"/>
        </w:rPr>
        <w:t>2022, Jg.28, 11</w:t>
      </w:r>
      <w:r w:rsidR="003A1FA0" w:rsidRPr="00B4721A">
        <w:rPr>
          <w:rFonts w:eastAsiaTheme="minorEastAsia" w:cs="Open Sans SemiCondensed"/>
        </w:rPr>
        <w:t xml:space="preserve">, </w:t>
      </w:r>
      <w:r w:rsidR="00DD05C7">
        <w:rPr>
          <w:rFonts w:eastAsiaTheme="minorEastAsia" w:cs="Open Sans SemiCondensed"/>
        </w:rPr>
        <w:t>S</w:t>
      </w:r>
      <w:r w:rsidR="003A1FA0" w:rsidRPr="00B4721A">
        <w:rPr>
          <w:rFonts w:eastAsiaTheme="minorEastAsia" w:cs="Open Sans SemiCondensed"/>
        </w:rPr>
        <w:t>.32-33)</w:t>
      </w:r>
    </w:p>
    <w:p w14:paraId="2CC0FFED" w14:textId="7306157A" w:rsidR="00870508" w:rsidRPr="00B4721A" w:rsidRDefault="00870508" w:rsidP="00B4721A">
      <w:pPr>
        <w:pStyle w:val="Titre1"/>
        <w:rPr>
          <w:rFonts w:eastAsiaTheme="minorEastAsia"/>
          <w:lang w:val="fr-CH"/>
        </w:rPr>
      </w:pPr>
      <w:r w:rsidRPr="00B4721A">
        <w:rPr>
          <w:rFonts w:eastAsiaTheme="minorEastAsia"/>
          <w:lang w:val="fr-CH"/>
        </w:rPr>
        <w:t>Références</w:t>
      </w:r>
    </w:p>
    <w:p w14:paraId="5B0209E1" w14:textId="21C7DD96" w:rsidR="004860B2" w:rsidRPr="00F14E7D" w:rsidRDefault="0069446D" w:rsidP="004162DB">
      <w:pPr>
        <w:pStyle w:val="Bibliographie"/>
        <w:jc w:val="both"/>
        <w:rPr>
          <w:rFonts w:eastAsiaTheme="minorEastAsia" w:cs="Open Sans SemiCondensed"/>
          <w:lang w:val="fr-CH"/>
        </w:rPr>
      </w:pPr>
      <w:r w:rsidRPr="00F14E7D">
        <w:rPr>
          <w:rFonts w:eastAsiaTheme="minorEastAsia" w:cs="Open Sans SemiCondensed"/>
          <w:lang w:val="fr-CH"/>
        </w:rPr>
        <w:t xml:space="preserve">Conseil fédéral </w:t>
      </w:r>
      <w:r w:rsidR="002C087E" w:rsidRPr="00F14E7D">
        <w:rPr>
          <w:rFonts w:eastAsiaTheme="minorEastAsia" w:cs="Open Sans SemiCondensed"/>
          <w:lang w:val="fr-CH"/>
        </w:rPr>
        <w:t>(2021). Agenda</w:t>
      </w:r>
      <w:r w:rsidR="00387ACA" w:rsidRPr="00F14E7D">
        <w:rPr>
          <w:rFonts w:eastAsiaTheme="minorEastAsia" w:cs="Open Sans SemiCondensed"/>
          <w:lang w:val="fr-CH"/>
        </w:rPr>
        <w:t> </w:t>
      </w:r>
      <w:r w:rsidR="002C087E" w:rsidRPr="00F14E7D">
        <w:rPr>
          <w:rFonts w:eastAsiaTheme="minorEastAsia" w:cs="Open Sans SemiCondensed"/>
          <w:lang w:val="fr-CH"/>
        </w:rPr>
        <w:t xml:space="preserve">2030 </w:t>
      </w:r>
      <w:r w:rsidR="007D07BA" w:rsidRPr="00F14E7D">
        <w:rPr>
          <w:rFonts w:eastAsiaTheme="minorEastAsia" w:cs="Open Sans SemiCondensed"/>
          <w:lang w:val="fr-CH"/>
        </w:rPr>
        <w:t>pour le développement durable</w:t>
      </w:r>
      <w:r w:rsidR="002C087E" w:rsidRPr="00F14E7D">
        <w:rPr>
          <w:rFonts w:eastAsiaTheme="minorEastAsia" w:cs="Open Sans SemiCondensed"/>
          <w:lang w:val="fr-CH"/>
        </w:rPr>
        <w:t xml:space="preserve">. </w:t>
      </w:r>
      <w:hyperlink r:id="rId19" w:history="1">
        <w:r w:rsidR="004860B2" w:rsidRPr="00F14E7D">
          <w:rPr>
            <w:rStyle w:val="Lienhypertexte"/>
            <w:rFonts w:eastAsiaTheme="minorEastAsia" w:cs="Open Sans SemiCondensed"/>
            <w:lang w:val="fr-CH"/>
          </w:rPr>
          <w:t>https://www.eda.admin.ch/agenda2030/fr/home.html</w:t>
        </w:r>
      </w:hyperlink>
      <w:r w:rsidR="004860B2" w:rsidRPr="00F14E7D">
        <w:rPr>
          <w:rFonts w:eastAsiaTheme="minorEastAsia" w:cs="Open Sans SemiCondensed"/>
          <w:lang w:val="fr-CH"/>
        </w:rPr>
        <w:t xml:space="preserve"> </w:t>
      </w:r>
    </w:p>
    <w:p w14:paraId="269C12B3" w14:textId="282149BB" w:rsidR="002C087E" w:rsidRPr="00F14E7D" w:rsidRDefault="005101CD" w:rsidP="004162DB">
      <w:pPr>
        <w:pStyle w:val="Bibliographie"/>
        <w:jc w:val="both"/>
        <w:rPr>
          <w:rFonts w:eastAsiaTheme="minorEastAsia" w:cs="Open Sans SemiCondensed"/>
          <w:lang w:val="fr-CH"/>
        </w:rPr>
      </w:pPr>
      <w:r w:rsidRPr="00F14E7D">
        <w:rPr>
          <w:rFonts w:eastAsiaTheme="minorEastAsia" w:cs="Open Sans SemiCondensed"/>
          <w:lang w:val="fr-CH"/>
        </w:rPr>
        <w:t>C</w:t>
      </w:r>
      <w:r w:rsidR="00EC78BE" w:rsidRPr="00F14E7D">
        <w:rPr>
          <w:rFonts w:eastAsiaTheme="minorEastAsia" w:cs="Open Sans SemiCondensed"/>
          <w:lang w:val="fr-CH"/>
        </w:rPr>
        <w:t>onférence des directrices et directeurs cantonaux de l’instruction publi</w:t>
      </w:r>
      <w:r w:rsidR="002A4DC7" w:rsidRPr="00F14E7D">
        <w:rPr>
          <w:rFonts w:eastAsiaTheme="minorEastAsia" w:cs="Open Sans SemiCondensed"/>
          <w:lang w:val="fr-CH"/>
        </w:rPr>
        <w:t>que</w:t>
      </w:r>
      <w:r w:rsidR="00EC78BE" w:rsidRPr="00F14E7D">
        <w:rPr>
          <w:rFonts w:eastAsiaTheme="minorEastAsia" w:cs="Open Sans SemiCondensed"/>
          <w:lang w:val="fr-CH"/>
        </w:rPr>
        <w:t xml:space="preserve"> [C</w:t>
      </w:r>
      <w:r w:rsidRPr="00F14E7D">
        <w:rPr>
          <w:rFonts w:eastAsiaTheme="minorEastAsia" w:cs="Open Sans SemiCondensed"/>
          <w:lang w:val="fr-CH"/>
        </w:rPr>
        <w:t>DIP</w:t>
      </w:r>
      <w:r w:rsidR="00EC78BE" w:rsidRPr="00F14E7D">
        <w:rPr>
          <w:rFonts w:eastAsiaTheme="minorEastAsia" w:cs="Open Sans SemiCondensed"/>
          <w:lang w:val="fr-CH"/>
        </w:rPr>
        <w:t>].</w:t>
      </w:r>
      <w:r w:rsidRPr="00F14E7D">
        <w:rPr>
          <w:rFonts w:eastAsiaTheme="minorEastAsia" w:cs="Open Sans SemiCondensed"/>
          <w:lang w:val="fr-CH"/>
        </w:rPr>
        <w:t xml:space="preserve"> </w:t>
      </w:r>
      <w:r w:rsidR="002C087E" w:rsidRPr="00F14E7D">
        <w:rPr>
          <w:rFonts w:eastAsiaTheme="minorEastAsia" w:cs="Open Sans SemiCondensed"/>
          <w:lang w:val="fr-CH"/>
        </w:rPr>
        <w:t xml:space="preserve">(2022). </w:t>
      </w:r>
      <w:r w:rsidR="005465B3" w:rsidRPr="00F14E7D">
        <w:rPr>
          <w:rFonts w:eastAsiaTheme="minorEastAsia" w:cs="Open Sans SemiCondensed"/>
          <w:i/>
          <w:iCs/>
          <w:lang w:val="fr-CH"/>
        </w:rPr>
        <w:t>Programme de travail</w:t>
      </w:r>
      <w:r w:rsidR="00387ACA" w:rsidRPr="00F14E7D">
        <w:rPr>
          <w:rFonts w:eastAsiaTheme="minorEastAsia" w:cs="Open Sans SemiCondensed"/>
          <w:i/>
          <w:iCs/>
          <w:lang w:val="fr-CH"/>
        </w:rPr>
        <w:t> </w:t>
      </w:r>
      <w:r w:rsidR="005465B3" w:rsidRPr="00F14E7D">
        <w:rPr>
          <w:rFonts w:eastAsiaTheme="minorEastAsia" w:cs="Open Sans SemiCondensed"/>
          <w:i/>
          <w:iCs/>
          <w:lang w:val="fr-CH"/>
        </w:rPr>
        <w:t>2021-2024</w:t>
      </w:r>
      <w:r w:rsidR="002C087E" w:rsidRPr="00F14E7D">
        <w:rPr>
          <w:rFonts w:eastAsiaTheme="minorEastAsia" w:cs="Open Sans SemiCondensed"/>
          <w:lang w:val="fr-CH"/>
        </w:rPr>
        <w:t xml:space="preserve">. </w:t>
      </w:r>
      <w:hyperlink r:id="rId20" w:history="1">
        <w:r w:rsidR="005465B3" w:rsidRPr="00F14E7D">
          <w:rPr>
            <w:rStyle w:val="Lienhypertexte"/>
            <w:rFonts w:eastAsiaTheme="minorEastAsia" w:cs="Open Sans SemiCondensed"/>
            <w:lang w:val="fr-CH"/>
          </w:rPr>
          <w:t>https://edudoc.ch/record/213098?ln=fr</w:t>
        </w:r>
      </w:hyperlink>
      <w:r w:rsidR="005465B3" w:rsidRPr="00F14E7D">
        <w:rPr>
          <w:rFonts w:eastAsiaTheme="minorEastAsia" w:cs="Open Sans SemiCondensed"/>
          <w:lang w:val="fr-CH"/>
        </w:rPr>
        <w:t xml:space="preserve"> </w:t>
      </w:r>
    </w:p>
    <w:p w14:paraId="4C861419" w14:textId="2452A6D4" w:rsidR="002C087E" w:rsidRPr="00F14E7D" w:rsidRDefault="002C087E" w:rsidP="004162DB">
      <w:pPr>
        <w:pStyle w:val="Bibliographie"/>
        <w:jc w:val="both"/>
        <w:rPr>
          <w:rFonts w:eastAsiaTheme="minorEastAsia" w:cs="Open Sans SemiCondensed"/>
          <w:lang w:val="de-CH"/>
        </w:rPr>
      </w:pPr>
      <w:proofErr w:type="spellStart"/>
      <w:r w:rsidRPr="00F14E7D">
        <w:rPr>
          <w:rFonts w:eastAsiaTheme="minorEastAsia" w:cs="Open Sans SemiCondensed"/>
          <w:lang w:val="fr-CH"/>
        </w:rPr>
        <w:t>Interkantonale</w:t>
      </w:r>
      <w:proofErr w:type="spellEnd"/>
      <w:r w:rsidRPr="00F14E7D">
        <w:rPr>
          <w:rFonts w:eastAsiaTheme="minorEastAsia" w:cs="Open Sans SemiCondensed"/>
          <w:lang w:val="fr-CH"/>
        </w:rPr>
        <w:t xml:space="preserve"> </w:t>
      </w:r>
      <w:proofErr w:type="spellStart"/>
      <w:r w:rsidRPr="00F14E7D">
        <w:rPr>
          <w:rFonts w:eastAsiaTheme="minorEastAsia" w:cs="Open Sans SemiCondensed"/>
          <w:lang w:val="fr-CH"/>
        </w:rPr>
        <w:t>Lehrmittelzentrale</w:t>
      </w:r>
      <w:proofErr w:type="spellEnd"/>
      <w:r w:rsidRPr="00F14E7D">
        <w:rPr>
          <w:rFonts w:eastAsiaTheme="minorEastAsia" w:cs="Open Sans SemiCondensed"/>
          <w:lang w:val="fr-CH"/>
        </w:rPr>
        <w:t xml:space="preserve"> </w:t>
      </w:r>
      <w:r w:rsidR="004B5ACE" w:rsidRPr="00F14E7D">
        <w:rPr>
          <w:rFonts w:eastAsiaTheme="minorEastAsia" w:cs="Open Sans SemiCondensed"/>
          <w:lang w:val="fr-CH"/>
        </w:rPr>
        <w:t xml:space="preserve">[ILZ]. </w:t>
      </w:r>
      <w:r w:rsidRPr="00F14E7D">
        <w:rPr>
          <w:rFonts w:eastAsiaTheme="minorEastAsia" w:cs="Open Sans SemiCondensed"/>
          <w:lang w:val="de-CH"/>
        </w:rPr>
        <w:t xml:space="preserve">(2013). Was sind gute Lehrmittel. </w:t>
      </w:r>
      <w:r w:rsidRPr="00F14E7D">
        <w:rPr>
          <w:rFonts w:eastAsiaTheme="minorEastAsia" w:cs="Open Sans SemiCondensed"/>
          <w:i/>
          <w:iCs/>
          <w:lang w:val="de-CH"/>
        </w:rPr>
        <w:t>Ilz-Fokus</w:t>
      </w:r>
      <w:r w:rsidRPr="00F14E7D">
        <w:rPr>
          <w:rFonts w:eastAsiaTheme="minorEastAsia" w:cs="Open Sans SemiCondensed"/>
          <w:lang w:val="de-CH"/>
        </w:rPr>
        <w:t xml:space="preserve"> Nr. 1/2013. </w:t>
      </w:r>
      <w:hyperlink r:id="rId21" w:history="1">
        <w:r w:rsidR="00A133CC" w:rsidRPr="00F14E7D">
          <w:rPr>
            <w:rStyle w:val="Lienhypertexte"/>
            <w:rFonts w:eastAsiaTheme="minorEastAsia" w:cs="Open Sans SemiCondensed"/>
            <w:lang w:val="de-CH"/>
          </w:rPr>
          <w:t>https://www.ilz.ch/download/1119</w:t>
        </w:r>
      </w:hyperlink>
      <w:r w:rsidRPr="00F14E7D">
        <w:rPr>
          <w:rFonts w:eastAsiaTheme="minorEastAsia" w:cs="Open Sans SemiCondensed"/>
          <w:lang w:val="de-CH"/>
        </w:rPr>
        <w:t xml:space="preserve"> </w:t>
      </w:r>
    </w:p>
    <w:p w14:paraId="604E8765" w14:textId="4D8B7E53" w:rsidR="00F73C2D" w:rsidRPr="00F14E7D" w:rsidRDefault="002C087E" w:rsidP="004162DB">
      <w:pPr>
        <w:pStyle w:val="Bibliographie"/>
        <w:jc w:val="both"/>
        <w:rPr>
          <w:rFonts w:eastAsiaTheme="minorEastAsia" w:cs="Open Sans SemiCondensed"/>
          <w:spacing w:val="0"/>
          <w:szCs w:val="24"/>
          <w:lang w:val="de-CH" w:eastAsia="fr-CH"/>
        </w:rPr>
      </w:pPr>
      <w:r w:rsidRPr="00F14E7D">
        <w:rPr>
          <w:rFonts w:eastAsiaTheme="minorEastAsia" w:cs="Open Sans SemiCondensed"/>
          <w:lang w:val="de-CH"/>
        </w:rPr>
        <w:t xml:space="preserve">Lanners, R. (2020). Neue Lehrmittel im Universellen Design. </w:t>
      </w:r>
      <w:r w:rsidRPr="00F14E7D">
        <w:rPr>
          <w:rFonts w:eastAsiaTheme="minorEastAsia" w:cs="Open Sans SemiCondensed"/>
          <w:i/>
          <w:iCs/>
          <w:lang w:val="de-CH"/>
        </w:rPr>
        <w:t>Schweizerische Zeitschrift für Heilpädagogik</w:t>
      </w:r>
      <w:r w:rsidRPr="00F14E7D">
        <w:rPr>
          <w:rFonts w:eastAsiaTheme="minorEastAsia" w:cs="Open Sans SemiCondensed"/>
          <w:lang w:val="de-CH"/>
        </w:rPr>
        <w:t xml:space="preserve">, </w:t>
      </w:r>
      <w:r w:rsidRPr="00F14E7D">
        <w:rPr>
          <w:rFonts w:eastAsiaTheme="minorEastAsia" w:cs="Open Sans SemiCondensed"/>
          <w:i/>
          <w:iCs/>
          <w:lang w:val="de-CH"/>
        </w:rPr>
        <w:t>26 </w:t>
      </w:r>
      <w:r w:rsidRPr="00F14E7D">
        <w:rPr>
          <w:rFonts w:eastAsiaTheme="minorEastAsia" w:cs="Open Sans SemiCondensed"/>
          <w:lang w:val="de-CH"/>
        </w:rPr>
        <w:t xml:space="preserve">(10), </w:t>
      </w:r>
      <w:r w:rsidR="00AF514B" w:rsidRPr="00F14E7D">
        <w:rPr>
          <w:rFonts w:eastAsiaTheme="minorEastAsia" w:cs="Open Sans SemiCondensed"/>
          <w:lang w:val="de-CH"/>
        </w:rPr>
        <w:br/>
      </w:r>
      <w:r w:rsidRPr="00F14E7D">
        <w:rPr>
          <w:rFonts w:eastAsiaTheme="minorEastAsia" w:cs="Open Sans SemiCondensed"/>
          <w:lang w:val="de-CH"/>
        </w:rPr>
        <w:t>17</w:t>
      </w:r>
      <w:r w:rsidR="0058254F" w:rsidRPr="00F14E7D">
        <w:rPr>
          <w:rFonts w:eastAsiaTheme="minorEastAsia" w:cs="Open Sans SemiCondensed"/>
          <w:lang w:val="de-CH"/>
        </w:rPr>
        <w:t>-</w:t>
      </w:r>
      <w:r w:rsidRPr="00F14E7D">
        <w:rPr>
          <w:rFonts w:eastAsiaTheme="minorEastAsia" w:cs="Open Sans SemiCondensed"/>
          <w:lang w:val="de-CH"/>
        </w:rPr>
        <w:t xml:space="preserve">26. </w:t>
      </w:r>
      <w:hyperlink r:id="rId22" w:history="1">
        <w:r w:rsidR="007A49D6" w:rsidRPr="00F14E7D">
          <w:rPr>
            <w:rStyle w:val="Lienhypertexte"/>
            <w:rFonts w:eastAsiaTheme="minorEastAsia" w:cs="Open Sans SemiCondensed"/>
            <w:lang w:val="de-CH"/>
          </w:rPr>
          <w:t>https://ojs.szh.ch/zeitschrift/article/view/895/pdf</w:t>
        </w:r>
      </w:hyperlink>
      <w:r w:rsidR="007A49D6" w:rsidRPr="00F14E7D">
        <w:rPr>
          <w:rFonts w:eastAsiaTheme="minorEastAsia" w:cs="Open Sans SemiCondensed"/>
          <w:lang w:val="de-CH"/>
        </w:rPr>
        <w:t xml:space="preserve"> </w:t>
      </w:r>
    </w:p>
    <w:p w14:paraId="67B999E9" w14:textId="5DD067A2" w:rsidR="002C087E" w:rsidRPr="00F14E7D" w:rsidRDefault="002C087E" w:rsidP="004162DB">
      <w:pPr>
        <w:pStyle w:val="Bibliographie"/>
        <w:jc w:val="both"/>
        <w:rPr>
          <w:rFonts w:eastAsiaTheme="minorEastAsia" w:cs="Open Sans SemiCondensed"/>
          <w:lang w:val="de-CH"/>
        </w:rPr>
      </w:pPr>
      <w:r w:rsidRPr="00F14E7D">
        <w:rPr>
          <w:rFonts w:eastAsiaTheme="minorEastAsia" w:cs="Open Sans SemiCondensed"/>
          <w:lang w:val="de-CH"/>
        </w:rPr>
        <w:t xml:space="preserve">Meier-Popa, O. &amp; Salamin, M. (2020). </w:t>
      </w:r>
      <w:proofErr w:type="spellStart"/>
      <w:r w:rsidRPr="00F14E7D">
        <w:rPr>
          <w:rFonts w:eastAsiaTheme="minorEastAsia" w:cs="Open Sans SemiCondensed"/>
          <w:lang w:val="de-CH"/>
        </w:rPr>
        <w:t>Accessibility</w:t>
      </w:r>
      <w:proofErr w:type="spellEnd"/>
      <w:r w:rsidRPr="00F14E7D">
        <w:rPr>
          <w:rFonts w:eastAsiaTheme="minorEastAsia" w:cs="Open Sans SemiCondensed"/>
          <w:lang w:val="de-CH"/>
        </w:rPr>
        <w:t xml:space="preserve"> und Universelles Design in der Bildung. </w:t>
      </w:r>
      <w:r w:rsidRPr="00F14E7D">
        <w:rPr>
          <w:rFonts w:eastAsiaTheme="minorEastAsia" w:cs="Open Sans SemiCondensed"/>
          <w:i/>
          <w:iCs/>
          <w:lang w:val="de-CH"/>
        </w:rPr>
        <w:t>Schweizerische Zeitschrift für Heilpädagogik</w:t>
      </w:r>
      <w:r w:rsidRPr="00F14E7D">
        <w:rPr>
          <w:rFonts w:eastAsiaTheme="minorEastAsia" w:cs="Open Sans SemiCondensed"/>
          <w:lang w:val="de-CH"/>
        </w:rPr>
        <w:t>,</w:t>
      </w:r>
      <w:r w:rsidRPr="00F14E7D">
        <w:rPr>
          <w:rFonts w:eastAsiaTheme="minorEastAsia" w:cs="Open Sans SemiCondensed"/>
          <w:i/>
          <w:iCs/>
          <w:lang w:val="de-CH"/>
        </w:rPr>
        <w:t xml:space="preserve"> 26</w:t>
      </w:r>
      <w:r w:rsidRPr="00F14E7D">
        <w:rPr>
          <w:rFonts w:eastAsiaTheme="minorEastAsia" w:cs="Open Sans SemiCondensed"/>
          <w:lang w:val="de-CH"/>
        </w:rPr>
        <w:t xml:space="preserve"> (10), 9–16. </w:t>
      </w:r>
      <w:hyperlink r:id="rId23" w:history="1">
        <w:r w:rsidR="00B403A8" w:rsidRPr="00F14E7D">
          <w:rPr>
            <w:rStyle w:val="Lienhypertexte"/>
            <w:rFonts w:eastAsiaTheme="minorEastAsia" w:cs="Open Sans SemiCondensed"/>
            <w:lang w:val="de-CH"/>
          </w:rPr>
          <w:t>https://ojs.szh.ch/zeitschrift/article/view/894/pdf</w:t>
        </w:r>
      </w:hyperlink>
      <w:r w:rsidR="00B403A8" w:rsidRPr="00F14E7D">
        <w:rPr>
          <w:rFonts w:eastAsiaTheme="minorEastAsia" w:cs="Open Sans SemiCondensed"/>
          <w:lang w:val="de-CH"/>
        </w:rPr>
        <w:t xml:space="preserve"> </w:t>
      </w:r>
    </w:p>
    <w:p w14:paraId="17887D3E" w14:textId="77777777" w:rsidR="003F6F74" w:rsidRPr="00F14E7D" w:rsidRDefault="003F6F74" w:rsidP="004162DB">
      <w:pPr>
        <w:pStyle w:val="Bibliographie"/>
        <w:jc w:val="both"/>
        <w:rPr>
          <w:rFonts w:eastAsiaTheme="minorEastAsia" w:cs="Open Sans SemiCondensed"/>
          <w:lang w:val="de-CH"/>
        </w:rPr>
      </w:pPr>
      <w:r w:rsidRPr="00F14E7D">
        <w:rPr>
          <w:rFonts w:eastAsiaTheme="minorEastAsia" w:cs="Open Sans SemiCondensed"/>
          <w:lang w:val="fr-CH"/>
        </w:rPr>
        <w:t xml:space="preserve">Organisation des Nations unies [ONU] (2006). </w:t>
      </w:r>
      <w:r w:rsidRPr="00F14E7D">
        <w:rPr>
          <w:rFonts w:eastAsiaTheme="minorEastAsia" w:cs="Open Sans SemiCondensed"/>
          <w:i/>
          <w:iCs/>
          <w:lang w:val="fr-CH"/>
        </w:rPr>
        <w:t>Convention relative aux droits des personnes handicapées</w:t>
      </w:r>
      <w:r w:rsidRPr="00F14E7D">
        <w:rPr>
          <w:rFonts w:eastAsiaTheme="minorEastAsia" w:cs="Open Sans SemiCondensed"/>
          <w:lang w:val="fr-CH"/>
        </w:rPr>
        <w:t xml:space="preserve"> (CDPH). </w:t>
      </w:r>
      <w:r w:rsidRPr="00F14E7D">
        <w:rPr>
          <w:rFonts w:eastAsiaTheme="minorEastAsia" w:cs="Open Sans SemiCondensed"/>
          <w:lang w:val="de-CH"/>
        </w:rPr>
        <w:t xml:space="preserve">ONU. </w:t>
      </w:r>
      <w:hyperlink r:id="rId24" w:history="1">
        <w:r w:rsidRPr="00F14E7D">
          <w:rPr>
            <w:rStyle w:val="Lienhypertexte"/>
            <w:rFonts w:eastAsiaTheme="minorEastAsia" w:cs="Open Sans SemiCondensed"/>
            <w:lang w:val="de-CH"/>
          </w:rPr>
          <w:t>https://www.un.org/esa/socdev/enable/documents/tccconvf.pdf</w:t>
        </w:r>
      </w:hyperlink>
      <w:r w:rsidRPr="00F14E7D">
        <w:rPr>
          <w:rFonts w:eastAsiaTheme="minorEastAsia" w:cs="Open Sans SemiCondensed"/>
          <w:lang w:val="de-CH"/>
        </w:rPr>
        <w:t xml:space="preserve"> </w:t>
      </w:r>
      <w:r w:rsidRPr="00F14E7D" w:rsidDel="006D2DC9">
        <w:rPr>
          <w:rFonts w:eastAsiaTheme="minorEastAsia" w:cs="Open Sans SemiCondensed"/>
          <w:lang w:val="de-CH"/>
        </w:rPr>
        <w:t xml:space="preserve"> </w:t>
      </w:r>
      <w:r w:rsidRPr="00F14E7D">
        <w:rPr>
          <w:rFonts w:eastAsiaTheme="minorEastAsia" w:cs="Open Sans SemiCondensed"/>
          <w:lang w:val="de-CH"/>
        </w:rPr>
        <w:t xml:space="preserve"> </w:t>
      </w:r>
    </w:p>
    <w:p w14:paraId="0AC903F3" w14:textId="34C43A37" w:rsidR="00870508" w:rsidRPr="00F14E7D" w:rsidRDefault="002C087E" w:rsidP="004162DB">
      <w:pPr>
        <w:pStyle w:val="Bibliographie"/>
        <w:jc w:val="both"/>
        <w:rPr>
          <w:rFonts w:eastAsiaTheme="minorEastAsia" w:cs="Open Sans SemiCondensed"/>
        </w:rPr>
      </w:pPr>
      <w:r w:rsidRPr="00F14E7D">
        <w:rPr>
          <w:rFonts w:eastAsiaTheme="minorEastAsia" w:cs="Open Sans SemiCondensed"/>
          <w:lang w:val="de-CH"/>
        </w:rPr>
        <w:t xml:space="preserve">Volland, B. (2021). </w:t>
      </w:r>
      <w:r w:rsidR="00625BAF" w:rsidRPr="00F14E7D">
        <w:rPr>
          <w:rFonts w:eastAsiaTheme="minorEastAsia" w:cs="Open Sans SemiCondensed"/>
          <w:lang w:val="fr-CH"/>
        </w:rPr>
        <w:t>Infolettre</w:t>
      </w:r>
      <w:r w:rsidR="0059572D" w:rsidRPr="00F14E7D">
        <w:rPr>
          <w:rFonts w:eastAsiaTheme="minorEastAsia" w:cs="Open Sans SemiCondensed"/>
          <w:lang w:val="fr-CH"/>
        </w:rPr>
        <w:t xml:space="preserve"> </w:t>
      </w:r>
      <w:r w:rsidR="009A1169" w:rsidRPr="00F14E7D">
        <w:rPr>
          <w:rFonts w:eastAsiaTheme="minorEastAsia" w:cs="Open Sans SemiCondensed"/>
          <w:lang w:val="fr-CH"/>
        </w:rPr>
        <w:t>3-2021</w:t>
      </w:r>
      <w:r w:rsidR="00387ACA" w:rsidRPr="00F14E7D">
        <w:rPr>
          <w:rFonts w:eastAsiaTheme="minorEastAsia" w:cs="Open Sans SemiCondensed"/>
          <w:lang w:val="fr-CH"/>
        </w:rPr>
        <w:t>/</w:t>
      </w:r>
      <w:r w:rsidR="009A1169" w:rsidRPr="00F14E7D">
        <w:rPr>
          <w:rFonts w:eastAsiaTheme="minorEastAsia" w:cs="Open Sans SemiCondensed"/>
          <w:lang w:val="fr-CH"/>
        </w:rPr>
        <w:t>Zoo</w:t>
      </w:r>
      <w:r w:rsidR="00E4234A" w:rsidRPr="00F14E7D">
        <w:rPr>
          <w:rFonts w:eastAsiaTheme="minorEastAsia" w:cs="Open Sans SemiCondensed"/>
          <w:lang w:val="fr-CH"/>
        </w:rPr>
        <w:t>m</w:t>
      </w:r>
      <w:r w:rsidR="00387ACA" w:rsidRPr="00F14E7D">
        <w:rPr>
          <w:rFonts w:eastAsiaTheme="minorEastAsia" w:cs="Open Sans SemiCondensed"/>
          <w:lang w:val="fr-CH"/>
        </w:rPr>
        <w:t> </w:t>
      </w:r>
      <w:r w:rsidR="00E4234A" w:rsidRPr="00F14E7D">
        <w:rPr>
          <w:rFonts w:eastAsiaTheme="minorEastAsia" w:cs="Open Sans SemiCondensed"/>
          <w:lang w:val="fr-CH"/>
        </w:rPr>
        <w:t xml:space="preserve">III </w:t>
      </w:r>
      <w:r w:rsidR="00570CEE" w:rsidRPr="00F14E7D">
        <w:rPr>
          <w:rFonts w:eastAsiaTheme="minorEastAsia" w:cs="Open Sans SemiCondensed"/>
          <w:lang w:val="fr-CH"/>
        </w:rPr>
        <w:t xml:space="preserve">de </w:t>
      </w:r>
      <w:r w:rsidR="006A066C" w:rsidRPr="00F14E7D">
        <w:rPr>
          <w:rFonts w:eastAsiaTheme="minorEastAsia" w:cs="Open Sans SemiCondensed"/>
          <w:lang w:val="fr-CH"/>
        </w:rPr>
        <w:t xml:space="preserve">la CDIP </w:t>
      </w:r>
      <w:r w:rsidR="00625BAF" w:rsidRPr="00F14E7D">
        <w:rPr>
          <w:rFonts w:eastAsiaTheme="minorEastAsia" w:cs="Open Sans SemiCondensed"/>
          <w:lang w:val="fr-CH"/>
        </w:rPr>
        <w:t xml:space="preserve">du </w:t>
      </w:r>
      <w:r w:rsidRPr="00F14E7D">
        <w:rPr>
          <w:rFonts w:eastAsiaTheme="minorEastAsia" w:cs="Open Sans SemiCondensed"/>
          <w:lang w:val="fr-CH"/>
        </w:rPr>
        <w:t>27 </w:t>
      </w:r>
      <w:r w:rsidR="00625BAF" w:rsidRPr="00F14E7D">
        <w:rPr>
          <w:rFonts w:eastAsiaTheme="minorEastAsia" w:cs="Open Sans SemiCondensed"/>
          <w:lang w:val="fr-CH"/>
        </w:rPr>
        <w:t>Octobre</w:t>
      </w:r>
      <w:r w:rsidR="00387ACA" w:rsidRPr="00F14E7D">
        <w:rPr>
          <w:rFonts w:eastAsiaTheme="minorEastAsia" w:cs="Open Sans SemiCondensed"/>
          <w:lang w:val="fr-CH"/>
        </w:rPr>
        <w:t> </w:t>
      </w:r>
      <w:r w:rsidRPr="00F14E7D">
        <w:rPr>
          <w:rFonts w:eastAsiaTheme="minorEastAsia" w:cs="Open Sans SemiCondensed"/>
          <w:lang w:val="fr-CH"/>
        </w:rPr>
        <w:t xml:space="preserve">2021. </w:t>
      </w:r>
      <w:hyperlink r:id="rId25" w:history="1">
        <w:r w:rsidR="00625BAF" w:rsidRPr="00B4721A">
          <w:rPr>
            <w:rStyle w:val="Lienhypertexte"/>
            <w:rFonts w:eastAsiaTheme="minorEastAsia" w:cs="Open Sans SemiCondensed"/>
          </w:rPr>
          <w:t>https://www.edk.ch/fr/documentation/infolettre/3-2021-zoom-3?set_language=fr</w:t>
        </w:r>
      </w:hyperlink>
      <w:r w:rsidR="00E4234A" w:rsidRPr="00B4721A">
        <w:rPr>
          <w:rStyle w:val="Lienhypertexte"/>
          <w:rFonts w:eastAsiaTheme="minorEastAsia" w:cs="Open Sans SemiCondensed"/>
          <w:color w:val="auto"/>
        </w:rPr>
        <w:t xml:space="preserve"> </w:t>
      </w:r>
      <w:r w:rsidR="00625BAF" w:rsidRPr="00B4721A">
        <w:rPr>
          <w:rFonts w:eastAsiaTheme="minorEastAsia" w:cs="Open Sans SemiCondensed"/>
          <w:bCs/>
          <w:iCs/>
        </w:rPr>
        <w:t xml:space="preserve"> </w:t>
      </w:r>
    </w:p>
    <w:sectPr w:rsidR="00870508" w:rsidRPr="00F14E7D" w:rsidSect="00A96BCB">
      <w:headerReference w:type="even" r:id="rId26"/>
      <w:headerReference w:type="default" r:id="rId27"/>
      <w:footerReference w:type="even" r:id="rId28"/>
      <w:footerReference w:type="default" r:id="rId29"/>
      <w:headerReference w:type="first" r:id="rId30"/>
      <w:footerReference w:type="first" r:id="rId31"/>
      <w:pgSz w:w="11907" w:h="16840" w:code="9"/>
      <w:pgMar w:top="1418" w:right="1418" w:bottom="1134" w:left="1418" w:header="720" w:footer="567" w:gutter="0"/>
      <w:pgNumType w:start="4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F5F96" w14:textId="77777777" w:rsidR="00765604" w:rsidRDefault="00765604">
      <w:pPr>
        <w:spacing w:line="240" w:lineRule="auto"/>
      </w:pPr>
      <w:r>
        <w:separator/>
      </w:r>
    </w:p>
  </w:endnote>
  <w:endnote w:type="continuationSeparator" w:id="0">
    <w:p w14:paraId="4B4E1785" w14:textId="77777777" w:rsidR="00765604" w:rsidRDefault="007656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15BE232C-4DA7-40F1-9B61-8279734A4527}"/>
    <w:embedBold r:id="rId2" w:fontKey="{59F552C9-3D44-4EA3-957A-584A888202F9}"/>
    <w:embedItalic r:id="rId3" w:fontKey="{8F93FA4C-895D-4E29-8A36-559158A6DC1E}"/>
    <w:embedBoldItalic r:id="rId4" w:fontKey="{75CEC73F-5CDC-4CE1-A74B-8C38AC3CBF7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F5089" w14:textId="77777777" w:rsidR="00387ACA" w:rsidRDefault="00387AC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4C32" w14:textId="77777777" w:rsidR="004B3A29" w:rsidRPr="007B448B" w:rsidRDefault="006E210A" w:rsidP="001D3BFB">
    <w:pPr>
      <w:pStyle w:val="Pieddepage"/>
      <w:rPr>
        <w:szCs w:val="22"/>
      </w:rPr>
    </w:pPr>
    <w:r>
      <w:rPr>
        <w:noProof/>
      </w:rPr>
      <w:drawing>
        <wp:anchor distT="0" distB="0" distL="114300" distR="114300" simplePos="0" relativeHeight="251660288" behindDoc="1" locked="0" layoutInCell="1" allowOverlap="1" wp14:anchorId="263D602C" wp14:editId="1B9F5187">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E23E" w14:textId="77777777" w:rsidR="00387ACA" w:rsidRDefault="00387AC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5F33C" w14:textId="77777777" w:rsidR="00765604" w:rsidRPr="00777A2F" w:rsidRDefault="00765604"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5B13A97C" w14:textId="77777777" w:rsidR="00765604" w:rsidRDefault="00765604">
      <w:r>
        <w:continuationSeparator/>
      </w:r>
    </w:p>
  </w:footnote>
  <w:footnote w:type="continuationNotice" w:id="1">
    <w:p w14:paraId="3F616346" w14:textId="77777777" w:rsidR="00765604" w:rsidRDefault="00765604">
      <w:pPr>
        <w:spacing w:line="240" w:lineRule="auto"/>
      </w:pPr>
    </w:p>
  </w:footnote>
  <w:footnote w:id="2">
    <w:p w14:paraId="5B14FDE7" w14:textId="299064FD" w:rsidR="00DE555E" w:rsidRPr="00633289" w:rsidRDefault="00DE555E">
      <w:pPr>
        <w:pStyle w:val="Notedebasdepage"/>
        <w:rPr>
          <w:lang w:val="fr-CH"/>
        </w:rPr>
      </w:pPr>
      <w:r>
        <w:rPr>
          <w:rStyle w:val="Appelnotedebasdep"/>
        </w:rPr>
        <w:footnoteRef/>
      </w:r>
      <w:r w:rsidRPr="00F14E7D">
        <w:rPr>
          <w:lang w:val="fr-CH"/>
        </w:rPr>
        <w:t xml:space="preserve"> </w:t>
      </w:r>
      <w:r w:rsidR="003D6013" w:rsidRPr="00F14E7D">
        <w:rPr>
          <w:lang w:val="fr-CH"/>
        </w:rPr>
        <w:t xml:space="preserve">Pour plus d’informations, voir </w:t>
      </w:r>
      <w:hyperlink r:id="rId1" w:history="1">
        <w:r w:rsidR="00DD1623" w:rsidRPr="00F14E7D">
          <w:rPr>
            <w:rStyle w:val="Lienhypertexte"/>
            <w:sz w:val="18"/>
            <w:lang w:val="fr-CH"/>
          </w:rPr>
          <w:t>https://www.szh.ch/fr/themes/conception-universelle-de-l-apprentissage</w:t>
        </w:r>
      </w:hyperlink>
      <w:r w:rsidR="00DD1623" w:rsidRPr="00F14E7D">
        <w:rPr>
          <w:lang w:val="fr-CH"/>
        </w:rPr>
        <w:t xml:space="preserve"> </w:t>
      </w:r>
    </w:p>
  </w:footnote>
  <w:footnote w:id="3">
    <w:p w14:paraId="166C3B52" w14:textId="76A1B56C" w:rsidR="00293CB4" w:rsidRPr="00633289" w:rsidRDefault="00293CB4">
      <w:pPr>
        <w:pStyle w:val="Notedebasdepage"/>
        <w:rPr>
          <w:lang w:val="fr-CH"/>
        </w:rPr>
      </w:pPr>
      <w:r>
        <w:rPr>
          <w:rStyle w:val="Appelnotedebasdep"/>
        </w:rPr>
        <w:footnoteRef/>
      </w:r>
      <w:r w:rsidRPr="00F14E7D">
        <w:rPr>
          <w:lang w:val="fr-CH"/>
        </w:rPr>
        <w:t xml:space="preserve"> </w:t>
      </w:r>
      <w:r w:rsidR="004F39B6">
        <w:rPr>
          <w:lang w:val="fr-CH"/>
        </w:rPr>
        <w:t xml:space="preserve">Pour plus d’informations, voir </w:t>
      </w:r>
      <w:hyperlink r:id="rId2" w:history="1">
        <w:r w:rsidR="004F39B6" w:rsidRPr="0044664F">
          <w:rPr>
            <w:rStyle w:val="Lienhypertexte"/>
            <w:sz w:val="18"/>
            <w:lang w:val="fr-CH"/>
          </w:rPr>
          <w:t>https://www.w3.org/WAI/standards-guidelines/wcag/fr</w:t>
        </w:r>
      </w:hyperlink>
      <w:r w:rsidR="004F39B6">
        <w:rPr>
          <w:lang w:val="fr-C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B6B9" w14:textId="77777777" w:rsidR="00387ACA" w:rsidRDefault="00387AC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C290" w14:textId="73B01369" w:rsidR="007B448B" w:rsidRPr="007B448B" w:rsidRDefault="00307EC7" w:rsidP="007B448B">
    <w:pPr>
      <w:pStyle w:val="Themenschwerpunkt"/>
      <w:rPr>
        <w:lang w:val="fr-CH"/>
      </w:rPr>
    </w:pPr>
    <w:r>
      <mc:AlternateContent>
        <mc:Choice Requires="wps">
          <w:drawing>
            <wp:anchor distT="0" distB="0" distL="114299" distR="114299" simplePos="0" relativeHeight="251659264" behindDoc="0" locked="0" layoutInCell="1" allowOverlap="1" wp14:anchorId="10C65FAA" wp14:editId="2550C25E">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v:line id="Connecteur droit 3"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alt="&quot;&quot;" o:spid="_x0000_s1026" strokecolor="#d31932 [3204]" from="-29.25pt,-35.3pt" to="-29.25pt,945.85pt" w14:anchorId="106BB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o:lock v:ext="edit" shapetype="f"/>
            </v:line>
          </w:pict>
        </mc:Fallback>
      </mc:AlternateContent>
    </w:r>
    <w:r w:rsidR="003E6EB3">
      <w:rPr>
        <w:lang w:val="fr-CH"/>
      </w:rPr>
      <w:t>Trouble du spectre de l’autisme</w:t>
    </w:r>
    <w:r w:rsidR="007B448B">
      <w:rPr>
        <w:lang w:val="fr-CH"/>
      </w:rPr>
      <w:tab/>
    </w:r>
    <w:r w:rsidR="007B448B">
      <w:rPr>
        <w:lang w:val="fr-CH"/>
      </w:rPr>
      <w:tab/>
    </w:r>
    <w:r w:rsidR="007B448B" w:rsidRPr="00ED473A">
      <w:rPr>
        <w:b w:val="0"/>
        <w:bCs/>
        <w:lang w:val="fr-CH"/>
      </w:rPr>
      <w:t>Revue Suisse de Pédagogie Spécialisée, Vol.</w:t>
    </w:r>
    <w:r w:rsidR="00387ACA">
      <w:rPr>
        <w:b w:val="0"/>
        <w:bCs/>
        <w:lang w:val="fr-CH"/>
      </w:rPr>
      <w:t> </w:t>
    </w:r>
    <w:r w:rsidR="001A4056">
      <w:rPr>
        <w:b w:val="0"/>
        <w:bCs/>
        <w:lang w:val="fr-CH"/>
      </w:rPr>
      <w:t>13</w:t>
    </w:r>
    <w:r w:rsidR="007B448B" w:rsidRPr="00ED473A">
      <w:rPr>
        <w:b w:val="0"/>
        <w:bCs/>
        <w:lang w:val="fr-CH"/>
      </w:rPr>
      <w:t xml:space="preserve">, </w:t>
    </w:r>
    <w:r w:rsidR="001A4056">
      <w:rPr>
        <w:b w:val="0"/>
        <w:bCs/>
        <w:lang w:val="fr-CH"/>
      </w:rPr>
      <w:t>01</w:t>
    </w:r>
    <w:r w:rsidR="007B448B" w:rsidRPr="00ED473A">
      <w:rPr>
        <w:b w:val="0"/>
        <w:bCs/>
        <w:lang w:val="fr-CH"/>
      </w:rPr>
      <w:t>/</w:t>
    </w:r>
    <w:r w:rsidR="001A4056">
      <w:rPr>
        <w:b w:val="0"/>
        <w:bCs/>
        <w:lang w:val="fr-CH"/>
      </w:rPr>
      <w:t>2023</w:t>
    </w:r>
  </w:p>
  <w:p w14:paraId="1E4606F3" w14:textId="53731434" w:rsidR="004B3A29" w:rsidRPr="00ED473A" w:rsidRDefault="00B7489C" w:rsidP="007B448B">
    <w:pPr>
      <w:pStyle w:val="Themenschwerpunkt"/>
      <w:rPr>
        <w:b w:val="0"/>
        <w:bCs/>
        <w:lang w:val="fr-CH"/>
      </w:rPr>
    </w:pPr>
    <w:r w:rsidRPr="006555BD">
      <w:rPr>
        <w:b w:val="0"/>
        <w:bCs/>
        <w:lang w:val="fr-CH"/>
      </w:rPr>
      <w:t>| VARIA</w:t>
    </w:r>
    <w:r w:rsidR="007B448B">
      <w:rPr>
        <w:b w:val="0"/>
        <w:bCs/>
        <w:lang w:val="fr-CH"/>
      </w:rPr>
      <w:tab/>
    </w:r>
    <w:r w:rsidR="007B448B">
      <w:rPr>
        <w:b w:val="0"/>
        <w:bCs/>
        <w:lang w:val="fr-CH"/>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3609" w14:textId="77777777" w:rsidR="00387ACA" w:rsidRDefault="00387AC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6CA3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A8E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5EEE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F3C40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3C95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02BE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0485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cleSection"/>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Titre4"/>
      <w:lvlText w:val=""/>
      <w:lvlJc w:val="right"/>
      <w:pPr>
        <w:ind w:left="0" w:firstLine="0"/>
      </w:pPr>
      <w:rPr>
        <w:rFonts w:ascii="Open Sans SemiCondensed" w:hAnsi="Open Sans SemiCondensed" w:hint="default"/>
      </w:rPr>
    </w:lvl>
    <w:lvl w:ilvl="4">
      <w:start w:val="1"/>
      <w:numFmt w:val="none"/>
      <w:pStyle w:val="Titre5"/>
      <w:lvlText w:val=""/>
      <w:lvlJc w:val="left"/>
      <w:pPr>
        <w:ind w:left="0" w:firstLine="0"/>
      </w:pPr>
      <w:rPr>
        <w:rFonts w:ascii="Open Sans SemiCondensed" w:hAnsi="Open Sans SemiCondensed" w:hint="default"/>
      </w:rPr>
    </w:lvl>
    <w:lvl w:ilvl="5">
      <w:start w:val="1"/>
      <w:numFmt w:val="none"/>
      <w:pStyle w:val="Titre6"/>
      <w:lvlText w:val=""/>
      <w:lvlJc w:val="left"/>
      <w:pPr>
        <w:ind w:left="0" w:firstLine="0"/>
      </w:pPr>
      <w:rPr>
        <w:rFonts w:ascii="Open Sans SemiCondensed" w:hAnsi="Open Sans SemiCondensed" w:hint="default"/>
      </w:rPr>
    </w:lvl>
    <w:lvl w:ilvl="6">
      <w:start w:val="1"/>
      <w:numFmt w:val="none"/>
      <w:pStyle w:val="Titre7"/>
      <w:lvlText w:val=""/>
      <w:lvlJc w:val="right"/>
      <w:pPr>
        <w:ind w:left="0" w:firstLine="0"/>
      </w:pPr>
      <w:rPr>
        <w:rFonts w:ascii="Open Sans SemiCondensed" w:hAnsi="Open Sans SemiCondensed" w:hint="default"/>
      </w:rPr>
    </w:lvl>
    <w:lvl w:ilvl="7">
      <w:start w:val="1"/>
      <w:numFmt w:val="none"/>
      <w:pStyle w:val="Titre8"/>
      <w:lvlText w:val=""/>
      <w:lvlJc w:val="left"/>
      <w:pPr>
        <w:ind w:left="0" w:firstLine="0"/>
      </w:pPr>
      <w:rPr>
        <w:rFonts w:ascii="Open Sans SemiCondensed" w:hAnsi="Open Sans SemiCondensed" w:hint="default"/>
      </w:rPr>
    </w:lvl>
    <w:lvl w:ilvl="8">
      <w:start w:val="1"/>
      <w:numFmt w:val="none"/>
      <w:pStyle w:val="Titre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0"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2B3CF3"/>
    <w:multiLevelType w:val="multilevel"/>
    <w:tmpl w:val="D16CDD2E"/>
    <w:lvl w:ilvl="0">
      <w:start w:val="1"/>
      <w:numFmt w:val="decimal"/>
      <w:pStyle w:val="Listenumros"/>
      <w:lvlText w:val="%1."/>
      <w:lvlJc w:val="left"/>
      <w:pPr>
        <w:ind w:left="360" w:hanging="360"/>
      </w:pPr>
    </w:lvl>
    <w:lvl w:ilvl="1">
      <w:start w:val="1"/>
      <w:numFmt w:val="decimal"/>
      <w:pStyle w:val="Listenumros2"/>
      <w:lvlText w:val="%1.%2."/>
      <w:lvlJc w:val="left"/>
      <w:pPr>
        <w:ind w:left="792" w:hanging="432"/>
      </w:pPr>
    </w:lvl>
    <w:lvl w:ilvl="2">
      <w:start w:val="1"/>
      <w:numFmt w:val="decimal"/>
      <w:pStyle w:val="Listenumro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2"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19"/>
  </w:num>
  <w:num w:numId="13" w16cid:durableId="1517846161">
    <w:abstractNumId w:val="26"/>
  </w:num>
  <w:num w:numId="14" w16cid:durableId="1128471426">
    <w:abstractNumId w:val="11"/>
  </w:num>
  <w:num w:numId="15" w16cid:durableId="1886675913">
    <w:abstractNumId w:val="24"/>
  </w:num>
  <w:num w:numId="16" w16cid:durableId="669143170">
    <w:abstractNumId w:val="36"/>
  </w:num>
  <w:num w:numId="17" w16cid:durableId="1816487952">
    <w:abstractNumId w:val="12"/>
  </w:num>
  <w:num w:numId="18" w16cid:durableId="1320425882">
    <w:abstractNumId w:val="31"/>
  </w:num>
  <w:num w:numId="19" w16cid:durableId="574709185">
    <w:abstractNumId w:val="39"/>
  </w:num>
  <w:num w:numId="20" w16cid:durableId="11883124">
    <w:abstractNumId w:val="37"/>
  </w:num>
  <w:num w:numId="21" w16cid:durableId="379716589">
    <w:abstractNumId w:val="25"/>
  </w:num>
  <w:num w:numId="22" w16cid:durableId="2088532560">
    <w:abstractNumId w:val="15"/>
  </w:num>
  <w:num w:numId="23" w16cid:durableId="904416417">
    <w:abstractNumId w:val="29"/>
  </w:num>
  <w:num w:numId="24" w16cid:durableId="1284269733">
    <w:abstractNumId w:val="33"/>
  </w:num>
  <w:num w:numId="25" w16cid:durableId="1202477524">
    <w:abstractNumId w:val="20"/>
  </w:num>
  <w:num w:numId="26" w16cid:durableId="93403316">
    <w:abstractNumId w:val="21"/>
  </w:num>
  <w:num w:numId="27" w16cid:durableId="1629702137">
    <w:abstractNumId w:val="27"/>
  </w:num>
  <w:num w:numId="28" w16cid:durableId="1363939546">
    <w:abstractNumId w:val="22"/>
  </w:num>
  <w:num w:numId="29" w16cid:durableId="1104112459">
    <w:abstractNumId w:val="34"/>
  </w:num>
  <w:num w:numId="30" w16cid:durableId="461922985">
    <w:abstractNumId w:val="35"/>
  </w:num>
  <w:num w:numId="31" w16cid:durableId="1674143091">
    <w:abstractNumId w:val="17"/>
  </w:num>
  <w:num w:numId="32" w16cid:durableId="383021627">
    <w:abstractNumId w:val="16"/>
  </w:num>
  <w:num w:numId="33" w16cid:durableId="930551164">
    <w:abstractNumId w:val="28"/>
  </w:num>
  <w:num w:numId="34" w16cid:durableId="603652748">
    <w:abstractNumId w:val="38"/>
  </w:num>
  <w:num w:numId="35" w16cid:durableId="391268124">
    <w:abstractNumId w:val="32"/>
  </w:num>
  <w:num w:numId="36" w16cid:durableId="139350252">
    <w:abstractNumId w:val="23"/>
  </w:num>
  <w:num w:numId="37" w16cid:durableId="1571379088">
    <w:abstractNumId w:val="18"/>
  </w:num>
  <w:num w:numId="38" w16cid:durableId="1164659798">
    <w:abstractNumId w:val="30"/>
  </w:num>
  <w:num w:numId="39" w16cid:durableId="1291790616">
    <w:abstractNumId w:val="13"/>
  </w:num>
  <w:num w:numId="40" w16cid:durableId="1479614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85F"/>
    <w:rsid w:val="0000522D"/>
    <w:rsid w:val="00012762"/>
    <w:rsid w:val="00016BFF"/>
    <w:rsid w:val="00021450"/>
    <w:rsid w:val="000236DA"/>
    <w:rsid w:val="00024143"/>
    <w:rsid w:val="000302CB"/>
    <w:rsid w:val="0003314D"/>
    <w:rsid w:val="000352CE"/>
    <w:rsid w:val="00053353"/>
    <w:rsid w:val="000663FA"/>
    <w:rsid w:val="000665A0"/>
    <w:rsid w:val="000750BD"/>
    <w:rsid w:val="000759D7"/>
    <w:rsid w:val="000821CC"/>
    <w:rsid w:val="00082DF8"/>
    <w:rsid w:val="00096056"/>
    <w:rsid w:val="000B51AF"/>
    <w:rsid w:val="000B5BB8"/>
    <w:rsid w:val="000C7E8E"/>
    <w:rsid w:val="000E1A38"/>
    <w:rsid w:val="000E34F9"/>
    <w:rsid w:val="000E6A66"/>
    <w:rsid w:val="000F0956"/>
    <w:rsid w:val="000F4B54"/>
    <w:rsid w:val="000F5288"/>
    <w:rsid w:val="0010334E"/>
    <w:rsid w:val="001114E2"/>
    <w:rsid w:val="001150A5"/>
    <w:rsid w:val="00115EF5"/>
    <w:rsid w:val="001161D6"/>
    <w:rsid w:val="00120CBF"/>
    <w:rsid w:val="0013310A"/>
    <w:rsid w:val="00151BCA"/>
    <w:rsid w:val="00153133"/>
    <w:rsid w:val="00154D3B"/>
    <w:rsid w:val="00157D7E"/>
    <w:rsid w:val="001650E0"/>
    <w:rsid w:val="00167858"/>
    <w:rsid w:val="001711DF"/>
    <w:rsid w:val="00176314"/>
    <w:rsid w:val="00191774"/>
    <w:rsid w:val="00193DDC"/>
    <w:rsid w:val="001A2EEC"/>
    <w:rsid w:val="001A4056"/>
    <w:rsid w:val="001B05BD"/>
    <w:rsid w:val="001B16E8"/>
    <w:rsid w:val="001B25F3"/>
    <w:rsid w:val="001B363A"/>
    <w:rsid w:val="001B7781"/>
    <w:rsid w:val="001C42F8"/>
    <w:rsid w:val="001D303D"/>
    <w:rsid w:val="001D3BFB"/>
    <w:rsid w:val="001E0AFB"/>
    <w:rsid w:val="001E3BE9"/>
    <w:rsid w:val="0020143D"/>
    <w:rsid w:val="00202A19"/>
    <w:rsid w:val="0020467E"/>
    <w:rsid w:val="00227EA8"/>
    <w:rsid w:val="00230ABC"/>
    <w:rsid w:val="00235A6C"/>
    <w:rsid w:val="002443A6"/>
    <w:rsid w:val="0025345A"/>
    <w:rsid w:val="00261370"/>
    <w:rsid w:val="00271882"/>
    <w:rsid w:val="00276B2C"/>
    <w:rsid w:val="00284EA0"/>
    <w:rsid w:val="002862AA"/>
    <w:rsid w:val="00293CB4"/>
    <w:rsid w:val="002957E5"/>
    <w:rsid w:val="002A4DC7"/>
    <w:rsid w:val="002B15D7"/>
    <w:rsid w:val="002B255C"/>
    <w:rsid w:val="002B7477"/>
    <w:rsid w:val="002C087E"/>
    <w:rsid w:val="002C5235"/>
    <w:rsid w:val="002E13B6"/>
    <w:rsid w:val="002E5374"/>
    <w:rsid w:val="002F1385"/>
    <w:rsid w:val="002F638A"/>
    <w:rsid w:val="00301AED"/>
    <w:rsid w:val="0030447C"/>
    <w:rsid w:val="00307EC7"/>
    <w:rsid w:val="00320D7F"/>
    <w:rsid w:val="00322024"/>
    <w:rsid w:val="003222A6"/>
    <w:rsid w:val="003227FA"/>
    <w:rsid w:val="0034693A"/>
    <w:rsid w:val="00365730"/>
    <w:rsid w:val="00365B82"/>
    <w:rsid w:val="00372BB7"/>
    <w:rsid w:val="00374015"/>
    <w:rsid w:val="00377028"/>
    <w:rsid w:val="003819B7"/>
    <w:rsid w:val="00382314"/>
    <w:rsid w:val="00383074"/>
    <w:rsid w:val="00386CFF"/>
    <w:rsid w:val="00387ACA"/>
    <w:rsid w:val="003A0EA7"/>
    <w:rsid w:val="003A1FA0"/>
    <w:rsid w:val="003A2717"/>
    <w:rsid w:val="003B4C81"/>
    <w:rsid w:val="003B6D3E"/>
    <w:rsid w:val="003D221C"/>
    <w:rsid w:val="003D502F"/>
    <w:rsid w:val="003D6013"/>
    <w:rsid w:val="003E022D"/>
    <w:rsid w:val="003E0578"/>
    <w:rsid w:val="003E130A"/>
    <w:rsid w:val="003E2ACA"/>
    <w:rsid w:val="003E6EB3"/>
    <w:rsid w:val="003F26BF"/>
    <w:rsid w:val="003F6A6B"/>
    <w:rsid w:val="003F6F74"/>
    <w:rsid w:val="003F78C2"/>
    <w:rsid w:val="004027D5"/>
    <w:rsid w:val="00404F18"/>
    <w:rsid w:val="004108D3"/>
    <w:rsid w:val="00411C2D"/>
    <w:rsid w:val="00412980"/>
    <w:rsid w:val="00414292"/>
    <w:rsid w:val="00414332"/>
    <w:rsid w:val="004162DB"/>
    <w:rsid w:val="00417833"/>
    <w:rsid w:val="00421D05"/>
    <w:rsid w:val="00426606"/>
    <w:rsid w:val="00435029"/>
    <w:rsid w:val="00441F45"/>
    <w:rsid w:val="0045144F"/>
    <w:rsid w:val="00454BCF"/>
    <w:rsid w:val="00462AC8"/>
    <w:rsid w:val="00467E46"/>
    <w:rsid w:val="0047168D"/>
    <w:rsid w:val="004860B2"/>
    <w:rsid w:val="00486270"/>
    <w:rsid w:val="004A2854"/>
    <w:rsid w:val="004B1834"/>
    <w:rsid w:val="004B29F8"/>
    <w:rsid w:val="004B3001"/>
    <w:rsid w:val="004B3A29"/>
    <w:rsid w:val="004B4E66"/>
    <w:rsid w:val="004B5ACE"/>
    <w:rsid w:val="004C13EB"/>
    <w:rsid w:val="004C4A76"/>
    <w:rsid w:val="004D542D"/>
    <w:rsid w:val="004D5508"/>
    <w:rsid w:val="004D58AC"/>
    <w:rsid w:val="004E02E2"/>
    <w:rsid w:val="004E232F"/>
    <w:rsid w:val="004E2EBB"/>
    <w:rsid w:val="004E3ABE"/>
    <w:rsid w:val="004F1DD2"/>
    <w:rsid w:val="004F39B6"/>
    <w:rsid w:val="004F5C23"/>
    <w:rsid w:val="004F71E0"/>
    <w:rsid w:val="00503584"/>
    <w:rsid w:val="005055D5"/>
    <w:rsid w:val="005101CD"/>
    <w:rsid w:val="00510F2E"/>
    <w:rsid w:val="00515BCF"/>
    <w:rsid w:val="00520645"/>
    <w:rsid w:val="00521361"/>
    <w:rsid w:val="00521559"/>
    <w:rsid w:val="00524EEA"/>
    <w:rsid w:val="00530E98"/>
    <w:rsid w:val="00533DA1"/>
    <w:rsid w:val="00536EAB"/>
    <w:rsid w:val="00546490"/>
    <w:rsid w:val="005465B3"/>
    <w:rsid w:val="0056578A"/>
    <w:rsid w:val="0056580A"/>
    <w:rsid w:val="0056595B"/>
    <w:rsid w:val="00570CEE"/>
    <w:rsid w:val="00571C0D"/>
    <w:rsid w:val="00572C4C"/>
    <w:rsid w:val="0057605E"/>
    <w:rsid w:val="00576E09"/>
    <w:rsid w:val="00577261"/>
    <w:rsid w:val="00581DB2"/>
    <w:rsid w:val="0058254F"/>
    <w:rsid w:val="00585ED0"/>
    <w:rsid w:val="00594747"/>
    <w:rsid w:val="00594844"/>
    <w:rsid w:val="0059572D"/>
    <w:rsid w:val="005A646E"/>
    <w:rsid w:val="005A6F41"/>
    <w:rsid w:val="005A7AE7"/>
    <w:rsid w:val="005D15B8"/>
    <w:rsid w:val="005D218D"/>
    <w:rsid w:val="005D7DB0"/>
    <w:rsid w:val="005E150A"/>
    <w:rsid w:val="005E5584"/>
    <w:rsid w:val="005E73D9"/>
    <w:rsid w:val="005E7DD5"/>
    <w:rsid w:val="006111D5"/>
    <w:rsid w:val="006111F5"/>
    <w:rsid w:val="00623E11"/>
    <w:rsid w:val="00625BAF"/>
    <w:rsid w:val="00626D2D"/>
    <w:rsid w:val="00627315"/>
    <w:rsid w:val="00633289"/>
    <w:rsid w:val="006411DE"/>
    <w:rsid w:val="006448C5"/>
    <w:rsid w:val="006555BD"/>
    <w:rsid w:val="00660A3C"/>
    <w:rsid w:val="006676E2"/>
    <w:rsid w:val="0067400D"/>
    <w:rsid w:val="0068132F"/>
    <w:rsid w:val="00682B8C"/>
    <w:rsid w:val="00685EB4"/>
    <w:rsid w:val="0069446D"/>
    <w:rsid w:val="006A066C"/>
    <w:rsid w:val="006A4C05"/>
    <w:rsid w:val="006B399B"/>
    <w:rsid w:val="006B5540"/>
    <w:rsid w:val="006C2B84"/>
    <w:rsid w:val="006C3DFC"/>
    <w:rsid w:val="006D2DC9"/>
    <w:rsid w:val="006D5D28"/>
    <w:rsid w:val="006E210A"/>
    <w:rsid w:val="006E2582"/>
    <w:rsid w:val="006E260B"/>
    <w:rsid w:val="00702BE5"/>
    <w:rsid w:val="00704FFB"/>
    <w:rsid w:val="0070502E"/>
    <w:rsid w:val="00705786"/>
    <w:rsid w:val="007155B8"/>
    <w:rsid w:val="00715F15"/>
    <w:rsid w:val="0071724C"/>
    <w:rsid w:val="0073031A"/>
    <w:rsid w:val="00736903"/>
    <w:rsid w:val="007373E7"/>
    <w:rsid w:val="007424F5"/>
    <w:rsid w:val="0074442C"/>
    <w:rsid w:val="00746880"/>
    <w:rsid w:val="00751688"/>
    <w:rsid w:val="00765604"/>
    <w:rsid w:val="00777A2F"/>
    <w:rsid w:val="00782F7F"/>
    <w:rsid w:val="00787B6E"/>
    <w:rsid w:val="007942DC"/>
    <w:rsid w:val="007949B3"/>
    <w:rsid w:val="007A26A1"/>
    <w:rsid w:val="007A3489"/>
    <w:rsid w:val="007A49D6"/>
    <w:rsid w:val="007A75E1"/>
    <w:rsid w:val="007B448B"/>
    <w:rsid w:val="007B4F54"/>
    <w:rsid w:val="007B5701"/>
    <w:rsid w:val="007B62B5"/>
    <w:rsid w:val="007C1EEE"/>
    <w:rsid w:val="007C5AB3"/>
    <w:rsid w:val="007D07BA"/>
    <w:rsid w:val="007E5E22"/>
    <w:rsid w:val="007E78D0"/>
    <w:rsid w:val="007F0B56"/>
    <w:rsid w:val="007F213D"/>
    <w:rsid w:val="007F43B0"/>
    <w:rsid w:val="007F5E1D"/>
    <w:rsid w:val="007F6BE1"/>
    <w:rsid w:val="00812247"/>
    <w:rsid w:val="00814F20"/>
    <w:rsid w:val="008152E5"/>
    <w:rsid w:val="00830A17"/>
    <w:rsid w:val="008351F7"/>
    <w:rsid w:val="00846925"/>
    <w:rsid w:val="00853805"/>
    <w:rsid w:val="00854166"/>
    <w:rsid w:val="00855097"/>
    <w:rsid w:val="00870508"/>
    <w:rsid w:val="008817FA"/>
    <w:rsid w:val="00882B9B"/>
    <w:rsid w:val="008854C8"/>
    <w:rsid w:val="00891E7D"/>
    <w:rsid w:val="008924D4"/>
    <w:rsid w:val="008A2229"/>
    <w:rsid w:val="008C409F"/>
    <w:rsid w:val="008C6EDB"/>
    <w:rsid w:val="008D11AB"/>
    <w:rsid w:val="008D1807"/>
    <w:rsid w:val="008D3E39"/>
    <w:rsid w:val="008E2D98"/>
    <w:rsid w:val="008E63F5"/>
    <w:rsid w:val="008F2E4E"/>
    <w:rsid w:val="00912E02"/>
    <w:rsid w:val="00914E31"/>
    <w:rsid w:val="00920846"/>
    <w:rsid w:val="00920A21"/>
    <w:rsid w:val="00935C5D"/>
    <w:rsid w:val="00943B46"/>
    <w:rsid w:val="009552F9"/>
    <w:rsid w:val="009660DC"/>
    <w:rsid w:val="00967D5F"/>
    <w:rsid w:val="00985126"/>
    <w:rsid w:val="00997469"/>
    <w:rsid w:val="009A1169"/>
    <w:rsid w:val="009A5784"/>
    <w:rsid w:val="009A7FF6"/>
    <w:rsid w:val="009C6886"/>
    <w:rsid w:val="009D4CCF"/>
    <w:rsid w:val="009E3573"/>
    <w:rsid w:val="009E5005"/>
    <w:rsid w:val="009F4CD6"/>
    <w:rsid w:val="009F6A07"/>
    <w:rsid w:val="00A10362"/>
    <w:rsid w:val="00A11404"/>
    <w:rsid w:val="00A133CC"/>
    <w:rsid w:val="00A3591C"/>
    <w:rsid w:val="00A3618B"/>
    <w:rsid w:val="00A37E53"/>
    <w:rsid w:val="00A416F7"/>
    <w:rsid w:val="00A50A1E"/>
    <w:rsid w:val="00A543D6"/>
    <w:rsid w:val="00A55E72"/>
    <w:rsid w:val="00A61330"/>
    <w:rsid w:val="00A62145"/>
    <w:rsid w:val="00A7006D"/>
    <w:rsid w:val="00A75A13"/>
    <w:rsid w:val="00A96BCB"/>
    <w:rsid w:val="00AA2E1A"/>
    <w:rsid w:val="00AA2F41"/>
    <w:rsid w:val="00AA5F40"/>
    <w:rsid w:val="00AA7D4C"/>
    <w:rsid w:val="00AB7501"/>
    <w:rsid w:val="00AC18C1"/>
    <w:rsid w:val="00AC20F1"/>
    <w:rsid w:val="00AC7DCA"/>
    <w:rsid w:val="00AD0869"/>
    <w:rsid w:val="00AD0AE3"/>
    <w:rsid w:val="00AE583E"/>
    <w:rsid w:val="00AE5D15"/>
    <w:rsid w:val="00AE631D"/>
    <w:rsid w:val="00AF16EB"/>
    <w:rsid w:val="00AF514B"/>
    <w:rsid w:val="00B218DB"/>
    <w:rsid w:val="00B23FEC"/>
    <w:rsid w:val="00B403A8"/>
    <w:rsid w:val="00B4721A"/>
    <w:rsid w:val="00B50E21"/>
    <w:rsid w:val="00B54E5C"/>
    <w:rsid w:val="00B71621"/>
    <w:rsid w:val="00B7489C"/>
    <w:rsid w:val="00B7596B"/>
    <w:rsid w:val="00B77F0A"/>
    <w:rsid w:val="00BA20FB"/>
    <w:rsid w:val="00BB3270"/>
    <w:rsid w:val="00BC32F4"/>
    <w:rsid w:val="00BC4C02"/>
    <w:rsid w:val="00BD4FAD"/>
    <w:rsid w:val="00BD74F7"/>
    <w:rsid w:val="00BF7E9F"/>
    <w:rsid w:val="00C00281"/>
    <w:rsid w:val="00C15972"/>
    <w:rsid w:val="00C201F8"/>
    <w:rsid w:val="00C20893"/>
    <w:rsid w:val="00C24833"/>
    <w:rsid w:val="00C350DC"/>
    <w:rsid w:val="00C43705"/>
    <w:rsid w:val="00C50710"/>
    <w:rsid w:val="00C55662"/>
    <w:rsid w:val="00C63ADB"/>
    <w:rsid w:val="00C66B79"/>
    <w:rsid w:val="00C77A77"/>
    <w:rsid w:val="00C85052"/>
    <w:rsid w:val="00C90953"/>
    <w:rsid w:val="00CA1C69"/>
    <w:rsid w:val="00CA6279"/>
    <w:rsid w:val="00CA6A6C"/>
    <w:rsid w:val="00CC1689"/>
    <w:rsid w:val="00CF4C21"/>
    <w:rsid w:val="00CF788D"/>
    <w:rsid w:val="00D02DE1"/>
    <w:rsid w:val="00D107FB"/>
    <w:rsid w:val="00D10858"/>
    <w:rsid w:val="00D12AA0"/>
    <w:rsid w:val="00D17F8E"/>
    <w:rsid w:val="00D30491"/>
    <w:rsid w:val="00D3261D"/>
    <w:rsid w:val="00D45554"/>
    <w:rsid w:val="00D55316"/>
    <w:rsid w:val="00D603DE"/>
    <w:rsid w:val="00D60940"/>
    <w:rsid w:val="00D614DC"/>
    <w:rsid w:val="00D61629"/>
    <w:rsid w:val="00D65100"/>
    <w:rsid w:val="00D75B90"/>
    <w:rsid w:val="00D770B2"/>
    <w:rsid w:val="00D84269"/>
    <w:rsid w:val="00D8787E"/>
    <w:rsid w:val="00D9463F"/>
    <w:rsid w:val="00D969AF"/>
    <w:rsid w:val="00DA3CEB"/>
    <w:rsid w:val="00DB085C"/>
    <w:rsid w:val="00DB1F8B"/>
    <w:rsid w:val="00DB29A4"/>
    <w:rsid w:val="00DB5151"/>
    <w:rsid w:val="00DB5625"/>
    <w:rsid w:val="00DC0AB5"/>
    <w:rsid w:val="00DC399A"/>
    <w:rsid w:val="00DC6FB8"/>
    <w:rsid w:val="00DD05C7"/>
    <w:rsid w:val="00DD11BA"/>
    <w:rsid w:val="00DD1623"/>
    <w:rsid w:val="00DE555E"/>
    <w:rsid w:val="00DE6B7F"/>
    <w:rsid w:val="00DF11B1"/>
    <w:rsid w:val="00DF1271"/>
    <w:rsid w:val="00DF5157"/>
    <w:rsid w:val="00E033C2"/>
    <w:rsid w:val="00E03695"/>
    <w:rsid w:val="00E22F68"/>
    <w:rsid w:val="00E23124"/>
    <w:rsid w:val="00E26F3D"/>
    <w:rsid w:val="00E31225"/>
    <w:rsid w:val="00E33CE2"/>
    <w:rsid w:val="00E4234A"/>
    <w:rsid w:val="00E42E44"/>
    <w:rsid w:val="00E4441D"/>
    <w:rsid w:val="00E54DD0"/>
    <w:rsid w:val="00E60C8E"/>
    <w:rsid w:val="00E6236B"/>
    <w:rsid w:val="00E65CBC"/>
    <w:rsid w:val="00E7780E"/>
    <w:rsid w:val="00E8625B"/>
    <w:rsid w:val="00E9142E"/>
    <w:rsid w:val="00E94434"/>
    <w:rsid w:val="00E96E69"/>
    <w:rsid w:val="00EA2896"/>
    <w:rsid w:val="00EA4676"/>
    <w:rsid w:val="00EA484D"/>
    <w:rsid w:val="00EB30C5"/>
    <w:rsid w:val="00EB63F2"/>
    <w:rsid w:val="00EC0A4F"/>
    <w:rsid w:val="00EC78BE"/>
    <w:rsid w:val="00ED048D"/>
    <w:rsid w:val="00ED473A"/>
    <w:rsid w:val="00EF4C1D"/>
    <w:rsid w:val="00EF7CFB"/>
    <w:rsid w:val="00F025F7"/>
    <w:rsid w:val="00F14915"/>
    <w:rsid w:val="00F14E7D"/>
    <w:rsid w:val="00F26B71"/>
    <w:rsid w:val="00F45D16"/>
    <w:rsid w:val="00F47AD4"/>
    <w:rsid w:val="00F538D7"/>
    <w:rsid w:val="00F642FA"/>
    <w:rsid w:val="00F73C2D"/>
    <w:rsid w:val="00F767F6"/>
    <w:rsid w:val="00F76CB2"/>
    <w:rsid w:val="00F83A13"/>
    <w:rsid w:val="00FB2600"/>
    <w:rsid w:val="00FB2DAA"/>
    <w:rsid w:val="00FB48D2"/>
    <w:rsid w:val="00FB6FF4"/>
    <w:rsid w:val="00FB7742"/>
    <w:rsid w:val="00FC385F"/>
    <w:rsid w:val="00FC62F4"/>
    <w:rsid w:val="00FC7953"/>
    <w:rsid w:val="00FD4E6B"/>
    <w:rsid w:val="00FD5708"/>
    <w:rsid w:val="00FE4C9E"/>
    <w:rsid w:val="00FE57F9"/>
    <w:rsid w:val="00FF2C40"/>
    <w:rsid w:val="00FF2E2B"/>
    <w:rsid w:val="0AC3F573"/>
    <w:rsid w:val="2A68C9A5"/>
    <w:rsid w:val="643498CE"/>
    <w:rsid w:val="7AC1EBA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7EAFB"/>
  <w15:docId w15:val="{0B5080EE-96E4-4EF2-A9E3-BD7BC34A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53133"/>
    <w:pPr>
      <w:spacing w:after="0" w:line="276" w:lineRule="auto"/>
    </w:pPr>
  </w:style>
  <w:style w:type="paragraph" w:styleId="Titre1">
    <w:name w:val="heading 1"/>
    <w:basedOn w:val="Normal"/>
    <w:next w:val="Corpsdetexte"/>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Titre2">
    <w:name w:val="heading 2"/>
    <w:basedOn w:val="Normal"/>
    <w:next w:val="Corpsdetexte"/>
    <w:uiPriority w:val="9"/>
    <w:qFormat/>
    <w:rsid w:val="00855097"/>
    <w:pPr>
      <w:keepNext/>
      <w:keepLines/>
      <w:spacing w:before="240" w:after="60"/>
      <w:outlineLvl w:val="1"/>
    </w:pPr>
    <w:rPr>
      <w:rFonts w:eastAsiaTheme="majorEastAsia" w:cs="Open Sans SemiCondensed"/>
      <w:b/>
      <w:bCs/>
      <w:szCs w:val="24"/>
    </w:rPr>
  </w:style>
  <w:style w:type="paragraph" w:styleId="Titre3">
    <w:name w:val="heading 3"/>
    <w:basedOn w:val="Normal"/>
    <w:next w:val="Corpsdetexte"/>
    <w:uiPriority w:val="9"/>
    <w:qFormat/>
    <w:rsid w:val="009E5005"/>
    <w:pPr>
      <w:keepNext/>
      <w:keepLines/>
      <w:spacing w:before="120" w:after="60"/>
      <w:outlineLvl w:val="2"/>
    </w:pPr>
    <w:rPr>
      <w:rFonts w:eastAsiaTheme="majorEastAsia" w:cs="Open Sans SemiCondensed"/>
      <w:bCs/>
      <w:i/>
    </w:rPr>
  </w:style>
  <w:style w:type="paragraph" w:styleId="Titre4">
    <w:name w:val="heading 4"/>
    <w:basedOn w:val="Normal"/>
    <w:next w:val="Corpsdetexte"/>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Titre5">
    <w:name w:val="heading 5"/>
    <w:basedOn w:val="Normal"/>
    <w:next w:val="Corpsdetexte"/>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Titre6">
    <w:name w:val="heading 6"/>
    <w:basedOn w:val="Normal"/>
    <w:next w:val="Corpsdetexte"/>
    <w:uiPriority w:val="9"/>
    <w:unhideWhenUsed/>
    <w:rsid w:val="00153133"/>
    <w:pPr>
      <w:keepNext/>
      <w:keepLines/>
      <w:numPr>
        <w:ilvl w:val="5"/>
        <w:numId w:val="40"/>
      </w:numPr>
      <w:spacing w:before="200"/>
      <w:outlineLvl w:val="5"/>
    </w:pPr>
    <w:rPr>
      <w:rFonts w:eastAsiaTheme="majorEastAsia" w:cstheme="majorBidi"/>
      <w:sz w:val="24"/>
    </w:rPr>
  </w:style>
  <w:style w:type="paragraph" w:styleId="Titre7">
    <w:name w:val="heading 7"/>
    <w:basedOn w:val="Normal"/>
    <w:next w:val="Corpsdetexte"/>
    <w:uiPriority w:val="9"/>
    <w:unhideWhenUsed/>
    <w:rsid w:val="00153133"/>
    <w:pPr>
      <w:keepNext/>
      <w:keepLines/>
      <w:numPr>
        <w:ilvl w:val="6"/>
        <w:numId w:val="40"/>
      </w:numPr>
      <w:spacing w:before="200"/>
      <w:outlineLvl w:val="6"/>
    </w:pPr>
    <w:rPr>
      <w:rFonts w:eastAsiaTheme="majorEastAsia" w:cstheme="majorBidi"/>
      <w:sz w:val="24"/>
    </w:rPr>
  </w:style>
  <w:style w:type="paragraph" w:styleId="Titre8">
    <w:name w:val="heading 8"/>
    <w:basedOn w:val="Normal"/>
    <w:next w:val="Corpsdetexte"/>
    <w:uiPriority w:val="9"/>
    <w:unhideWhenUsed/>
    <w:rsid w:val="00153133"/>
    <w:pPr>
      <w:keepNext/>
      <w:keepLines/>
      <w:numPr>
        <w:ilvl w:val="7"/>
        <w:numId w:val="40"/>
      </w:numPr>
      <w:spacing w:before="200"/>
      <w:outlineLvl w:val="7"/>
    </w:pPr>
    <w:rPr>
      <w:rFonts w:eastAsiaTheme="majorEastAsia" w:cstheme="majorBidi"/>
      <w:sz w:val="24"/>
    </w:rPr>
  </w:style>
  <w:style w:type="paragraph" w:styleId="Titre9">
    <w:name w:val="heading 9"/>
    <w:basedOn w:val="Normal"/>
    <w:next w:val="Corpsdetexte"/>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qFormat/>
    <w:rsid w:val="007F5E1D"/>
    <w:pPr>
      <w:spacing w:before="60" w:after="60"/>
      <w:ind w:firstLine="170"/>
      <w:jc w:val="both"/>
    </w:pPr>
  </w:style>
  <w:style w:type="paragraph" w:customStyle="1" w:styleId="FirstParagraph">
    <w:name w:val="First Paragraph"/>
    <w:basedOn w:val="Corpsdetexte"/>
    <w:next w:val="Corpsdetexte"/>
  </w:style>
  <w:style w:type="paragraph" w:customStyle="1" w:styleId="Compact">
    <w:name w:val="Compact"/>
    <w:basedOn w:val="Corpsdetexte2"/>
    <w:pPr>
      <w:spacing w:before="36" w:after="36"/>
    </w:pPr>
  </w:style>
  <w:style w:type="paragraph" w:styleId="Titre">
    <w:name w:val="Title"/>
    <w:basedOn w:val="Normal"/>
    <w:next w:val="Corpsdetexte"/>
    <w:qFormat/>
    <w:rsid w:val="003D502F"/>
    <w:pPr>
      <w:keepNext/>
      <w:keepLines/>
      <w:spacing w:line="240" w:lineRule="auto"/>
    </w:pPr>
    <w:rPr>
      <w:rFonts w:eastAsiaTheme="majorEastAsia" w:cstheme="majorBidi"/>
      <w:b/>
      <w:bCs/>
      <w:color w:val="D31932" w:themeColor="accent1"/>
      <w:spacing w:val="20"/>
      <w:sz w:val="28"/>
      <w:szCs w:val="28"/>
    </w:rPr>
  </w:style>
  <w:style w:type="paragraph" w:styleId="Sous-titre">
    <w:name w:val="Subtitle"/>
    <w:basedOn w:val="Titre"/>
    <w:next w:val="Corpsdetexte"/>
    <w:link w:val="Sous-titreCar"/>
    <w:qFormat/>
    <w:rsid w:val="00EF7CFB"/>
    <w:pPr>
      <w:spacing w:before="120" w:after="120"/>
    </w:pPr>
    <w:rPr>
      <w:b w:val="0"/>
      <w:color w:val="auto"/>
      <w:sz w:val="24"/>
      <w:szCs w:val="30"/>
    </w:rPr>
  </w:style>
  <w:style w:type="paragraph" w:customStyle="1" w:styleId="Author">
    <w:name w:val="Author"/>
    <w:basedOn w:val="Normal"/>
    <w:next w:val="Corpsdetexte"/>
    <w:qFormat/>
    <w:rsid w:val="000352CE"/>
    <w:pPr>
      <w:keepNext/>
      <w:keepLines/>
      <w:spacing w:after="240"/>
    </w:pPr>
    <w:rPr>
      <w:szCs w:val="18"/>
      <w:lang w:val="fr-CH"/>
    </w:rPr>
  </w:style>
  <w:style w:type="paragraph" w:styleId="Date">
    <w:name w:val="Date"/>
    <w:next w:val="Corpsdetexte"/>
    <w:pPr>
      <w:keepNext/>
      <w:keepLines/>
      <w:jc w:val="center"/>
    </w:pPr>
  </w:style>
  <w:style w:type="paragraph" w:customStyle="1" w:styleId="Abstract">
    <w:name w:val="Abstract"/>
    <w:basedOn w:val="Normal"/>
    <w:next w:val="Corpsdetexte"/>
    <w:qFormat/>
    <w:rsid w:val="00855097"/>
    <w:pPr>
      <w:keepNext/>
      <w:keepLines/>
      <w:spacing w:after="240"/>
      <w:jc w:val="both"/>
    </w:pPr>
    <w:rPr>
      <w:i/>
    </w:rPr>
  </w:style>
  <w:style w:type="paragraph" w:styleId="Bibliographie">
    <w:name w:val="Bibliography"/>
    <w:basedOn w:val="Normal"/>
    <w:qFormat/>
    <w:rsid w:val="00CF788D"/>
    <w:pPr>
      <w:ind w:left="567" w:hanging="567"/>
    </w:pPr>
  </w:style>
  <w:style w:type="paragraph" w:styleId="Normalcentr">
    <w:name w:val="Block Text"/>
    <w:basedOn w:val="Corpsdetexte"/>
    <w:next w:val="Corpsdetexte"/>
    <w:uiPriority w:val="9"/>
    <w:unhideWhenUsed/>
    <w:pPr>
      <w:spacing w:before="100" w:after="100"/>
      <w:ind w:left="480" w:right="480"/>
    </w:pPr>
  </w:style>
  <w:style w:type="paragraph" w:styleId="Notedebasdepage">
    <w:name w:val="footnote text"/>
    <w:basedOn w:val="Normal"/>
    <w:link w:val="NotedebasdepageCar"/>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customStyle="1" w:styleId="LegendeAbbildung">
    <w:name w:val="Legende Abbildung"/>
    <w:basedOn w:val="LegendeTabelle"/>
    <w:qFormat/>
    <w:rsid w:val="0047168D"/>
    <w:rPr>
      <w:lang w:val="fr-CH"/>
    </w:rPr>
  </w:style>
  <w:style w:type="paragraph" w:customStyle="1" w:styleId="NotizTabelle">
    <w:name w:val="Notiz Tabelle"/>
    <w:basedOn w:val="Normal"/>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Normal"/>
  </w:style>
  <w:style w:type="character" w:styleId="Appelnotedebasdep">
    <w:name w:val="footnote reference"/>
    <w:basedOn w:val="Policepardfaut"/>
    <w:uiPriority w:val="99"/>
    <w:rsid w:val="00EF7CFB"/>
    <w:rPr>
      <w:rFonts w:ascii="Open Sans SemiCondensed" w:hAnsi="Open Sans SemiCondensed"/>
      <w:b w:val="0"/>
      <w:bCs/>
      <w:i w:val="0"/>
      <w:iCs/>
      <w:color w:val="auto"/>
      <w:sz w:val="20"/>
      <w:vertAlign w:val="superscript"/>
    </w:rPr>
  </w:style>
  <w:style w:type="character" w:styleId="Lienhypertexte">
    <w:name w:val="Hyperlink"/>
    <w:basedOn w:val="NotedebasdepageCar"/>
    <w:rsid w:val="003D502F"/>
    <w:rPr>
      <w:rFonts w:ascii="Open Sans SemiCondensed" w:hAnsi="Open Sans SemiCondensed"/>
      <w:b w:val="0"/>
      <w:bCs/>
      <w:i w:val="0"/>
      <w:iCs/>
      <w:color w:val="D31932" w:themeColor="accent1"/>
      <w:spacing w:val="-4"/>
      <w:sz w:val="20"/>
    </w:rPr>
  </w:style>
  <w:style w:type="paragraph" w:styleId="En-ttedetabledesmatires">
    <w:name w:val="TOC Heading"/>
    <w:basedOn w:val="Titre1"/>
    <w:next w:val="Corpsdetexte"/>
    <w:uiPriority w:val="39"/>
    <w:unhideWhenUsed/>
    <w:rsid w:val="00024143"/>
    <w:pPr>
      <w:spacing w:line="259" w:lineRule="auto"/>
      <w:outlineLvl w:val="9"/>
    </w:pPr>
    <w:rPr>
      <w:bCs w:val="0"/>
      <w:color w:val="auto"/>
    </w:rPr>
  </w:style>
  <w:style w:type="paragraph" w:styleId="En-tte">
    <w:name w:val="header"/>
    <w:basedOn w:val="Normal"/>
    <w:link w:val="En-tteCar"/>
    <w:unhideWhenUsed/>
    <w:rsid w:val="004B3A29"/>
    <w:pPr>
      <w:tabs>
        <w:tab w:val="center" w:pos="4513"/>
        <w:tab w:val="right" w:pos="9026"/>
      </w:tabs>
    </w:pPr>
  </w:style>
  <w:style w:type="character" w:customStyle="1" w:styleId="CorpsdetexteCar">
    <w:name w:val="Corps de texte Car"/>
    <w:basedOn w:val="Policepardfaut"/>
    <w:link w:val="Corpsdetexte"/>
    <w:rsid w:val="007F5E1D"/>
  </w:style>
  <w:style w:type="character" w:customStyle="1" w:styleId="En-tteCar">
    <w:name w:val="En-tête Car"/>
    <w:basedOn w:val="Policepardfaut"/>
    <w:link w:val="En-tte"/>
    <w:rsid w:val="004B3A29"/>
    <w:rPr>
      <w:rFonts w:ascii="Open Sans SemiCondensed" w:hAnsi="Open Sans SemiCondensed"/>
      <w:sz w:val="20"/>
    </w:rPr>
  </w:style>
  <w:style w:type="paragraph" w:styleId="Pieddepage">
    <w:name w:val="footer"/>
    <w:basedOn w:val="Normal"/>
    <w:link w:val="PieddepageCar"/>
    <w:unhideWhenUsed/>
    <w:rsid w:val="007B448B"/>
    <w:pPr>
      <w:tabs>
        <w:tab w:val="center" w:pos="4513"/>
        <w:tab w:val="right" w:pos="9026"/>
      </w:tabs>
    </w:pPr>
    <w:rPr>
      <w:sz w:val="18"/>
    </w:rPr>
  </w:style>
  <w:style w:type="character" w:customStyle="1" w:styleId="PieddepageCar">
    <w:name w:val="Pied de page Car"/>
    <w:basedOn w:val="Policepardfaut"/>
    <w:link w:val="Pieddepage"/>
    <w:rsid w:val="007B448B"/>
    <w:rPr>
      <w:rFonts w:ascii="Open Sans SemiCondensed" w:hAnsi="Open Sans SemiCondensed"/>
      <w:spacing w:val="-4"/>
      <w:sz w:val="18"/>
    </w:rPr>
  </w:style>
  <w:style w:type="paragraph" w:customStyle="1" w:styleId="Themenschwerpunkt">
    <w:name w:val="Themenschwerpunkt"/>
    <w:basedOn w:val="En-tt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En-tteCar"/>
    <w:link w:val="Themenschwerpunkt"/>
    <w:rsid w:val="00CC1689"/>
    <w:rPr>
      <w:rFonts w:ascii="Open Sans SemiCondensed" w:hAnsi="Open Sans SemiCondensed"/>
      <w:b/>
      <w:noProof/>
      <w:spacing w:val="0"/>
      <w:sz w:val="14"/>
      <w:szCs w:val="22"/>
      <w:lang w:val="de-DE"/>
    </w:rPr>
  </w:style>
  <w:style w:type="paragraph" w:styleId="Corpsdetexte2">
    <w:name w:val="Body Text 2"/>
    <w:basedOn w:val="Corpsdetexte"/>
    <w:link w:val="Corpsdetexte2Car"/>
    <w:rsid w:val="007F5E1D"/>
    <w:pPr>
      <w:ind w:firstLine="0"/>
    </w:pPr>
  </w:style>
  <w:style w:type="character" w:customStyle="1" w:styleId="Corpsdetexte2Car">
    <w:name w:val="Corps de texte 2 Car"/>
    <w:basedOn w:val="Policepardfaut"/>
    <w:link w:val="Corpsdetexte2"/>
    <w:rsid w:val="007F5E1D"/>
  </w:style>
  <w:style w:type="paragraph" w:styleId="Corpsdetexte3">
    <w:name w:val="Body Text 3"/>
    <w:basedOn w:val="Corpsdetexte"/>
    <w:link w:val="Corpsdetexte3Car"/>
    <w:autoRedefine/>
    <w:rsid w:val="009A5784"/>
    <w:pPr>
      <w:spacing w:before="0" w:after="0"/>
      <w:ind w:right="-109" w:firstLine="0"/>
      <w:jc w:val="left"/>
    </w:pPr>
    <w:rPr>
      <w:lang w:val="de-CH"/>
    </w:rPr>
  </w:style>
  <w:style w:type="character" w:customStyle="1" w:styleId="Corpsdetexte3Car">
    <w:name w:val="Corps de texte 3 Car"/>
    <w:basedOn w:val="Policepardfaut"/>
    <w:link w:val="Corpsdetexte3"/>
    <w:rsid w:val="009A5784"/>
    <w:rPr>
      <w:lang w:val="de-CH"/>
    </w:rPr>
  </w:style>
  <w:style w:type="paragraph" w:customStyle="1" w:styleId="LegendeTabelle">
    <w:name w:val="Legende Tabelle"/>
    <w:basedOn w:val="Normal"/>
    <w:qFormat/>
    <w:rsid w:val="003D502F"/>
    <w:pPr>
      <w:keepNext/>
      <w:spacing w:before="120" w:after="120" w:line="240" w:lineRule="auto"/>
    </w:pPr>
    <w:rPr>
      <w:bCs/>
      <w:i/>
      <w:iCs/>
      <w:color w:val="D31932" w:themeColor="accent1"/>
    </w:rPr>
  </w:style>
  <w:style w:type="paragraph" w:styleId="Liste">
    <w:name w:val="List"/>
    <w:basedOn w:val="Normal"/>
    <w:unhideWhenUsed/>
    <w:qFormat/>
    <w:rsid w:val="00ED473A"/>
    <w:pPr>
      <w:numPr>
        <w:numId w:val="17"/>
      </w:numPr>
      <w:ind w:left="454" w:hanging="284"/>
      <w:contextualSpacing/>
    </w:pPr>
  </w:style>
  <w:style w:type="paragraph" w:styleId="Liste2">
    <w:name w:val="List 2"/>
    <w:basedOn w:val="Normal"/>
    <w:unhideWhenUsed/>
    <w:rsid w:val="00ED473A"/>
    <w:pPr>
      <w:numPr>
        <w:ilvl w:val="1"/>
        <w:numId w:val="17"/>
      </w:numPr>
      <w:ind w:left="794" w:hanging="284"/>
      <w:contextualSpacing/>
    </w:pPr>
  </w:style>
  <w:style w:type="paragraph" w:styleId="Liste3">
    <w:name w:val="List 3"/>
    <w:basedOn w:val="Normal"/>
    <w:unhideWhenUsed/>
    <w:rsid w:val="00ED473A"/>
    <w:pPr>
      <w:numPr>
        <w:ilvl w:val="2"/>
        <w:numId w:val="17"/>
      </w:numPr>
      <w:ind w:left="1135" w:hanging="284"/>
      <w:contextualSpacing/>
    </w:pPr>
  </w:style>
  <w:style w:type="paragraph" w:styleId="Index1">
    <w:name w:val="index 1"/>
    <w:basedOn w:val="Normal"/>
    <w:next w:val="Normal"/>
    <w:autoRedefine/>
    <w:rsid w:val="00571C0D"/>
    <w:pPr>
      <w:spacing w:line="240" w:lineRule="auto"/>
      <w:ind w:left="200" w:hanging="200"/>
    </w:pPr>
  </w:style>
  <w:style w:type="character" w:styleId="Mention">
    <w:name w:val="Mention"/>
    <w:basedOn w:val="Policepardfaut"/>
    <w:uiPriority w:val="99"/>
    <w:unhideWhenUsed/>
    <w:rsid w:val="00EA4676"/>
    <w:rPr>
      <w:color w:val="2B579A"/>
      <w:shd w:val="clear" w:color="auto" w:fill="E1DFDD"/>
    </w:rPr>
  </w:style>
  <w:style w:type="character" w:styleId="lev">
    <w:name w:val="Strong"/>
    <w:basedOn w:val="Policepardfaut"/>
    <w:rsid w:val="00EA4676"/>
    <w:rPr>
      <w:b/>
      <w:bCs/>
    </w:rPr>
  </w:style>
  <w:style w:type="character" w:customStyle="1" w:styleId="NotedebasdepageCar">
    <w:name w:val="Note de bas de page Car"/>
    <w:basedOn w:val="Policepardfaut"/>
    <w:link w:val="Notedebasdepage"/>
    <w:uiPriority w:val="99"/>
    <w:rsid w:val="007B448B"/>
    <w:rPr>
      <w:rFonts w:ascii="Open Sans SemiCondensed" w:hAnsi="Open Sans SemiCondensed"/>
      <w:spacing w:val="-4"/>
      <w:sz w:val="18"/>
    </w:rPr>
  </w:style>
  <w:style w:type="table" w:styleId="TableauGrille1Clair">
    <w:name w:val="Grid Table 1 Light"/>
    <w:basedOn w:val="TableauNormal"/>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nonrsolue">
    <w:name w:val="Unresolved Mention"/>
    <w:basedOn w:val="Policepardfaut"/>
    <w:uiPriority w:val="99"/>
    <w:semiHidden/>
    <w:unhideWhenUsed/>
    <w:rsid w:val="00853805"/>
    <w:rPr>
      <w:color w:val="605E5C"/>
      <w:shd w:val="clear" w:color="auto" w:fill="E1DFDD"/>
    </w:rPr>
  </w:style>
  <w:style w:type="character" w:styleId="Marquedecommentaire">
    <w:name w:val="annotation reference"/>
    <w:basedOn w:val="Policepardfaut"/>
    <w:uiPriority w:val="99"/>
    <w:semiHidden/>
    <w:unhideWhenUsed/>
    <w:rsid w:val="00D02DE1"/>
    <w:rPr>
      <w:sz w:val="16"/>
      <w:szCs w:val="16"/>
    </w:rPr>
  </w:style>
  <w:style w:type="paragraph" w:styleId="Commentaire">
    <w:name w:val="annotation text"/>
    <w:basedOn w:val="Normal"/>
    <w:link w:val="CommentaireCar"/>
    <w:uiPriority w:val="99"/>
    <w:unhideWhenUsed/>
    <w:rsid w:val="00D02DE1"/>
    <w:pPr>
      <w:spacing w:line="240" w:lineRule="auto"/>
    </w:pPr>
  </w:style>
  <w:style w:type="character" w:customStyle="1" w:styleId="CommentaireCar">
    <w:name w:val="Commentaire Car"/>
    <w:basedOn w:val="Policepardfaut"/>
    <w:link w:val="Commentaire"/>
    <w:uiPriority w:val="99"/>
    <w:rsid w:val="00D02DE1"/>
    <w:rPr>
      <w:rFonts w:ascii="Open Sans SemiCondensed" w:hAnsi="Open Sans SemiCondensed"/>
      <w:sz w:val="20"/>
      <w:szCs w:val="20"/>
    </w:rPr>
  </w:style>
  <w:style w:type="character" w:customStyle="1" w:styleId="Sous-titreCar">
    <w:name w:val="Sous-titre Car"/>
    <w:basedOn w:val="Policepardfaut"/>
    <w:link w:val="Sous-titre"/>
    <w:rsid w:val="00EF7CFB"/>
    <w:rPr>
      <w:rFonts w:ascii="Open Sans SemiCondensed" w:eastAsiaTheme="majorEastAsia" w:hAnsi="Open Sans SemiCondensed" w:cstheme="majorBidi"/>
      <w:bCs/>
      <w:spacing w:val="20"/>
      <w:szCs w:val="30"/>
    </w:rPr>
  </w:style>
  <w:style w:type="table" w:styleId="Grilledutableau">
    <w:name w:val="Table Grid"/>
    <w:basedOn w:val="TableauNormal"/>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Normal"/>
    <w:link w:val="HervorhebungCar"/>
    <w:qFormat/>
    <w:rsid w:val="003D502F"/>
    <w:rPr>
      <w:bCs/>
      <w:i/>
      <w:color w:val="D31932" w:themeColor="accent1"/>
      <w:spacing w:val="10"/>
      <w:szCs w:val="22"/>
    </w:rPr>
  </w:style>
  <w:style w:type="character" w:customStyle="1" w:styleId="HervorhebungCar">
    <w:name w:val="Hervorhebung Car"/>
    <w:basedOn w:val="Policepardfaut"/>
    <w:link w:val="Hervorhebung1"/>
    <w:rsid w:val="003D502F"/>
    <w:rPr>
      <w:bCs/>
      <w:i/>
      <w:color w:val="D31932" w:themeColor="accent1"/>
      <w:spacing w:val="10"/>
      <w:szCs w:val="22"/>
    </w:rPr>
  </w:style>
  <w:style w:type="paragraph" w:customStyle="1" w:styleId="Zitat1">
    <w:name w:val="Zitat1"/>
    <w:basedOn w:val="Normal"/>
    <w:next w:val="Corpsdetexte"/>
    <w:qFormat/>
    <w:rsid w:val="00157D7E"/>
    <w:pPr>
      <w:spacing w:before="120" w:after="240"/>
      <w:ind w:left="284" w:right="567"/>
      <w:jc w:val="both"/>
    </w:pPr>
    <w:rPr>
      <w:i/>
      <w:iCs/>
      <w:noProof/>
      <w:color w:val="262626" w:themeColor="text1" w:themeTint="D9"/>
    </w:rPr>
  </w:style>
  <w:style w:type="paragraph" w:styleId="Objetducommentaire">
    <w:name w:val="annotation subject"/>
    <w:basedOn w:val="Commentaire"/>
    <w:next w:val="Commentaire"/>
    <w:link w:val="ObjetducommentaireCar"/>
    <w:semiHidden/>
    <w:unhideWhenUsed/>
    <w:rsid w:val="000302CB"/>
    <w:rPr>
      <w:b/>
      <w:bCs/>
    </w:rPr>
  </w:style>
  <w:style w:type="character" w:customStyle="1" w:styleId="ObjetducommentaireCar">
    <w:name w:val="Objet du commentaire Car"/>
    <w:basedOn w:val="CommentaireCar"/>
    <w:link w:val="Objetducommentaire"/>
    <w:semiHidden/>
    <w:rsid w:val="000302CB"/>
    <w:rPr>
      <w:rFonts w:ascii="Open Sans SemiCondensed" w:hAnsi="Open Sans SemiCondensed"/>
      <w:b/>
      <w:bCs/>
      <w:spacing w:val="-4"/>
      <w:sz w:val="20"/>
      <w:szCs w:val="20"/>
    </w:rPr>
  </w:style>
  <w:style w:type="paragraph" w:styleId="Listenumros">
    <w:name w:val="List Number"/>
    <w:basedOn w:val="Normal"/>
    <w:unhideWhenUsed/>
    <w:qFormat/>
    <w:rsid w:val="00ED473A"/>
    <w:pPr>
      <w:numPr>
        <w:numId w:val="21"/>
      </w:numPr>
      <w:ind w:left="527" w:hanging="357"/>
      <w:contextualSpacing/>
    </w:pPr>
    <w:rPr>
      <w:lang w:val="fr-CH"/>
    </w:rPr>
  </w:style>
  <w:style w:type="character" w:styleId="ClavierHTML">
    <w:name w:val="HTML Keyboard"/>
    <w:basedOn w:val="Policepardfaut"/>
    <w:semiHidden/>
    <w:unhideWhenUsed/>
    <w:rsid w:val="00120CBF"/>
    <w:rPr>
      <w:rFonts w:ascii="Open Sans SemiCondensed" w:hAnsi="Open Sans SemiCondensed"/>
      <w:sz w:val="20"/>
      <w:szCs w:val="20"/>
    </w:rPr>
  </w:style>
  <w:style w:type="character" w:styleId="CodeHTML">
    <w:name w:val="HTML Code"/>
    <w:basedOn w:val="Policepardfaut"/>
    <w:semiHidden/>
    <w:unhideWhenUsed/>
    <w:rsid w:val="00120CBF"/>
    <w:rPr>
      <w:rFonts w:ascii="Open Sans SemiCondensed" w:hAnsi="Open Sans SemiCondensed"/>
      <w:sz w:val="20"/>
      <w:szCs w:val="20"/>
    </w:rPr>
  </w:style>
  <w:style w:type="paragraph" w:styleId="Explorateurdedocuments">
    <w:name w:val="Document Map"/>
    <w:basedOn w:val="Normal"/>
    <w:link w:val="ExplorateurdedocumentsCar"/>
    <w:semiHidden/>
    <w:unhideWhenUsed/>
    <w:rsid w:val="00120CBF"/>
    <w:pPr>
      <w:spacing w:line="240" w:lineRule="auto"/>
    </w:pPr>
    <w:rPr>
      <w:sz w:val="16"/>
      <w:szCs w:val="16"/>
    </w:rPr>
  </w:style>
  <w:style w:type="character" w:customStyle="1" w:styleId="ExplorateurdedocumentsCar">
    <w:name w:val="Explorateur de documents Car"/>
    <w:basedOn w:val="Policepardfaut"/>
    <w:link w:val="Explorateurdedocuments"/>
    <w:semiHidden/>
    <w:rsid w:val="00120CBF"/>
    <w:rPr>
      <w:rFonts w:ascii="Open Sans SemiCondensed" w:hAnsi="Open Sans SemiCondensed"/>
      <w:spacing w:val="-4"/>
      <w:sz w:val="16"/>
      <w:szCs w:val="16"/>
    </w:rPr>
  </w:style>
  <w:style w:type="character" w:styleId="ExempleHTML">
    <w:name w:val="HTML Sample"/>
    <w:basedOn w:val="Policepardfaut"/>
    <w:semiHidden/>
    <w:unhideWhenUsed/>
    <w:rsid w:val="00120CBF"/>
    <w:rPr>
      <w:rFonts w:ascii="Open Sans SemiCondensed" w:hAnsi="Open Sans SemiCondensed"/>
      <w:sz w:val="24"/>
      <w:szCs w:val="24"/>
    </w:rPr>
  </w:style>
  <w:style w:type="table" w:styleId="Listemoyenne2">
    <w:name w:val="Medium List 2"/>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dressedestinataire">
    <w:name w:val="envelope address"/>
    <w:basedOn w:val="Normal"/>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Adresseexpditeur">
    <w:name w:val="envelope return"/>
    <w:basedOn w:val="Normal"/>
    <w:semiHidden/>
    <w:unhideWhenUsed/>
    <w:rsid w:val="006676E2"/>
    <w:pPr>
      <w:spacing w:line="240" w:lineRule="auto"/>
    </w:pPr>
    <w:rPr>
      <w:rFonts w:eastAsiaTheme="majorEastAsia" w:cstheme="majorBidi"/>
    </w:rPr>
  </w:style>
  <w:style w:type="paragraph" w:styleId="En-ttedemessage">
    <w:name w:val="Message Header"/>
    <w:basedOn w:val="Normal"/>
    <w:link w:val="En-ttedemessageCar"/>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En-ttedemessageCar">
    <w:name w:val="En-tête de message Car"/>
    <w:basedOn w:val="Policepardfaut"/>
    <w:link w:val="En-ttedemessage"/>
    <w:semiHidden/>
    <w:rsid w:val="006676E2"/>
    <w:rPr>
      <w:rFonts w:eastAsiaTheme="majorEastAsia" w:cstheme="majorBidi"/>
      <w:sz w:val="24"/>
      <w:szCs w:val="24"/>
      <w:shd w:val="pct20" w:color="auto" w:fill="auto"/>
    </w:rPr>
  </w:style>
  <w:style w:type="table" w:styleId="Grillemoyenne2">
    <w:name w:val="Medium Grid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Listemoyenne2-Accent2">
    <w:name w:val="Medium List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semiHidden/>
    <w:unhideWhenUsed/>
    <w:rsid w:val="006676E2"/>
    <w:rPr>
      <w:rFonts w:ascii="Open Sans SemiCondensed" w:hAnsi="Open Sans SemiCondensed"/>
      <w:sz w:val="20"/>
      <w:szCs w:val="20"/>
    </w:rPr>
  </w:style>
  <w:style w:type="paragraph" w:styleId="NormalWeb">
    <w:name w:val="Normal (Web)"/>
    <w:basedOn w:val="Normal"/>
    <w:semiHidden/>
    <w:unhideWhenUsed/>
    <w:rsid w:val="006676E2"/>
    <w:rPr>
      <w:rFonts w:cs="Times New Roman"/>
      <w:sz w:val="24"/>
      <w:szCs w:val="24"/>
    </w:rPr>
  </w:style>
  <w:style w:type="paragraph" w:styleId="PrformatHTML">
    <w:name w:val="HTML Preformatted"/>
    <w:basedOn w:val="Normal"/>
    <w:link w:val="PrformatHTMLCar"/>
    <w:semiHidden/>
    <w:unhideWhenUsed/>
    <w:rsid w:val="006676E2"/>
    <w:pPr>
      <w:spacing w:line="240" w:lineRule="auto"/>
    </w:pPr>
  </w:style>
  <w:style w:type="character" w:customStyle="1" w:styleId="PrformatHTMLCar">
    <w:name w:val="Préformaté HTML Car"/>
    <w:basedOn w:val="Policepardfaut"/>
    <w:link w:val="PrformatHTML"/>
    <w:semiHidden/>
    <w:rsid w:val="006676E2"/>
  </w:style>
  <w:style w:type="paragraph" w:styleId="Textebrut">
    <w:name w:val="Plain Text"/>
    <w:basedOn w:val="Normal"/>
    <w:link w:val="TextebrutCar"/>
    <w:semiHidden/>
    <w:unhideWhenUsed/>
    <w:rsid w:val="006676E2"/>
    <w:pPr>
      <w:spacing w:line="240" w:lineRule="auto"/>
    </w:pPr>
    <w:rPr>
      <w:sz w:val="21"/>
      <w:szCs w:val="21"/>
    </w:rPr>
  </w:style>
  <w:style w:type="character" w:customStyle="1" w:styleId="TextebrutCar">
    <w:name w:val="Texte brut Car"/>
    <w:basedOn w:val="Policepardfaut"/>
    <w:link w:val="Textebrut"/>
    <w:semiHidden/>
    <w:rsid w:val="006676E2"/>
    <w:rPr>
      <w:sz w:val="21"/>
      <w:szCs w:val="21"/>
    </w:rPr>
  </w:style>
  <w:style w:type="paragraph" w:styleId="Textedebulles">
    <w:name w:val="Balloon Text"/>
    <w:basedOn w:val="Normal"/>
    <w:link w:val="TextedebullesCar"/>
    <w:semiHidden/>
    <w:unhideWhenUsed/>
    <w:rsid w:val="006676E2"/>
    <w:pPr>
      <w:spacing w:line="240" w:lineRule="auto"/>
    </w:pPr>
    <w:rPr>
      <w:sz w:val="18"/>
      <w:szCs w:val="18"/>
    </w:rPr>
  </w:style>
  <w:style w:type="character" w:customStyle="1" w:styleId="TextedebullesCar">
    <w:name w:val="Texte de bulles Car"/>
    <w:basedOn w:val="Policepardfaut"/>
    <w:link w:val="Textedebulles"/>
    <w:semiHidden/>
    <w:rsid w:val="006676E2"/>
    <w:rPr>
      <w:rFonts w:ascii="Open Sans SemiCondensed" w:hAnsi="Open Sans SemiCondensed"/>
      <w:sz w:val="18"/>
      <w:szCs w:val="18"/>
    </w:rPr>
  </w:style>
  <w:style w:type="paragraph" w:styleId="Textedemacro">
    <w:name w:val="macro"/>
    <w:link w:val="TextedemacroCar"/>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TextedemacroCar">
    <w:name w:val="Texte de macro Car"/>
    <w:basedOn w:val="Policepardfaut"/>
    <w:link w:val="Textedemacro"/>
    <w:semiHidden/>
    <w:rsid w:val="006676E2"/>
  </w:style>
  <w:style w:type="paragraph" w:styleId="Titreindex">
    <w:name w:val="index heading"/>
    <w:basedOn w:val="Normal"/>
    <w:next w:val="Index1"/>
    <w:semiHidden/>
    <w:unhideWhenUsed/>
    <w:rsid w:val="006676E2"/>
    <w:rPr>
      <w:rFonts w:eastAsiaTheme="majorEastAsia" w:cstheme="majorBidi"/>
      <w:b/>
      <w:bCs/>
    </w:rPr>
  </w:style>
  <w:style w:type="paragraph" w:styleId="TitreTR">
    <w:name w:val="toa heading"/>
    <w:basedOn w:val="Normal"/>
    <w:next w:val="Normal"/>
    <w:semiHidden/>
    <w:unhideWhenUsed/>
    <w:rsid w:val="006676E2"/>
    <w:pPr>
      <w:spacing w:before="120"/>
    </w:pPr>
    <w:rPr>
      <w:rFonts w:eastAsiaTheme="majorEastAsia" w:cstheme="majorBidi"/>
      <w:b/>
      <w:bCs/>
      <w:sz w:val="24"/>
      <w:szCs w:val="24"/>
    </w:rPr>
  </w:style>
  <w:style w:type="numbering" w:styleId="ArticleSection">
    <w:name w:val="Outline List 3"/>
    <w:basedOn w:val="Aucuneliste"/>
    <w:semiHidden/>
    <w:unhideWhenUsed/>
    <w:rsid w:val="00153133"/>
    <w:pPr>
      <w:numPr>
        <w:numId w:val="40"/>
      </w:numPr>
    </w:pPr>
  </w:style>
  <w:style w:type="paragraph" w:styleId="Listenumros2">
    <w:name w:val="List Number 2"/>
    <w:basedOn w:val="Listenumros"/>
    <w:unhideWhenUsed/>
    <w:rsid w:val="00382314"/>
    <w:pPr>
      <w:numPr>
        <w:ilvl w:val="1"/>
      </w:numPr>
      <w:ind w:left="851" w:hanging="425"/>
    </w:pPr>
    <w:rPr>
      <w:rFonts w:cs="Open Sans SemiCondensed"/>
    </w:rPr>
  </w:style>
  <w:style w:type="paragraph" w:styleId="Listenumros3">
    <w:name w:val="List Number 3"/>
    <w:basedOn w:val="Listenumros"/>
    <w:unhideWhenUsed/>
    <w:rsid w:val="00382314"/>
    <w:pPr>
      <w:numPr>
        <w:ilvl w:val="2"/>
      </w:numPr>
    </w:pPr>
    <w:rPr>
      <w:rFonts w:cs="Open Sans SemiCondensed"/>
    </w:rPr>
  </w:style>
  <w:style w:type="character" w:styleId="Lienhypertextesuivivisit">
    <w:name w:val="FollowedHyperlink"/>
    <w:basedOn w:val="Policepardfaut"/>
    <w:semiHidden/>
    <w:unhideWhenUsed/>
    <w:rsid w:val="009E5005"/>
    <w:rPr>
      <w:color w:val="252B46" w:themeColor="followedHyperlink"/>
      <w:u w:val="single"/>
    </w:rPr>
  </w:style>
  <w:style w:type="paragraph" w:customStyle="1" w:styleId="WichtigBox">
    <w:name w:val="Wichtig Box"/>
    <w:basedOn w:val="Corpsdetexte"/>
    <w:qFormat/>
    <w:rsid w:val="001A4056"/>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E5EB6D" w:themeFill="accent3" w:themeFillTint="99"/>
    </w:pPr>
    <w:rPr>
      <w:lang w:val="fr-CH"/>
    </w:rPr>
  </w:style>
  <w:style w:type="paragraph" w:customStyle="1" w:styleId="Fragen">
    <w:name w:val="Fragen"/>
    <w:basedOn w:val="Corpsdetexte"/>
    <w:next w:val="Corpsdetexte"/>
    <w:qFormat/>
    <w:rsid w:val="0003314D"/>
    <w:pPr>
      <w:pBdr>
        <w:left w:val="single" w:sz="12" w:space="4" w:color="D31932" w:themeColor="accent1"/>
      </w:pBdr>
      <w:spacing w:before="120"/>
      <w:ind w:left="170"/>
    </w:pPr>
    <w:rPr>
      <w:color w:val="D31932" w:themeColor="accent1"/>
    </w:rPr>
  </w:style>
  <w:style w:type="table" w:styleId="TableauGrille2">
    <w:name w:val="Grid Table 2"/>
    <w:basedOn w:val="TableauNormal"/>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Accentuation4">
    <w:name w:val="List Table 3 Accent 4"/>
    <w:basedOn w:val="TableauNormal"/>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TableauListe4-Accentuation6">
    <w:name w:val="List Table 4 Accent 6"/>
    <w:basedOn w:val="TableauNormal"/>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4-Accentuation1">
    <w:name w:val="List Table 4 Accent 1"/>
    <w:basedOn w:val="TableauNormal"/>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4-Accentuation2">
    <w:name w:val="List Table 4 Accent 2"/>
    <w:basedOn w:val="TableauNormal"/>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4">
    <w:name w:val="List Table 1 Light Accent 4"/>
    <w:basedOn w:val="TableauNormal"/>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TableauListe1Clair-Accentuation3">
    <w:name w:val="List Table 1 Light Accent 3"/>
    <w:basedOn w:val="TableauNormal"/>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TableauListe1Clair-Accentuation2">
    <w:name w:val="List Table 1 Light Accent 2"/>
    <w:basedOn w:val="TableauNormal"/>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1">
    <w:name w:val="List Table 1 Light Accent 1"/>
    <w:basedOn w:val="TableauNormal"/>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2-Accentuation5">
    <w:name w:val="List Table 2 Accent 5"/>
    <w:basedOn w:val="TableauNormal"/>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TableauGrille5Fonc-Accentuation6">
    <w:name w:val="Grid Table 5 Dark Accent 6"/>
    <w:basedOn w:val="TableauNormal"/>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TableauGrille3-Accentuation6">
    <w:name w:val="Grid Table 3 Accent 6"/>
    <w:basedOn w:val="TableauNormal"/>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TableauGrille4-Accentuation6">
    <w:name w:val="Grid Table 4 Accent 6"/>
    <w:basedOn w:val="TableauNormal"/>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1Clair-Accentuation6">
    <w:name w:val="List Table 1 Light Accent 6"/>
    <w:basedOn w:val="TableauNormal"/>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TableauListe3-Accentuation6">
    <w:name w:val="List Table 3 Accent 6"/>
    <w:basedOn w:val="TableauNormal"/>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TableauListe3-Accentuation5">
    <w:name w:val="List Table 3 Accent 5"/>
    <w:basedOn w:val="TableauNormal"/>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TableauListe3-Accentuation3">
    <w:name w:val="List Table 3 Accent 3"/>
    <w:basedOn w:val="TableauNormal"/>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TableauListe3-Accentuation2">
    <w:name w:val="List Table 3 Accent 2"/>
    <w:basedOn w:val="TableauNormal"/>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TableauListe3-Accentuation1">
    <w:name w:val="List Table 3 Accent 1"/>
    <w:basedOn w:val="TableauNormal"/>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TableauListe4">
    <w:name w:val="List Table 4"/>
    <w:basedOn w:val="TableauNormal"/>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
    <w:name w:val="List Table 3"/>
    <w:basedOn w:val="TableauNormal"/>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Rvision">
    <w:name w:val="Revision"/>
    <w:hidden/>
    <w:semiHidden/>
    <w:rsid w:val="003E130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2384">
      <w:bodyDiv w:val="1"/>
      <w:marLeft w:val="0"/>
      <w:marRight w:val="0"/>
      <w:marTop w:val="0"/>
      <w:marBottom w:val="0"/>
      <w:divBdr>
        <w:top w:val="none" w:sz="0" w:space="0" w:color="auto"/>
        <w:left w:val="none" w:sz="0" w:space="0" w:color="auto"/>
        <w:bottom w:val="none" w:sz="0" w:space="0" w:color="auto"/>
        <w:right w:val="none" w:sz="0" w:space="0" w:color="auto"/>
      </w:divBdr>
    </w:div>
    <w:div w:id="348868933">
      <w:bodyDiv w:val="1"/>
      <w:marLeft w:val="0"/>
      <w:marRight w:val="0"/>
      <w:marTop w:val="0"/>
      <w:marBottom w:val="0"/>
      <w:divBdr>
        <w:top w:val="none" w:sz="0" w:space="0" w:color="auto"/>
        <w:left w:val="none" w:sz="0" w:space="0" w:color="auto"/>
        <w:bottom w:val="none" w:sz="0" w:space="0" w:color="auto"/>
        <w:right w:val="none" w:sz="0" w:space="0" w:color="auto"/>
      </w:divBdr>
      <w:divsChild>
        <w:div w:id="204412510">
          <w:marLeft w:val="0"/>
          <w:marRight w:val="0"/>
          <w:marTop w:val="0"/>
          <w:marBottom w:val="0"/>
          <w:divBdr>
            <w:top w:val="none" w:sz="0" w:space="0" w:color="auto"/>
            <w:left w:val="none" w:sz="0" w:space="0" w:color="auto"/>
            <w:bottom w:val="none" w:sz="0" w:space="0" w:color="auto"/>
            <w:right w:val="none" w:sz="0" w:space="0" w:color="auto"/>
          </w:divBdr>
        </w:div>
      </w:divsChild>
    </w:div>
    <w:div w:id="480658198">
      <w:bodyDiv w:val="1"/>
      <w:marLeft w:val="0"/>
      <w:marRight w:val="0"/>
      <w:marTop w:val="0"/>
      <w:marBottom w:val="0"/>
      <w:divBdr>
        <w:top w:val="none" w:sz="0" w:space="0" w:color="auto"/>
        <w:left w:val="none" w:sz="0" w:space="0" w:color="auto"/>
        <w:bottom w:val="none" w:sz="0" w:space="0" w:color="auto"/>
        <w:right w:val="none" w:sz="0" w:space="0" w:color="auto"/>
      </w:divBdr>
    </w:div>
    <w:div w:id="685792237">
      <w:bodyDiv w:val="1"/>
      <w:marLeft w:val="0"/>
      <w:marRight w:val="0"/>
      <w:marTop w:val="0"/>
      <w:marBottom w:val="0"/>
      <w:divBdr>
        <w:top w:val="none" w:sz="0" w:space="0" w:color="auto"/>
        <w:left w:val="none" w:sz="0" w:space="0" w:color="auto"/>
        <w:bottom w:val="none" w:sz="0" w:space="0" w:color="auto"/>
        <w:right w:val="none" w:sz="0" w:space="0" w:color="auto"/>
      </w:divBdr>
    </w:div>
    <w:div w:id="1339844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hyperlink" Target="mailto:udl@csps.ch"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lz.ch/download/1119"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www.edk.ch/fr/documentation/infolettre/3-2021-zoom-3?set_language=f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edudoc.ch/record/213098?ln=f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r2023-01-08" TargetMode="External"/><Relationship Id="rId24" Type="http://schemas.openxmlformats.org/officeDocument/2006/relationships/hyperlink" Target="https://www.un.org/esa/socdev/enable/documents/tccconvf.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ojs.szh.ch/zeitschrift/article/view/894/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da.admin.ch/agenda2030/fr/home.html"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ojs.szh.ch/zeitschrift/article/view/895/pdf"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footnotes.xml.rels><?xml version="1.0" encoding="UTF-8" standalone="yes"?>
<Relationships xmlns="http://schemas.openxmlformats.org/package/2006/relationships"><Relationship Id="rId2" Type="http://schemas.openxmlformats.org/officeDocument/2006/relationships/hyperlink" Target="https://www.w3.org/WAI/standards-guidelines/wcag/fr" TargetMode="External"/><Relationship Id="rId1" Type="http://schemas.openxmlformats.org/officeDocument/2006/relationships/hyperlink" Target="https://www.szh.ch/fr/themes/conception-universelle-de-l-apprentissa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veRobin\SZH%20CSPS\Daten_Allgemein%20-%20General\2_Produkte\52_Revue\RV02_Redaction\Revue_2023\Layout_v8.2_FR_2023.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7681858B7D484080A6C8E6830BC98C" ma:contentTypeVersion="16" ma:contentTypeDescription="Crée un document." ma:contentTypeScope="" ma:versionID="5fd57058a05ee96b2a8a1e91bcf19aa4">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f6645585f8ba1b56d8a6f4eb40b5511f"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2.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3.xml><?xml version="1.0" encoding="utf-8"?>
<ds:datastoreItem xmlns:ds="http://schemas.openxmlformats.org/officeDocument/2006/customXml" ds:itemID="{6CFFC326-1AFF-47E6-8F51-043350CB0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7EC88C-8D21-434D-9DE7-8252E3B8E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Layout_v8.2_FR_2023.dotx</Template>
  <TotalTime>0</TotalTime>
  <Pages>3</Pages>
  <Words>1270</Words>
  <Characters>8006</Characters>
  <Application>Microsoft Office Word</Application>
  <DocSecurity>0</DocSecurity>
  <Lines>66</Lines>
  <Paragraphs>18</Paragraphs>
  <ScaleCrop>false</ScaleCrop>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Ressources numériques d’enseignement et d’apprentissage en _x000b_conception universelle _x000d_</dc:title>
  <dc:creator>Romain Lanners; Olga Meier-Popa; Robin Morand;Thomas Wetter_x000d_</dc:creator>
  <cp:keywords>apprentissage, inclusion, moyen d’enseignement numérique / Lernprozess, Inklusion, Digitale Lehrmittel</cp:keywords>
  <cp:lastModifiedBy>Morand, Robin</cp:lastModifiedBy>
  <cp:revision>206</cp:revision>
  <cp:lastPrinted>2022-07-01T12:31:00Z</cp:lastPrinted>
  <dcterms:created xsi:type="dcterms:W3CDTF">2023-01-10T12:37:00Z</dcterms:created>
  <dcterms:modified xsi:type="dcterms:W3CDTF">2023-02-21T15:03:00Z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