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14179C" w14:textId="33B3F17B" w:rsidR="001114E2" w:rsidRPr="00F04EF5" w:rsidRDefault="002F1021" w:rsidP="00FF2E2B">
      <w:pPr>
        <w:pStyle w:val="Titel"/>
      </w:pPr>
      <w:r w:rsidRPr="00F04EF5">
        <w:t>Bildungsgerechtigkeit für Schüler</w:t>
      </w:r>
      <w:r w:rsidR="003E71C3" w:rsidRPr="00F04EF5">
        <w:t>:</w:t>
      </w:r>
      <w:r w:rsidRPr="00F04EF5">
        <w:t>innen mit Lernschwierigkeiten</w:t>
      </w:r>
      <w:r w:rsidR="00471C37" w:rsidRPr="00F04EF5">
        <w:t xml:space="preserve"> </w:t>
      </w:r>
      <w:r w:rsidR="00A44B47">
        <w:t>im</w:t>
      </w:r>
      <w:r w:rsidR="00471C37" w:rsidRPr="00F04EF5">
        <w:t xml:space="preserve"> Unterricht</w:t>
      </w:r>
    </w:p>
    <w:p w14:paraId="463E968A" w14:textId="5F27A9DD" w:rsidR="001114E2" w:rsidRPr="00F04EF5" w:rsidRDefault="002C08C6" w:rsidP="006C2B84">
      <w:pPr>
        <w:pStyle w:val="Author"/>
        <w:rPr>
          <w:rFonts w:cs="Open Sans SemiCondensed SemiCon"/>
          <w:lang w:val="de-CH"/>
        </w:rPr>
      </w:pPr>
      <w:r w:rsidRPr="00F04EF5">
        <w:rPr>
          <w:rFonts w:cs="Open Sans SemiCondensed SemiCon"/>
          <w:lang w:val="de-CH"/>
        </w:rPr>
        <w:t xml:space="preserve">Anne </w:t>
      </w:r>
      <w:r w:rsidR="002F1021" w:rsidRPr="00F04EF5">
        <w:rPr>
          <w:rFonts w:cs="Open Sans SemiCondensed SemiCon"/>
          <w:lang w:val="de-CH"/>
        </w:rPr>
        <w:t>Schröter</w:t>
      </w:r>
      <w:r w:rsidRPr="00F04EF5">
        <w:rPr>
          <w:rFonts w:cs="Open Sans SemiCondensed SemiCon"/>
          <w:lang w:val="de-CH"/>
        </w:rPr>
        <w:t xml:space="preserve"> und</w:t>
      </w:r>
      <w:r w:rsidR="002F1021" w:rsidRPr="00F04EF5">
        <w:rPr>
          <w:rFonts w:cs="Open Sans SemiCondensed SemiCon"/>
          <w:lang w:val="de-CH"/>
        </w:rPr>
        <w:t xml:space="preserve"> </w:t>
      </w:r>
      <w:r w:rsidRPr="00F04EF5">
        <w:rPr>
          <w:rFonts w:cs="Open Sans SemiCondensed SemiCon"/>
          <w:lang w:val="de-CH"/>
        </w:rPr>
        <w:t xml:space="preserve">Susanne </w:t>
      </w:r>
      <w:r w:rsidR="002F1021" w:rsidRPr="00F04EF5">
        <w:rPr>
          <w:rFonts w:cs="Open Sans SemiCondensed SemiCon"/>
          <w:lang w:val="de-CH"/>
        </w:rPr>
        <w:t>Schnepel</w:t>
      </w:r>
    </w:p>
    <w:p w14:paraId="31AC5043" w14:textId="03E5B508" w:rsidR="0057033F" w:rsidRPr="00A659E1" w:rsidRDefault="00985126" w:rsidP="00A659E1">
      <w:pPr>
        <w:pStyle w:val="Abstract"/>
        <w:rPr>
          <w:rFonts w:cs="Open Sans SemiCondensed SemiCon"/>
        </w:rPr>
      </w:pPr>
      <w:r w:rsidRPr="00F04EF5">
        <w:rPr>
          <w:rFonts w:cs="Open Sans SemiCondensed SemiCon"/>
        </w:rPr>
        <w:t>Zusammenfassung</w:t>
      </w:r>
      <w:r w:rsidR="00E7780E" w:rsidRPr="00F04EF5">
        <w:rPr>
          <w:rFonts w:cs="Open Sans SemiCondensed SemiCon"/>
        </w:rPr>
        <w:br/>
      </w:r>
      <w:r w:rsidR="002F1021" w:rsidRPr="00F04EF5">
        <w:rPr>
          <w:rFonts w:cs="Open Sans SemiCondensed SemiCon"/>
        </w:rPr>
        <w:t xml:space="preserve">In den europäischen Bildungssystemen zeigt sich Bildungsungerechtigkeit insbesondere an den Differenzlinien Geschlecht, soziale Herkunft, Behinderung und Migrationshintergrund. In diesem Beitrag liegt der Fokus auf Lernschwierigkeiten, die häufig im Zusammenhang mit der sozialen Herkunft gesehen werden. </w:t>
      </w:r>
      <w:r w:rsidR="006E1A5C">
        <w:rPr>
          <w:rFonts w:cs="Open Sans SemiCondensed SemiCon"/>
        </w:rPr>
        <w:t>Der Beitrag geht</w:t>
      </w:r>
      <w:r w:rsidR="002F1021" w:rsidRPr="00F04EF5">
        <w:rPr>
          <w:rFonts w:cs="Open Sans SemiCondensed SemiCon"/>
        </w:rPr>
        <w:t xml:space="preserve"> der Frage nach, wie ein Unterricht</w:t>
      </w:r>
      <w:r w:rsidR="00EC7DD2">
        <w:rPr>
          <w:rFonts w:cs="Open Sans SemiCondensed SemiCon"/>
        </w:rPr>
        <w:t xml:space="preserve"> gestaltet werden kann</w:t>
      </w:r>
      <w:r w:rsidR="002F1021" w:rsidRPr="00F04EF5">
        <w:rPr>
          <w:rFonts w:cs="Open Sans SemiCondensed SemiCon"/>
        </w:rPr>
        <w:t>, der Schüler</w:t>
      </w:r>
      <w:r w:rsidR="00E21D0A" w:rsidRPr="00F04EF5">
        <w:rPr>
          <w:rFonts w:cs="Open Sans SemiCondensed SemiCon"/>
        </w:rPr>
        <w:t>:</w:t>
      </w:r>
      <w:r w:rsidR="002F1021" w:rsidRPr="00F04EF5">
        <w:rPr>
          <w:rFonts w:cs="Open Sans SemiCondensed SemiCon"/>
        </w:rPr>
        <w:t>innen mit Lernschwierigkeiten</w:t>
      </w:r>
      <w:r w:rsidR="00552CA8">
        <w:rPr>
          <w:rFonts w:cs="Open Sans SemiCondensed SemiCon"/>
        </w:rPr>
        <w:t xml:space="preserve"> hinsichtlich</w:t>
      </w:r>
      <w:r w:rsidR="002F1021" w:rsidRPr="00F04EF5">
        <w:rPr>
          <w:rFonts w:cs="Open Sans SemiCondensed SemiCon"/>
        </w:rPr>
        <w:t xml:space="preserve"> Bildungsgerechtigkeit sensibel</w:t>
      </w:r>
      <w:r w:rsidR="007B578B" w:rsidRPr="00F04EF5">
        <w:rPr>
          <w:rFonts w:cs="Open Sans SemiCondensed SemiCon"/>
        </w:rPr>
        <w:t xml:space="preserve"> berücksichtigt</w:t>
      </w:r>
      <w:r w:rsidR="002F1021" w:rsidRPr="00F04EF5">
        <w:rPr>
          <w:rFonts w:cs="Open Sans SemiCondensed SemiCon"/>
        </w:rPr>
        <w:t xml:space="preserve">. Es wird ein Fragenkatalog </w:t>
      </w:r>
      <w:r w:rsidR="00DE01E7">
        <w:rPr>
          <w:rFonts w:cs="Open Sans SemiCondensed SemiCon"/>
        </w:rPr>
        <w:t xml:space="preserve">im Sinne des Universal Design for Learning (UDL) </w:t>
      </w:r>
      <w:r w:rsidR="002F1021" w:rsidRPr="00F04EF5">
        <w:rPr>
          <w:rFonts w:cs="Open Sans SemiCondensed SemiCon"/>
        </w:rPr>
        <w:t>vorgestellt, anhand dessen sich der eigene Unterricht im Hinblick auf Anerkennungsgerechtigkeit reflektieren lässt.</w:t>
      </w:r>
      <w:r w:rsidR="002372E0">
        <w:rPr>
          <w:rFonts w:cs="Open Sans SemiCondensed SemiCon"/>
        </w:rPr>
        <w:t xml:space="preserve"> Dabei</w:t>
      </w:r>
      <w:r w:rsidR="002372E0" w:rsidRPr="002372E0">
        <w:rPr>
          <w:rFonts w:cs="Open Sans SemiCondensed SemiCon"/>
        </w:rPr>
        <w:t xml:space="preserve"> geht es um Anerkennung durch Empathie, Respekt und soziale Wertschätzung, da sie soziale Teilhabe ermöglicht.</w:t>
      </w:r>
    </w:p>
    <w:p w14:paraId="681C90E9" w14:textId="688593F4" w:rsidR="0057033F" w:rsidRPr="00AD64BF" w:rsidRDefault="008D0CA2" w:rsidP="008D0CA2">
      <w:pPr>
        <w:pStyle w:val="Abstract"/>
        <w:rPr>
          <w:lang w:val="fr-CH"/>
        </w:rPr>
      </w:pPr>
      <w:r w:rsidRPr="00AD64BF">
        <w:rPr>
          <w:lang w:val="fr-CH"/>
        </w:rPr>
        <w:t>Résumé</w:t>
      </w:r>
      <w:r w:rsidRPr="00AD64BF">
        <w:rPr>
          <w:lang w:val="fr-CH"/>
        </w:rPr>
        <w:br/>
      </w:r>
      <w:r w:rsidR="00AD64BF" w:rsidRPr="002B1B97">
        <w:rPr>
          <w:lang w:val="fr-CH"/>
        </w:rPr>
        <w:t xml:space="preserve">Dans les systèmes éducatifs européens, les iniquités </w:t>
      </w:r>
      <w:r w:rsidR="00AD64BF" w:rsidRPr="00D205C6">
        <w:rPr>
          <w:lang w:val="fr-CH"/>
        </w:rPr>
        <w:t xml:space="preserve">dans l'éducation </w:t>
      </w:r>
      <w:r w:rsidR="00AD64BF" w:rsidRPr="002B1B97">
        <w:rPr>
          <w:lang w:val="fr-CH"/>
        </w:rPr>
        <w:t xml:space="preserve">se manifestent particulièrement en </w:t>
      </w:r>
      <w:r w:rsidR="00AD64BF">
        <w:rPr>
          <w:lang w:val="fr-CH"/>
        </w:rPr>
        <w:t>rapport</w:t>
      </w:r>
      <w:r w:rsidR="00AD64BF" w:rsidRPr="002B1B97">
        <w:rPr>
          <w:lang w:val="fr-CH"/>
        </w:rPr>
        <w:t xml:space="preserve"> avec les différences liées au genre, au handicap et aux origines sociales ou migratoires. Dans cet article, l'accent est mis sur les difficultés d'apprentissage, qui </w:t>
      </w:r>
      <w:r w:rsidR="00AD64BF" w:rsidRPr="00803967">
        <w:rPr>
          <w:lang w:val="fr-CH"/>
        </w:rPr>
        <w:t>sont souvent considérées comme associées à l'origine sociale. La question est de savoir comment concevoir un enseignement qui tienne compte des élèves qui présentent des difficultés d'apprentissage tout en respectant l'équité de l'éducation. Cet article présente un catalogue de questions dans le sens de la conception universelle de l'apprentissage (Universal Design for Learning, UDL)</w:t>
      </w:r>
      <w:r w:rsidR="00AD64BF">
        <w:rPr>
          <w:lang w:val="fr-CH"/>
        </w:rPr>
        <w:t>,</w:t>
      </w:r>
      <w:r w:rsidR="00AD64BF" w:rsidRPr="00803967">
        <w:rPr>
          <w:lang w:val="fr-CH"/>
        </w:rPr>
        <w:t xml:space="preserve"> à l'aide duquel il est possible de réfléchir à son propre enseignement dans l'optique de l'équité dans la reconnaissance. Il s'agit de la reconnaissance par l'empathie, le respect et l'estime sociale, car elle favorise la participation sociale.</w:t>
      </w:r>
    </w:p>
    <w:p w14:paraId="32A94EE8" w14:textId="1602C913" w:rsidR="002F1021" w:rsidRPr="005154BD" w:rsidRDefault="00EA4676" w:rsidP="005154BD">
      <w:pPr>
        <w:pStyle w:val="Textkrper"/>
        <w:ind w:firstLine="0"/>
        <w:rPr>
          <w:rStyle w:val="Fett"/>
          <w:rFonts w:cs="Open Sans SemiCondensed SemiCon"/>
          <w:lang w:val="fr-CH"/>
        </w:rPr>
      </w:pPr>
      <w:r w:rsidRPr="005154BD">
        <w:rPr>
          <w:rStyle w:val="Fett"/>
          <w:rFonts w:cs="Open Sans SemiCondensed SemiCon"/>
          <w:lang w:val="fr-CH"/>
        </w:rPr>
        <w:t>Keywords</w:t>
      </w:r>
      <w:r w:rsidRPr="005154BD">
        <w:rPr>
          <w:lang w:val="fr-CH"/>
        </w:rPr>
        <w:t xml:space="preserve">: </w:t>
      </w:r>
      <w:r w:rsidR="005154BD" w:rsidRPr="00094EB0">
        <w:rPr>
          <w:lang w:val="fr-CH"/>
        </w:rPr>
        <w:t>Lernschwierigkeit, Bildungsgerechtigkeit, soziale Benachteiligung, Didaktik, Universal Design for Learning (UDL)</w:t>
      </w:r>
      <w:r w:rsidR="005154BD">
        <w:rPr>
          <w:lang w:val="fr-CH"/>
        </w:rPr>
        <w:t xml:space="preserve"> /</w:t>
      </w:r>
      <w:r w:rsidR="005154BD" w:rsidRPr="008A0E6E">
        <w:rPr>
          <w:lang w:val="fr-CH"/>
        </w:rPr>
        <w:t xml:space="preserve"> </w:t>
      </w:r>
      <w:r w:rsidR="005154BD">
        <w:rPr>
          <w:lang w:val="fr-CH"/>
        </w:rPr>
        <w:t>d</w:t>
      </w:r>
      <w:r w:rsidR="005154BD" w:rsidRPr="00C75E88">
        <w:rPr>
          <w:lang w:val="fr-CH"/>
        </w:rPr>
        <w:t>ifficulté d</w:t>
      </w:r>
      <w:r w:rsidR="005154BD">
        <w:rPr>
          <w:lang w:val="fr-CH"/>
        </w:rPr>
        <w:t>e l’</w:t>
      </w:r>
      <w:r w:rsidR="005154BD" w:rsidRPr="00C75E88">
        <w:rPr>
          <w:lang w:val="fr-CH"/>
        </w:rPr>
        <w:t>apprentissage</w:t>
      </w:r>
      <w:r w:rsidR="005154BD">
        <w:rPr>
          <w:lang w:val="fr-CH"/>
        </w:rPr>
        <w:t>,</w:t>
      </w:r>
      <w:r w:rsidR="005154BD" w:rsidRPr="002403EC">
        <w:rPr>
          <w:lang w:val="fr-CH"/>
        </w:rPr>
        <w:t xml:space="preserve"> </w:t>
      </w:r>
      <w:r w:rsidR="005154BD">
        <w:rPr>
          <w:lang w:val="fr-CH"/>
        </w:rPr>
        <w:t>é</w:t>
      </w:r>
      <w:r w:rsidR="005154BD" w:rsidRPr="00CD55F6">
        <w:rPr>
          <w:lang w:val="fr-CH"/>
        </w:rPr>
        <w:t>quité dans l'éducation</w:t>
      </w:r>
      <w:r w:rsidR="005154BD">
        <w:rPr>
          <w:lang w:val="fr-CH"/>
        </w:rPr>
        <w:t>, d</w:t>
      </w:r>
      <w:r w:rsidR="005154BD" w:rsidRPr="00EB7324">
        <w:rPr>
          <w:lang w:val="fr-CH"/>
        </w:rPr>
        <w:t>ésavantage social</w:t>
      </w:r>
      <w:r w:rsidR="005154BD">
        <w:rPr>
          <w:lang w:val="fr-CH"/>
        </w:rPr>
        <w:t xml:space="preserve">, </w:t>
      </w:r>
      <w:r w:rsidR="00066499">
        <w:rPr>
          <w:lang w:val="fr-CH"/>
        </w:rPr>
        <w:t xml:space="preserve">didactique, </w:t>
      </w:r>
      <w:r w:rsidR="005154BD">
        <w:rPr>
          <w:lang w:val="fr-CH"/>
        </w:rPr>
        <w:t>c</w:t>
      </w:r>
      <w:r w:rsidR="005154BD" w:rsidRPr="002403EC">
        <w:rPr>
          <w:lang w:val="fr-CH"/>
        </w:rPr>
        <w:t>onception universelle de l'apprentissage</w:t>
      </w:r>
      <w:r w:rsidR="005154BD">
        <w:rPr>
          <w:lang w:val="fr-CH"/>
        </w:rPr>
        <w:t xml:space="preserve"> (CUA)</w:t>
      </w:r>
    </w:p>
    <w:p w14:paraId="2CF43A15" w14:textId="26686838" w:rsidR="008002DC" w:rsidRPr="00DD00E3" w:rsidRDefault="00EA4676" w:rsidP="007B4390">
      <w:pPr>
        <w:pStyle w:val="Textkrper3"/>
        <w:rPr>
          <w:rFonts w:cs="Open Sans SemiCondensed SemiCon"/>
          <w:bCs/>
          <w:iCs/>
          <w:color w:val="CF3649"/>
          <w:lang w:val="fr-CH"/>
        </w:rPr>
      </w:pPr>
      <w:r w:rsidRPr="00DD00E3">
        <w:rPr>
          <w:rStyle w:val="Fett"/>
          <w:rFonts w:cs="Open Sans SemiCondensed SemiCon"/>
          <w:lang w:val="fr-CH"/>
        </w:rPr>
        <w:t>DOI</w:t>
      </w:r>
      <w:r w:rsidRPr="00DD00E3">
        <w:rPr>
          <w:rFonts w:cs="Open Sans SemiCondensed SemiCon"/>
          <w:lang w:val="fr-CH"/>
        </w:rPr>
        <w:t xml:space="preserve">: </w:t>
      </w:r>
      <w:hyperlink r:id="rId11" w:history="1">
        <w:r w:rsidR="008002DC" w:rsidRPr="001B42CB">
          <w:rPr>
            <w:rStyle w:val="Hyperlink"/>
            <w:rFonts w:cs="Open Sans SemiCondensed SemiCon"/>
            <w:lang w:val="fr-CH"/>
          </w:rPr>
          <w:t>https://doi.org/10.57161/z2024-07-</w:t>
        </w:r>
        <w:r w:rsidR="008002DC" w:rsidRPr="001B42CB">
          <w:rPr>
            <w:rStyle w:val="Hyperlink"/>
            <w:bCs w:val="0"/>
            <w:iCs w:val="0"/>
            <w:lang w:val="fr-CH"/>
          </w:rPr>
          <w:t>03</w:t>
        </w:r>
      </w:hyperlink>
    </w:p>
    <w:p w14:paraId="0816A169" w14:textId="7D8B55C4" w:rsidR="001161D6" w:rsidRPr="00F04EF5" w:rsidRDefault="001161D6" w:rsidP="007B4390">
      <w:pPr>
        <w:pStyle w:val="Textkrper3"/>
      </w:pPr>
      <w:r w:rsidRPr="00F04EF5">
        <w:t xml:space="preserve">Schweizerische Zeitschrift für Heilpädagogik, Jg. </w:t>
      </w:r>
      <w:r w:rsidR="00032FC2" w:rsidRPr="00F04EF5">
        <w:t>30</w:t>
      </w:r>
      <w:r w:rsidRPr="00F04EF5">
        <w:t xml:space="preserve">, </w:t>
      </w:r>
      <w:r w:rsidR="00032FC2" w:rsidRPr="00F04EF5">
        <w:t>07</w:t>
      </w:r>
      <w:r w:rsidRPr="00F04EF5">
        <w:t>/</w:t>
      </w:r>
      <w:r w:rsidR="00032FC2" w:rsidRPr="00F04EF5">
        <w:t>2024</w:t>
      </w:r>
    </w:p>
    <w:p w14:paraId="673AFB87" w14:textId="1C4A3578" w:rsidR="000E6A66" w:rsidRPr="00F04EF5" w:rsidRDefault="000E6A66" w:rsidP="007B4390">
      <w:pPr>
        <w:pStyle w:val="Textkrper3"/>
      </w:pPr>
      <w:r w:rsidRPr="00F04EF5">
        <w:rPr>
          <w:noProof/>
        </w:rPr>
        <w:drawing>
          <wp:inline distT="0" distB="0" distL="0" distR="0" wp14:anchorId="2227223F" wp14:editId="121FDFD6">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CD067B2" w14:textId="7ED34DCE" w:rsidR="001114E2" w:rsidRPr="00F04EF5" w:rsidRDefault="002F1021" w:rsidP="00855097">
      <w:pPr>
        <w:pStyle w:val="berschrift1"/>
      </w:pPr>
      <w:bookmarkStart w:id="0" w:name="heading-1"/>
      <w:bookmarkStart w:id="1" w:name="_Hlk166404152"/>
      <w:r w:rsidRPr="00F04EF5">
        <w:t>Schüler</w:t>
      </w:r>
      <w:r w:rsidR="00E21D0A" w:rsidRPr="00F04EF5">
        <w:t>:</w:t>
      </w:r>
      <w:r w:rsidRPr="00F04EF5">
        <w:t>innen mit Lernschwierigkeiten</w:t>
      </w:r>
      <w:bookmarkEnd w:id="0"/>
    </w:p>
    <w:bookmarkEnd w:id="1"/>
    <w:p w14:paraId="65D96C7B" w14:textId="2EF35A4A" w:rsidR="002F1021" w:rsidRPr="00F04EF5" w:rsidRDefault="002F1021" w:rsidP="00801152">
      <w:pPr>
        <w:pStyle w:val="Textkrper"/>
        <w:ind w:firstLine="0"/>
      </w:pPr>
      <w:r w:rsidRPr="00F04EF5">
        <w:t xml:space="preserve">Das Feld </w:t>
      </w:r>
      <w:r w:rsidR="0037232C">
        <w:t>«</w:t>
      </w:r>
      <w:r w:rsidRPr="00F04EF5">
        <w:t>Lernschwierigkeiten</w:t>
      </w:r>
      <w:r w:rsidR="0037232C">
        <w:t>»</w:t>
      </w:r>
      <w:r w:rsidRPr="00F04EF5">
        <w:t xml:space="preserve"> ist in sich sehr vielfältig</w:t>
      </w:r>
      <w:r w:rsidR="00500375">
        <w:t>. E</w:t>
      </w:r>
      <w:r w:rsidRPr="00F04EF5">
        <w:t xml:space="preserve">s werden teilweise vermeintlich synonyme Begriffe wie </w:t>
      </w:r>
      <w:r w:rsidR="0037232C">
        <w:t xml:space="preserve">beispielsweise </w:t>
      </w:r>
      <w:r w:rsidRPr="00F04EF5">
        <w:t>Lernstörungen, Lernbehinderung oder sonderpädagogischer</w:t>
      </w:r>
      <w:r w:rsidR="00E20A31" w:rsidRPr="00F04EF5">
        <w:t xml:space="preserve"> </w:t>
      </w:r>
      <w:r w:rsidRPr="00F04EF5">
        <w:t xml:space="preserve">Förderbedarf Lernen </w:t>
      </w:r>
      <w:r w:rsidR="00D13BA0">
        <w:t>damit gemeint</w:t>
      </w:r>
      <w:r w:rsidR="00D13BA0" w:rsidRPr="00F04EF5">
        <w:t xml:space="preserve"> </w:t>
      </w:r>
      <w:r w:rsidRPr="00F04EF5">
        <w:t xml:space="preserve">(Mähler, 2020). </w:t>
      </w:r>
      <w:r w:rsidR="001E2922" w:rsidRPr="00801152">
        <w:t xml:space="preserve">Beim </w:t>
      </w:r>
      <w:r w:rsidR="001E2922">
        <w:t xml:space="preserve">hier verwendeten </w:t>
      </w:r>
      <w:r w:rsidR="001E2922" w:rsidRPr="00801152">
        <w:t>Begriff «Lernschwierigkeiten</w:t>
      </w:r>
      <w:r w:rsidR="00E05262">
        <w:t>»</w:t>
      </w:r>
      <w:r w:rsidR="001E2922" w:rsidRPr="00F04EF5">
        <w:t xml:space="preserve"> </w:t>
      </w:r>
      <w:r w:rsidRPr="00F04EF5">
        <w:t xml:space="preserve">handelt es sich um einen Sammelbegriff für verschiedene Phänomene (Börnert-Ringleb, 2023). Von </w:t>
      </w:r>
      <w:r w:rsidRPr="00D81407">
        <w:t>Lernschwierigkeiten</w:t>
      </w:r>
      <w:r w:rsidRPr="00F04EF5">
        <w:t xml:space="preserve"> kann gesprochen werden, wenn </w:t>
      </w:r>
      <w:r w:rsidR="004C4D08" w:rsidRPr="00F04EF5">
        <w:t>«</w:t>
      </w:r>
      <w:r w:rsidRPr="00F04EF5">
        <w:t>wichtige individuelle, soziale oder institutionelle Normanforderungen dauerhaft verfehlt werden</w:t>
      </w:r>
      <w:r w:rsidR="004C4D08" w:rsidRPr="00F04EF5">
        <w:t>»</w:t>
      </w:r>
      <w:r w:rsidRPr="00F04EF5">
        <w:t xml:space="preserve"> (Gold, 201</w:t>
      </w:r>
      <w:r w:rsidR="00DE01E7">
        <w:t>8</w:t>
      </w:r>
      <w:r w:rsidRPr="00F04EF5">
        <w:t>, S.</w:t>
      </w:r>
      <w:r w:rsidR="00723BB5">
        <w:t> </w:t>
      </w:r>
      <w:r w:rsidRPr="00F04EF5">
        <w:t xml:space="preserve">18). Lernschwierigkeiten umfassen sowohl bereichsspezifische als auch bereichsübergreifende Schwierigkeiten im Lernen, die isoliert </w:t>
      </w:r>
      <w:r w:rsidRPr="00F04EF5" w:rsidDel="001871BA">
        <w:t>(</w:t>
      </w:r>
      <w:r w:rsidR="00C408AF" w:rsidDel="001871BA">
        <w:t>z.</w:t>
      </w:r>
      <w:r w:rsidR="00D14E05" w:rsidDel="001871BA">
        <w:t> </w:t>
      </w:r>
      <w:r w:rsidR="00C408AF" w:rsidDel="001871BA">
        <w:t xml:space="preserve">B. </w:t>
      </w:r>
      <w:r w:rsidRPr="00F04EF5" w:rsidDel="001871BA">
        <w:t>Lese-Rechtschreib-Schwäche</w:t>
      </w:r>
      <w:r w:rsidR="00AA2E71" w:rsidDel="001871BA">
        <w:t>/LRS</w:t>
      </w:r>
      <w:r w:rsidRPr="00F04EF5" w:rsidDel="001871BA">
        <w:t>, Rechenschwäche</w:t>
      </w:r>
      <w:r w:rsidR="00AA2E71" w:rsidDel="001871BA">
        <w:t>/Dyskalkulie</w:t>
      </w:r>
      <w:r w:rsidRPr="00F04EF5" w:rsidDel="001871BA">
        <w:t>)</w:t>
      </w:r>
      <w:r w:rsidRPr="00F04EF5" w:rsidDel="00124D17">
        <w:t xml:space="preserve"> </w:t>
      </w:r>
      <w:r w:rsidRPr="00F04EF5">
        <w:t xml:space="preserve">oder kombiniert auftreten können. </w:t>
      </w:r>
      <w:r w:rsidRPr="006F7941">
        <w:t>Übergreifend</w:t>
      </w:r>
      <w:r w:rsidRPr="00D55D62">
        <w:t xml:space="preserve"> können</w:t>
      </w:r>
      <w:r w:rsidRPr="00F04EF5">
        <w:t xml:space="preserve"> </w:t>
      </w:r>
      <w:r w:rsidR="00414B27">
        <w:t>Lernschwierigkeiten</w:t>
      </w:r>
      <w:r w:rsidR="00414B27" w:rsidRPr="00F04EF5">
        <w:t xml:space="preserve"> </w:t>
      </w:r>
      <w:r w:rsidRPr="00F04EF5">
        <w:t>als insgesamt eingeschränkte Fähigkeit zur Regulation des Lernprozesses bezeichnet werden (Börnert-Ringleb, 2023).</w:t>
      </w:r>
      <w:r w:rsidR="00C62406" w:rsidRPr="00F04EF5">
        <w:t xml:space="preserve"> </w:t>
      </w:r>
      <w:r w:rsidR="00F23AD9">
        <w:t xml:space="preserve">Gleichzeitig spielt </w:t>
      </w:r>
      <w:r w:rsidR="008A3612" w:rsidRPr="002154A7">
        <w:t>die</w:t>
      </w:r>
      <w:r w:rsidRPr="002154A7">
        <w:t xml:space="preserve"> Unterrichtsqualität in Form einer fehlenden Passung zwischen unterrichtlichem Angebot und den Voraussetzungen der Lernenden </w:t>
      </w:r>
      <w:r w:rsidR="00F23AD9">
        <w:t>eine Rolle</w:t>
      </w:r>
      <w:r w:rsidR="004916AC">
        <w:t xml:space="preserve"> </w:t>
      </w:r>
      <w:r w:rsidR="004916AC" w:rsidRPr="002154A7">
        <w:t>(</w:t>
      </w:r>
      <w:r w:rsidR="004916AC">
        <w:t>ebd.</w:t>
      </w:r>
      <w:r w:rsidR="004916AC" w:rsidRPr="002154A7">
        <w:t>)</w:t>
      </w:r>
      <w:r w:rsidRPr="002154A7">
        <w:t>.</w:t>
      </w:r>
      <w:r w:rsidRPr="00F04EF5">
        <w:t xml:space="preserve"> </w:t>
      </w:r>
    </w:p>
    <w:p w14:paraId="2B970F3B" w14:textId="475D0877" w:rsidR="002F1021" w:rsidRPr="00F04EF5" w:rsidRDefault="002F1021" w:rsidP="00C62406">
      <w:pPr>
        <w:pStyle w:val="Textkrper"/>
      </w:pPr>
      <w:r w:rsidRPr="006F7941">
        <w:t xml:space="preserve">Im vorliegenden Beitrag </w:t>
      </w:r>
      <w:r w:rsidR="00817C4E" w:rsidRPr="006F7941">
        <w:t>liegt</w:t>
      </w:r>
      <w:r w:rsidRPr="006F7941">
        <w:t xml:space="preserve"> das Augenmerk auf d</w:t>
      </w:r>
      <w:r w:rsidR="00CF64EC" w:rsidRPr="006F7941">
        <w:t>er</w:t>
      </w:r>
      <w:r w:rsidRPr="006F7941">
        <w:t xml:space="preserve"> soziale</w:t>
      </w:r>
      <w:r w:rsidR="00CF64EC" w:rsidRPr="006F7941">
        <w:t>n</w:t>
      </w:r>
      <w:r w:rsidRPr="006F7941">
        <w:t xml:space="preserve"> Herkunft von Schüler</w:t>
      </w:r>
      <w:r w:rsidR="00E21D0A" w:rsidRPr="006F7941">
        <w:t>:</w:t>
      </w:r>
      <w:r w:rsidRPr="006F7941">
        <w:t>innen mit</w:t>
      </w:r>
      <w:r w:rsidR="00DE01E7" w:rsidRPr="006F7941">
        <w:t xml:space="preserve"> </w:t>
      </w:r>
      <w:r w:rsidR="00F23AD9" w:rsidRPr="006F7941">
        <w:t>umfassenden</w:t>
      </w:r>
      <w:r w:rsidRPr="006F7941">
        <w:t xml:space="preserve"> Lernschwierigkeiten und </w:t>
      </w:r>
      <w:r w:rsidR="00CF64EC" w:rsidRPr="006F7941">
        <w:t>den</w:t>
      </w:r>
      <w:r w:rsidRPr="006F7941">
        <w:t xml:space="preserve"> </w:t>
      </w:r>
      <w:r w:rsidR="000E4758" w:rsidRPr="006F7941">
        <w:t>Auswirkungen</w:t>
      </w:r>
      <w:r w:rsidR="009C2001" w:rsidRPr="006F7941">
        <w:t xml:space="preserve"> auf den Unterricht</w:t>
      </w:r>
      <w:r w:rsidRPr="006F7941">
        <w:t xml:space="preserve">. So wird in der Forschung beschrieben, dass </w:t>
      </w:r>
      <w:r w:rsidR="009C2001" w:rsidRPr="006F7941">
        <w:t xml:space="preserve">Schüler:innen </w:t>
      </w:r>
      <w:r w:rsidR="009C2001" w:rsidRPr="006F7941">
        <w:lastRenderedPageBreak/>
        <w:t xml:space="preserve">mit Lernschwierigkeiten </w:t>
      </w:r>
      <w:r w:rsidRPr="006F7941">
        <w:t>auffallend häufig aus sozial benachteiligten und von Armut betroffenen oder bedrohten Milieus kommen (Werning &amp; Lütje-Klose, 2016), wobei die Auswirkungen dabei vielfältig sein können.</w:t>
      </w:r>
    </w:p>
    <w:p w14:paraId="7D261CD2" w14:textId="3276C7FD" w:rsidR="002F1021" w:rsidRPr="00F04EF5" w:rsidRDefault="002F1021" w:rsidP="002F1021">
      <w:pPr>
        <w:pStyle w:val="berschrift1"/>
      </w:pPr>
      <w:bookmarkStart w:id="2" w:name="_Hlk166404210"/>
      <w:r w:rsidRPr="00F04EF5">
        <w:t>Bildungserfolg b</w:t>
      </w:r>
      <w:r w:rsidR="00CC0E1B">
        <w:t>eziehungsweise</w:t>
      </w:r>
      <w:r w:rsidRPr="00F04EF5">
        <w:t xml:space="preserve"> Lernschwierigkeiten und soziale Herkunft</w:t>
      </w:r>
    </w:p>
    <w:bookmarkEnd w:id="2"/>
    <w:p w14:paraId="40C1678D" w14:textId="313FE84C" w:rsidR="002F1021" w:rsidRPr="00F04EF5" w:rsidRDefault="002F1021" w:rsidP="00EA0ED3">
      <w:pPr>
        <w:pStyle w:val="Textkrper"/>
        <w:ind w:firstLine="0"/>
      </w:pPr>
      <w:r w:rsidRPr="00F04EF5">
        <w:t xml:space="preserve">Die Überlegungen zum Zusammenhang von sozial marginalisierten und von Armut betroffenen Gruppen und Lernschwierigkeiten </w:t>
      </w:r>
      <w:r w:rsidR="008E7D74">
        <w:t>sind</w:t>
      </w:r>
      <w:r w:rsidRPr="00F04EF5">
        <w:t xml:space="preserve"> keineswegs neu, sondern tatsächlich so alt wie</w:t>
      </w:r>
      <w:r w:rsidR="00011806" w:rsidRPr="00F04EF5">
        <w:t xml:space="preserve"> die</w:t>
      </w:r>
      <w:r w:rsidRPr="00F04EF5">
        <w:t xml:space="preserve"> Pädagogik bei Lernschwierigkeiten selbst. Schon </w:t>
      </w:r>
      <w:r w:rsidR="00E25675">
        <w:t xml:space="preserve">der Pädagoge </w:t>
      </w:r>
      <w:r w:rsidRPr="00F04EF5">
        <w:t>Heinrich Stötzner identifizierte</w:t>
      </w:r>
      <w:r w:rsidR="00CB1191">
        <w:t xml:space="preserve"> 1864</w:t>
      </w:r>
      <w:r w:rsidRPr="00F04EF5">
        <w:t xml:space="preserve"> in der Schrift </w:t>
      </w:r>
      <w:r w:rsidR="000E4C6D">
        <w:t>«</w:t>
      </w:r>
      <w:r w:rsidRPr="00F04EF5">
        <w:t>Die Schule für Schwachbefähigte</w:t>
      </w:r>
      <w:r w:rsidR="00CB1191">
        <w:t>»</w:t>
      </w:r>
      <w:r w:rsidRPr="00F04EF5">
        <w:t xml:space="preserve"> </w:t>
      </w:r>
      <w:r w:rsidR="00F23AD9">
        <w:t>diesen</w:t>
      </w:r>
      <w:r w:rsidR="00F23AD9" w:rsidRPr="00F04EF5">
        <w:t xml:space="preserve"> </w:t>
      </w:r>
      <w:r w:rsidRPr="00F04EF5">
        <w:t xml:space="preserve">Personenkreis als </w:t>
      </w:r>
      <w:r w:rsidR="007F0A2A">
        <w:t>«</w:t>
      </w:r>
      <w:r w:rsidRPr="00F04EF5">
        <w:t>Marginalisierte</w:t>
      </w:r>
      <w:r w:rsidR="007F0A2A">
        <w:t>»</w:t>
      </w:r>
      <w:r w:rsidRPr="00F04EF5">
        <w:t xml:space="preserve"> (Heimlich, 2017</w:t>
      </w:r>
      <w:r w:rsidR="004E7BCB">
        <w:t>, S.</w:t>
      </w:r>
      <w:r w:rsidR="002621B9">
        <w:t> </w:t>
      </w:r>
      <w:r w:rsidR="004E7BCB">
        <w:t>88</w:t>
      </w:r>
      <w:r w:rsidRPr="00F04EF5">
        <w:t>).</w:t>
      </w:r>
    </w:p>
    <w:p w14:paraId="56AE5BA5" w14:textId="03182B5C" w:rsidR="002F1021" w:rsidRPr="00F04EF5" w:rsidRDefault="002F1021" w:rsidP="002F1021">
      <w:pPr>
        <w:pStyle w:val="Textkrper"/>
      </w:pPr>
      <w:r w:rsidRPr="00F04EF5">
        <w:t>In verschiedenen Studien zeigt sich, dass Bildungserfolg wesentlich von sozialer Herkunft abhängt (Werning &amp; Lütje-Klose, 2016; Förster &amp; Benkmann, 2023). Daher ist es nicht trivial, dass im Kontext von Lernschwierigkeiten überzufällig häufig Schüler</w:t>
      </w:r>
      <w:r w:rsidR="00E21D0A" w:rsidRPr="00F04EF5">
        <w:t>:</w:t>
      </w:r>
      <w:r w:rsidRPr="00F04EF5">
        <w:t>innen vertreten sind, die von Armut und sozialer Benachteiligung betroffen sind (</w:t>
      </w:r>
      <w:r w:rsidR="002B7CF4">
        <w:t>ebd.</w:t>
      </w:r>
      <w:r w:rsidRPr="00F04EF5">
        <w:t>). Diese Schüler</w:t>
      </w:r>
      <w:r w:rsidR="00E21D0A" w:rsidRPr="00F04EF5">
        <w:t>:</w:t>
      </w:r>
      <w:r w:rsidRPr="00F04EF5">
        <w:t xml:space="preserve">innen sind aufgrund der mangelnden Passung von Lernangeboten und dem Zuschnitt des Schulsystems zusätzlich benachteiligt. So verfügen sie </w:t>
      </w:r>
      <w:r w:rsidR="00466D36">
        <w:t>beispielsweise</w:t>
      </w:r>
      <w:r w:rsidRPr="00F04EF5">
        <w:t xml:space="preserve"> über eine eher schwach ausgeprägte Planungskompetenz und haben </w:t>
      </w:r>
      <w:r w:rsidR="00EA5B20" w:rsidRPr="00F04EF5">
        <w:t xml:space="preserve">Schwierigkeiten </w:t>
      </w:r>
      <w:r w:rsidRPr="00F04EF5">
        <w:t>in der Schule, in der u</w:t>
      </w:r>
      <w:r w:rsidR="00EA5B20">
        <w:t>nter anderem</w:t>
      </w:r>
      <w:r w:rsidRPr="00F04EF5">
        <w:t xml:space="preserve"> selbstgesteuertes Lernen und Eigenverantwortung erwartet werden (van Essen, 2019). Des Weiteren ist im Übergang zur Schule und in der Primarzeit das Vorwissen durch die familiäre Sozialisation und d</w:t>
      </w:r>
      <w:r w:rsidR="002E2640">
        <w:t>ie</w:t>
      </w:r>
      <w:r w:rsidRPr="00F04EF5">
        <w:t xml:space="preserve"> Milieuzugehörigkeit geprägt (</w:t>
      </w:r>
      <w:r w:rsidR="001828A7">
        <w:t>ebd.</w:t>
      </w:r>
      <w:r w:rsidRPr="00F04EF5">
        <w:t xml:space="preserve">). Zudem </w:t>
      </w:r>
      <w:r w:rsidR="00C809A9">
        <w:t>sind</w:t>
      </w:r>
      <w:r w:rsidRPr="00F04EF5">
        <w:t xml:space="preserve"> Emotionen und Kognition</w:t>
      </w:r>
      <w:r w:rsidR="00C809A9">
        <w:t>en</w:t>
      </w:r>
      <w:r w:rsidRPr="00F04EF5">
        <w:t xml:space="preserve"> prädiktiv für Schulerfolg oder </w:t>
      </w:r>
      <w:r w:rsidR="006348C2">
        <w:t>-</w:t>
      </w:r>
      <w:r w:rsidRPr="00F04EF5">
        <w:t>versagen. Da Emotionen kulturell und sozial geprägt sind</w:t>
      </w:r>
      <w:r w:rsidR="00531EF1">
        <w:t xml:space="preserve"> (Dederich, 2018),</w:t>
      </w:r>
      <w:r w:rsidRPr="00F04EF5">
        <w:t xml:space="preserve"> beeinflusst hier die Milieuzugehörigkeit der Schüler</w:t>
      </w:r>
      <w:r w:rsidR="00E21D0A" w:rsidRPr="00F04EF5">
        <w:t>:</w:t>
      </w:r>
      <w:r w:rsidRPr="00F04EF5">
        <w:t>innen</w:t>
      </w:r>
      <w:r w:rsidR="00A93950" w:rsidRPr="00F04EF5">
        <w:t xml:space="preserve"> den Lernerfolg</w:t>
      </w:r>
      <w:r w:rsidRPr="00F04EF5">
        <w:t xml:space="preserve"> in einem Schulsystem, das vor allem kognitive Leistungen </w:t>
      </w:r>
      <w:r w:rsidR="006348C2">
        <w:t>verlangt</w:t>
      </w:r>
      <w:r w:rsidRPr="00F04EF5">
        <w:t xml:space="preserve"> und </w:t>
      </w:r>
      <w:r w:rsidR="00605486">
        <w:t>«</w:t>
      </w:r>
      <w:r w:rsidRPr="00F04EF5">
        <w:t>an den Normen und Werten der mittleren sozialen Milieus ausgerichtet ist und durch regelmä</w:t>
      </w:r>
      <w:r w:rsidR="007B128D" w:rsidRPr="00F04EF5">
        <w:t>ss</w:t>
      </w:r>
      <w:r w:rsidRPr="00F04EF5">
        <w:t>ige interindividuelle Vergleiche funktioniert</w:t>
      </w:r>
      <w:r w:rsidR="00605486">
        <w:t xml:space="preserve">» </w:t>
      </w:r>
      <w:r w:rsidR="00605486" w:rsidRPr="00605486">
        <w:t>(van Essen, 2019, S.</w:t>
      </w:r>
      <w:r w:rsidR="00605486">
        <w:t> </w:t>
      </w:r>
      <w:r w:rsidR="00605486" w:rsidRPr="00605486">
        <w:t>136).</w:t>
      </w:r>
      <w:r w:rsidR="00C92211" w:rsidRPr="00F04EF5">
        <w:t xml:space="preserve"> Das </w:t>
      </w:r>
      <w:r w:rsidRPr="00F04EF5">
        <w:t xml:space="preserve">führt mit hoher Wahrscheinlichkeit zu negativen Emotionen – </w:t>
      </w:r>
      <w:r w:rsidR="00381C33">
        <w:t>«</w:t>
      </w:r>
      <w:r w:rsidRPr="00F04EF5">
        <w:t>und damit zu Lernbeeinträchtigungen</w:t>
      </w:r>
      <w:r w:rsidR="00381C33">
        <w:t>»</w:t>
      </w:r>
      <w:r w:rsidRPr="00F04EF5">
        <w:t xml:space="preserve"> (</w:t>
      </w:r>
      <w:r w:rsidR="00381C33">
        <w:t>ebd.</w:t>
      </w:r>
      <w:r w:rsidRPr="00F04EF5">
        <w:t>).</w:t>
      </w:r>
    </w:p>
    <w:p w14:paraId="1BF88DFA" w14:textId="49687C4B" w:rsidR="00E36CE7" w:rsidRPr="00F04EF5" w:rsidRDefault="00E36CE7" w:rsidP="00E36CE7">
      <w:pPr>
        <w:pStyle w:val="Textkrper"/>
      </w:pPr>
      <w:r w:rsidRPr="004E0CB7">
        <w:rPr>
          <w:noProof/>
        </w:rPr>
        <mc:AlternateContent>
          <mc:Choice Requires="wps">
            <w:drawing>
              <wp:anchor distT="45720" distB="45720" distL="46990" distR="46990" simplePos="0" relativeHeight="251658240" behindDoc="0" locked="0" layoutInCell="1" allowOverlap="0" wp14:anchorId="6F2C11A3" wp14:editId="00A49B2F">
                <wp:simplePos x="0" y="0"/>
                <wp:positionH relativeFrom="page">
                  <wp:align>left</wp:align>
                </wp:positionH>
                <wp:positionV relativeFrom="paragraph">
                  <wp:posOffset>824245</wp:posOffset>
                </wp:positionV>
                <wp:extent cx="5634990" cy="515620"/>
                <wp:effectExtent l="0" t="0" r="0" b="0"/>
                <wp:wrapTopAndBottom/>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5256" cy="515620"/>
                        </a:xfrm>
                        <a:prstGeom prst="rect">
                          <a:avLst/>
                        </a:prstGeom>
                        <a:noFill/>
                        <a:ln w="9525">
                          <a:noFill/>
                          <a:miter lim="800000"/>
                          <a:headEnd/>
                          <a:tailEnd/>
                        </a:ln>
                      </wps:spPr>
                      <wps:txbx>
                        <w:txbxContent>
                          <w:p w14:paraId="78A0B41F" w14:textId="07A0E2A4" w:rsidR="00E36CE7" w:rsidRPr="004E0CB7" w:rsidRDefault="00E36CE7" w:rsidP="00E36CE7">
                            <w:pPr>
                              <w:pStyle w:val="Hervorhebung1"/>
                            </w:pPr>
                            <w:r w:rsidRPr="00E36CE7">
                              <w:rPr>
                                <w:lang w:val="de-DE"/>
                              </w:rPr>
                              <w:t>Das Vorwissen der Schüler:innen ist durch die familiäre Sozialisation und d</w:t>
                            </w:r>
                            <w:r w:rsidR="002E2640">
                              <w:rPr>
                                <w:lang w:val="de-DE"/>
                              </w:rPr>
                              <w:t>ie</w:t>
                            </w:r>
                            <w:r w:rsidRPr="00E36CE7">
                              <w:rPr>
                                <w:lang w:val="de-DE"/>
                              </w:rPr>
                              <w:t xml:space="preserve"> </w:t>
                            </w:r>
                            <w:r w:rsidR="001D0830">
                              <w:rPr>
                                <w:lang w:val="de-DE"/>
                              </w:rPr>
                              <w:br/>
                            </w:r>
                            <w:r w:rsidRPr="00E36CE7">
                              <w:rPr>
                                <w:lang w:val="de-DE"/>
                              </w:rPr>
                              <w:t>Milieuzugehörigkeit geprägt.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2C11A3" id="_x0000_t202" coordsize="21600,21600" o:spt="202" path="m,l,21600r21600,l21600,xe">
                <v:stroke joinstyle="miter"/>
                <v:path gradientshapeok="t" o:connecttype="rect"/>
              </v:shapetype>
              <v:shape id="Text Box 11" o:spid="_x0000_s1026" type="#_x0000_t202" alt="&quot;&quot;" style="position:absolute;left:0;text-align:left;margin-left:0;margin-top:64.9pt;width:443.7pt;height:40.6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" o:allowoverlap="f" filled="f" stroked="f">
                <v:textbox inset="29mm,,2.5mm">
                  <w:txbxContent>
                    <w:p w14:paraId="78A0B41F" w14:textId="07A0E2A4" w:rsidR="00E36CE7" w:rsidRPr="004E0CB7" w:rsidRDefault="00E36CE7" w:rsidP="00E36CE7">
                      <w:pPr>
                        <w:pStyle w:val="Hervorhebung1"/>
                      </w:pPr>
                      <w:r w:rsidRPr="00E36CE7">
                        <w:rPr>
                          <w:lang w:val="de-DE"/>
                        </w:rPr>
                        <w:t>Das Vorwissen der Schüler:innen ist durch die familiäre Sozialisation und d</w:t>
                      </w:r>
                      <w:r w:rsidR="002E2640">
                        <w:rPr>
                          <w:lang w:val="de-DE"/>
                        </w:rPr>
                        <w:t>ie</w:t>
                      </w:r>
                      <w:r w:rsidRPr="00E36CE7">
                        <w:rPr>
                          <w:lang w:val="de-DE"/>
                        </w:rPr>
                        <w:t xml:space="preserve"> </w:t>
                      </w:r>
                      <w:r w:rsidR="001D0830">
                        <w:rPr>
                          <w:lang w:val="de-DE"/>
                        </w:rPr>
                        <w:br/>
                      </w:r>
                      <w:r w:rsidRPr="00E36CE7">
                        <w:rPr>
                          <w:lang w:val="de-DE"/>
                        </w:rPr>
                        <w:t>Milieuzugehörigkeit geprägt.</w:t>
                      </w:r>
                    </w:p>
                  </w:txbxContent>
                </v:textbox>
                <w10:wrap type="topAndBottom" anchorx="page"/>
              </v:shape>
            </w:pict>
          </mc:Fallback>
        </mc:AlternateContent>
      </w:r>
      <w:r w:rsidR="001C52AD" w:rsidRPr="0038585F">
        <w:t>S</w:t>
      </w:r>
      <w:r w:rsidR="002F1021" w:rsidRPr="0038585F">
        <w:t xml:space="preserve">tatistisch </w:t>
      </w:r>
      <w:r w:rsidR="001C52AD" w:rsidRPr="0038585F">
        <w:t xml:space="preserve">kann </w:t>
      </w:r>
      <w:r w:rsidR="002F1021" w:rsidRPr="0038585F">
        <w:t>von keinem linearen, unikausalen Zusammenhang zwischen Milieuzugehörigkeit und späteren Lernschwierigkeiten gesprochen werden</w:t>
      </w:r>
      <w:r w:rsidR="001C52AD" w:rsidRPr="0038585F">
        <w:t>. Trotzdem</w:t>
      </w:r>
      <w:r w:rsidR="002F1021" w:rsidRPr="0038585F">
        <w:t xml:space="preserve"> gibt es Bedingungen, die dazu führen, dass Schüler</w:t>
      </w:r>
      <w:r w:rsidR="00E21D0A" w:rsidRPr="0038585F">
        <w:t>:</w:t>
      </w:r>
      <w:r w:rsidR="002F1021" w:rsidRPr="0038585F">
        <w:t xml:space="preserve">innen im Bildungssystem umfänglich </w:t>
      </w:r>
      <w:r w:rsidR="008A3612" w:rsidRPr="0038585F">
        <w:t>scheitern</w:t>
      </w:r>
      <w:r w:rsidR="002F1021" w:rsidRPr="0038585F">
        <w:t xml:space="preserve"> und im schlechtesten Fall durch persistierende Lernschwierigkeiten auffallen (Heimlich, 2017).</w:t>
      </w:r>
    </w:p>
    <w:p w14:paraId="1631B881" w14:textId="25BFC800" w:rsidR="002F1021" w:rsidRPr="00F04EF5" w:rsidRDefault="002F1021" w:rsidP="002F1021">
      <w:pPr>
        <w:pStyle w:val="berschrift1"/>
      </w:pPr>
      <w:bookmarkStart w:id="3" w:name="_Hlk166404292"/>
      <w:r w:rsidRPr="00F04EF5">
        <w:t>Soziale Benachteiligung und Bildungsgerechtigkeit</w:t>
      </w:r>
    </w:p>
    <w:bookmarkEnd w:id="3"/>
    <w:p w14:paraId="213D41A0" w14:textId="6842F97A" w:rsidR="002F1021" w:rsidRPr="00F04EF5" w:rsidRDefault="002F1021" w:rsidP="007515BB">
      <w:pPr>
        <w:pStyle w:val="Textkrper"/>
        <w:ind w:firstLine="0"/>
      </w:pPr>
      <w:r w:rsidRPr="00F04EF5">
        <w:t xml:space="preserve">Soziale Benachteiligung wird </w:t>
      </w:r>
      <w:r w:rsidR="002609E7">
        <w:t>unter anderem</w:t>
      </w:r>
      <w:r w:rsidRPr="00F04EF5">
        <w:t xml:space="preserve"> </w:t>
      </w:r>
      <w:r w:rsidR="00C62406" w:rsidRPr="00F04EF5">
        <w:t>durch</w:t>
      </w:r>
      <w:r w:rsidRPr="00F04EF5">
        <w:t xml:space="preserve"> Statusmerkmale wie Einkommen, Vermögen, Berufsprestige und Qualifikation </w:t>
      </w:r>
      <w:r w:rsidR="00DB657D" w:rsidRPr="00F04EF5">
        <w:t>beeinflusst</w:t>
      </w:r>
      <w:r w:rsidRPr="00F04EF5">
        <w:t>. Von sozialer Benachteiligung von Schüler</w:t>
      </w:r>
      <w:r w:rsidR="00E21D0A" w:rsidRPr="00F04EF5">
        <w:t>:</w:t>
      </w:r>
      <w:r w:rsidRPr="00F04EF5">
        <w:t xml:space="preserve">innen wird dann gesprochen, </w:t>
      </w:r>
      <w:r w:rsidR="008F6DF0">
        <w:t>«</w:t>
      </w:r>
      <w:r w:rsidRPr="00F04EF5">
        <w:t xml:space="preserve">wenn </w:t>
      </w:r>
      <w:r w:rsidR="008F6DF0">
        <w:t>[</w:t>
      </w:r>
      <w:r w:rsidRPr="00F04EF5">
        <w:t>…</w:t>
      </w:r>
      <w:r w:rsidR="008F6DF0">
        <w:t>]</w:t>
      </w:r>
      <w:r w:rsidRPr="00F04EF5">
        <w:t xml:space="preserve"> ihre Handlungs- und Entfaltungsspielräume in wesentlichen Bereichen der Daseinsgestaltung und Entwicklung </w:t>
      </w:r>
      <w:r w:rsidR="006E46C4">
        <w:t>[</w:t>
      </w:r>
      <w:r w:rsidRPr="00F04EF5">
        <w:t>…</w:t>
      </w:r>
      <w:r w:rsidR="006E46C4">
        <w:t>]</w:t>
      </w:r>
      <w:r w:rsidRPr="00F04EF5">
        <w:t xml:space="preserve"> im Vergleich zur Mehrheit ihrer Altersgruppe deutlich eingeschränkt sind</w:t>
      </w:r>
      <w:r w:rsidR="008F6DF0">
        <w:t>»</w:t>
      </w:r>
      <w:r w:rsidRPr="00F04EF5">
        <w:t xml:space="preserve"> (Weiß, 2007, S.</w:t>
      </w:r>
      <w:r w:rsidR="008F6DF0">
        <w:t> </w:t>
      </w:r>
      <w:r w:rsidRPr="00F04EF5">
        <w:t>20</w:t>
      </w:r>
      <w:r w:rsidR="006E3AE2">
        <w:t>,</w:t>
      </w:r>
      <w:r w:rsidRPr="00F04EF5">
        <w:t xml:space="preserve"> zit</w:t>
      </w:r>
      <w:r w:rsidR="00DD4106">
        <w:t>.</w:t>
      </w:r>
      <w:r w:rsidRPr="00F04EF5">
        <w:t xml:space="preserve"> nach Heimlich, 2017</w:t>
      </w:r>
      <w:r w:rsidR="00F70015">
        <w:t>, S.</w:t>
      </w:r>
      <w:r w:rsidR="006E3AE2">
        <w:t> </w:t>
      </w:r>
      <w:r w:rsidR="00F70015">
        <w:t>89</w:t>
      </w:r>
      <w:r w:rsidRPr="00F04EF5">
        <w:t>).</w:t>
      </w:r>
    </w:p>
    <w:p w14:paraId="534D7D57" w14:textId="0543A747" w:rsidR="002F1021" w:rsidRPr="00F04EF5" w:rsidRDefault="002F1021" w:rsidP="00F738B1">
      <w:pPr>
        <w:pStyle w:val="Textkrper"/>
      </w:pPr>
      <w:r w:rsidRPr="00F04EF5">
        <w:t xml:space="preserve">Bei der Beurteilung von Lernzielen sind Lehrpersonen häufig von Variablen wie Arbeitsverhalten, sprachlichem Ausdruck oder Motivation </w:t>
      </w:r>
      <w:r w:rsidR="008B0FE2">
        <w:t xml:space="preserve">der Lernenden </w:t>
      </w:r>
      <w:r w:rsidRPr="00F04EF5">
        <w:t>beeinflusst, wodurch Bildungsungerechtigkeit reproduziert wird (Ditton, 2004).</w:t>
      </w:r>
      <w:r w:rsidR="00F738B1" w:rsidRPr="00F04EF5">
        <w:t xml:space="preserve"> </w:t>
      </w:r>
      <w:r w:rsidRPr="00F04EF5">
        <w:t xml:space="preserve">Das wirft die Frage nach Bildungsgerechtigkeit auf, insbesondere wenn schulische Leistungen mitunter als Beitrag zur Rechtfertigung sozialer Ungerechtigkeit angesehen </w:t>
      </w:r>
      <w:r w:rsidR="00C8422B">
        <w:t>werden</w:t>
      </w:r>
      <w:r w:rsidR="008605F6">
        <w:t xml:space="preserve"> </w:t>
      </w:r>
      <w:r w:rsidR="008605F6" w:rsidRPr="00F04EF5">
        <w:t>(Heid, 2012; Stojanov, 2015)</w:t>
      </w:r>
      <w:r w:rsidRPr="00F04EF5">
        <w:t>. Mit Bezug zur schulischen Bildung können drei Gerechtigkeitsparadigmen ausgemacht werden:</w:t>
      </w:r>
    </w:p>
    <w:p w14:paraId="388FD854" w14:textId="36619E3D" w:rsidR="002F1021" w:rsidRPr="00F04EF5" w:rsidRDefault="002F1021" w:rsidP="002F1021">
      <w:pPr>
        <w:pStyle w:val="Liste"/>
        <w:rPr>
          <w:rFonts w:cs="Open Sans SemiCondensed SemiCon"/>
        </w:rPr>
      </w:pPr>
      <w:r w:rsidRPr="00E93CE1">
        <w:rPr>
          <w:rFonts w:cs="Open Sans SemiCondensed SemiCon"/>
          <w:i/>
          <w:iCs/>
        </w:rPr>
        <w:t>Verteilungsgerechtigkeit:</w:t>
      </w:r>
      <w:r w:rsidRPr="00F04EF5">
        <w:rPr>
          <w:rFonts w:cs="Open Sans SemiCondensed SemiCon"/>
        </w:rPr>
        <w:t xml:space="preserve"> </w:t>
      </w:r>
      <w:r w:rsidR="00EE37BA">
        <w:rPr>
          <w:rFonts w:cs="Open Sans SemiCondensed SemiCon"/>
        </w:rPr>
        <w:t>J</w:t>
      </w:r>
      <w:r w:rsidRPr="00F04EF5">
        <w:rPr>
          <w:rFonts w:cs="Open Sans SemiCondensed SemiCon"/>
        </w:rPr>
        <w:t>edem Mitglied der Gesellschaft</w:t>
      </w:r>
      <w:r w:rsidR="00EE37BA">
        <w:rPr>
          <w:rFonts w:cs="Open Sans SemiCondensed SemiCon"/>
        </w:rPr>
        <w:t xml:space="preserve"> wird</w:t>
      </w:r>
      <w:r w:rsidRPr="00F04EF5">
        <w:rPr>
          <w:rFonts w:cs="Open Sans SemiCondensed SemiCon"/>
        </w:rPr>
        <w:t xml:space="preserve"> eine angemessene Grundbildung gewährt und </w:t>
      </w:r>
      <w:r w:rsidR="00011806" w:rsidRPr="00F04EF5">
        <w:rPr>
          <w:rFonts w:cs="Open Sans SemiCondensed SemiCon"/>
        </w:rPr>
        <w:t xml:space="preserve">jedes Mitglied </w:t>
      </w:r>
      <w:r w:rsidR="00EE37BA" w:rsidRPr="00F04EF5">
        <w:rPr>
          <w:rFonts w:cs="Open Sans SemiCondensed SemiCon"/>
        </w:rPr>
        <w:t xml:space="preserve">erhält </w:t>
      </w:r>
      <w:r w:rsidRPr="00F04EF5">
        <w:rPr>
          <w:rFonts w:cs="Open Sans SemiCondensed SemiCon"/>
        </w:rPr>
        <w:t>die Chance, sich für attraktive soziale Positionen zu qualifizieren</w:t>
      </w:r>
      <w:r w:rsidR="004E72AE" w:rsidRPr="00F04EF5">
        <w:rPr>
          <w:rFonts w:cs="Open Sans SemiCondensed SemiCon"/>
        </w:rPr>
        <w:t>. Es wird gefragt</w:t>
      </w:r>
      <w:r w:rsidR="00011806" w:rsidRPr="00F04EF5">
        <w:rPr>
          <w:rFonts w:cs="Open Sans SemiCondensed SemiCon"/>
        </w:rPr>
        <w:t xml:space="preserve">, </w:t>
      </w:r>
      <w:r w:rsidRPr="00F04EF5">
        <w:rPr>
          <w:rFonts w:cs="Open Sans SemiCondensed SemiCon"/>
        </w:rPr>
        <w:t>wie die Ungleichheiten zum Vorteil der am wenigsten begünstigten Mitglieder ausgestaltet sind (Giesinger, 2011)</w:t>
      </w:r>
      <w:r w:rsidR="004E72AE" w:rsidRPr="00F04EF5">
        <w:rPr>
          <w:rFonts w:cs="Open Sans SemiCondensed SemiCon"/>
        </w:rPr>
        <w:t>.</w:t>
      </w:r>
    </w:p>
    <w:p w14:paraId="016AF1A6" w14:textId="5C95FF55" w:rsidR="002F1021" w:rsidRPr="00F04EF5" w:rsidRDefault="002F1021" w:rsidP="002F1021">
      <w:pPr>
        <w:pStyle w:val="Liste"/>
        <w:rPr>
          <w:rFonts w:cs="Open Sans SemiCondensed SemiCon"/>
        </w:rPr>
      </w:pPr>
      <w:r w:rsidRPr="00E93CE1">
        <w:rPr>
          <w:rFonts w:cs="Open Sans SemiCondensed SemiCon"/>
          <w:i/>
          <w:iCs/>
        </w:rPr>
        <w:t>Teilhabegerechtigkeit:</w:t>
      </w:r>
      <w:r w:rsidRPr="00F04EF5">
        <w:rPr>
          <w:rFonts w:cs="Open Sans SemiCondensed SemiCon"/>
        </w:rPr>
        <w:t xml:space="preserve"> </w:t>
      </w:r>
      <w:r w:rsidR="00EE37BA">
        <w:rPr>
          <w:rFonts w:cs="Open Sans SemiCondensed SemiCon"/>
        </w:rPr>
        <w:t>A</w:t>
      </w:r>
      <w:r w:rsidRPr="00F04EF5">
        <w:rPr>
          <w:rFonts w:cs="Open Sans SemiCondensed SemiCon"/>
        </w:rPr>
        <w:t xml:space="preserve">lle Gesellschaftsmitglieder </w:t>
      </w:r>
      <w:r w:rsidR="00EE37BA">
        <w:rPr>
          <w:rFonts w:cs="Open Sans SemiCondensed SemiCon"/>
        </w:rPr>
        <w:t xml:space="preserve">können </w:t>
      </w:r>
      <w:r w:rsidRPr="00F04EF5">
        <w:rPr>
          <w:rFonts w:cs="Open Sans SemiCondensed SemiCon"/>
        </w:rPr>
        <w:t>die notwendigen Grundfähigkeiten erwerben, um sozial partizipieren zu können (te Poel, 2019)</w:t>
      </w:r>
      <w:r w:rsidR="004E72AE" w:rsidRPr="00F04EF5">
        <w:rPr>
          <w:rFonts w:cs="Open Sans SemiCondensed SemiCon"/>
        </w:rPr>
        <w:t>.</w:t>
      </w:r>
    </w:p>
    <w:p w14:paraId="3DE0A011" w14:textId="51133CC7" w:rsidR="002F1021" w:rsidRPr="00F04EF5" w:rsidRDefault="002F1021" w:rsidP="002F1021">
      <w:pPr>
        <w:pStyle w:val="Liste"/>
        <w:rPr>
          <w:rFonts w:cs="Open Sans SemiCondensed SemiCon"/>
        </w:rPr>
      </w:pPr>
      <w:r w:rsidRPr="00E93CE1">
        <w:rPr>
          <w:rFonts w:cs="Open Sans SemiCondensed SemiCon"/>
          <w:i/>
          <w:iCs/>
        </w:rPr>
        <w:lastRenderedPageBreak/>
        <w:t>Anerkennungsgerechtigkeit:</w:t>
      </w:r>
      <w:r w:rsidRPr="00F04EF5">
        <w:rPr>
          <w:rFonts w:cs="Open Sans SemiCondensed SemiCon"/>
        </w:rPr>
        <w:t xml:space="preserve"> </w:t>
      </w:r>
      <w:r w:rsidR="00763B34">
        <w:rPr>
          <w:rFonts w:cs="Open Sans SemiCondensed SemiCon"/>
        </w:rPr>
        <w:t>S</w:t>
      </w:r>
      <w:r w:rsidRPr="00F04EF5">
        <w:rPr>
          <w:rFonts w:cs="Open Sans SemiCondensed SemiCon"/>
        </w:rPr>
        <w:t>oziale Unterdrückung und Ausgrenzung</w:t>
      </w:r>
      <w:r w:rsidR="001258FD" w:rsidRPr="00F04EF5">
        <w:rPr>
          <w:rFonts w:cs="Open Sans SemiCondensed SemiCon"/>
        </w:rPr>
        <w:t xml:space="preserve"> </w:t>
      </w:r>
      <w:r w:rsidR="00763B34">
        <w:rPr>
          <w:rFonts w:cs="Open Sans SemiCondensed SemiCon"/>
        </w:rPr>
        <w:t xml:space="preserve">werden abgebaut </w:t>
      </w:r>
      <w:r w:rsidR="001258FD" w:rsidRPr="00F04EF5">
        <w:rPr>
          <w:rFonts w:cs="Open Sans SemiCondensed SemiCon"/>
        </w:rPr>
        <w:t>durch Empathie, Respekt und Wertschätzung</w:t>
      </w:r>
      <w:r w:rsidRPr="00F04EF5">
        <w:rPr>
          <w:rFonts w:cs="Open Sans SemiCondensed SemiCon"/>
        </w:rPr>
        <w:t xml:space="preserve"> (Stojanov, 201</w:t>
      </w:r>
      <w:r w:rsidR="001258FD" w:rsidRPr="00F04EF5">
        <w:rPr>
          <w:rFonts w:cs="Open Sans SemiCondensed SemiCon"/>
        </w:rPr>
        <w:t>3</w:t>
      </w:r>
      <w:r w:rsidRPr="00F04EF5">
        <w:rPr>
          <w:rFonts w:cs="Open Sans SemiCondensed SemiCon"/>
        </w:rPr>
        <w:t>)</w:t>
      </w:r>
      <w:r w:rsidR="006C4027">
        <w:rPr>
          <w:rFonts w:cs="Open Sans SemiCondensed SemiCon"/>
        </w:rPr>
        <w:t>.</w:t>
      </w:r>
    </w:p>
    <w:p w14:paraId="7BF99C5B" w14:textId="29981F31" w:rsidR="002F1021" w:rsidRPr="00F04EF5" w:rsidRDefault="002F1021" w:rsidP="0062026F">
      <w:pPr>
        <w:pStyle w:val="Textkrper"/>
        <w:ind w:firstLine="0"/>
      </w:pPr>
      <w:r w:rsidRPr="00F04EF5">
        <w:t xml:space="preserve">Es stellt sich die Frage, ob Schule </w:t>
      </w:r>
      <w:r w:rsidR="00763B34">
        <w:t xml:space="preserve">sowohl </w:t>
      </w:r>
      <w:r w:rsidR="00CE20A8" w:rsidRPr="00F04EF5">
        <w:t xml:space="preserve">ein </w:t>
      </w:r>
      <w:r w:rsidRPr="00F04EF5">
        <w:t xml:space="preserve">Raum für Bildung </w:t>
      </w:r>
      <w:r w:rsidR="00F738B1" w:rsidRPr="00F04EF5">
        <w:t>als auch</w:t>
      </w:r>
      <w:r w:rsidRPr="00F04EF5">
        <w:t xml:space="preserve"> </w:t>
      </w:r>
      <w:r w:rsidR="00883CFF">
        <w:t xml:space="preserve">für </w:t>
      </w:r>
      <w:r w:rsidRPr="00F04EF5">
        <w:t xml:space="preserve">Gerechtigkeit sein kann, da </w:t>
      </w:r>
      <w:r w:rsidR="00A93950" w:rsidRPr="00F04EF5">
        <w:t xml:space="preserve">sie </w:t>
      </w:r>
      <w:r w:rsidRPr="00F04EF5">
        <w:t xml:space="preserve">die soziale Ordnung und gesellschaftlichen Machtverhältnisse </w:t>
      </w:r>
      <w:r w:rsidR="00A93950" w:rsidRPr="00F04EF5">
        <w:t>(re-)produziert</w:t>
      </w:r>
      <w:r w:rsidRPr="00F04EF5">
        <w:t xml:space="preserve"> und </w:t>
      </w:r>
      <w:r w:rsidR="00F738B1" w:rsidRPr="00F04EF5">
        <w:t xml:space="preserve">die Erhaltung der Ordnung </w:t>
      </w:r>
      <w:r w:rsidRPr="00F04EF5">
        <w:t xml:space="preserve">mitunter als eigentlicher Zweck von Schule verstanden werden kann (Bourdieu &amp; Passeron, 1971). So ist Schule </w:t>
      </w:r>
      <w:r w:rsidR="00A93950" w:rsidRPr="00F04EF5">
        <w:t xml:space="preserve">entgegen ihrem Anspruch in der Praxis oft </w:t>
      </w:r>
      <w:r w:rsidRPr="00F04EF5">
        <w:t xml:space="preserve">kein Ermöglichungsraum, sondern eher einer, der </w:t>
      </w:r>
      <w:r w:rsidR="00883CFF">
        <w:t>«</w:t>
      </w:r>
      <w:r w:rsidRPr="00F04EF5">
        <w:t>soziale Hierarchien reproduziert und Klassenprivilegien zementiert</w:t>
      </w:r>
      <w:r w:rsidR="00883CFF">
        <w:t>»</w:t>
      </w:r>
      <w:r w:rsidRPr="00F04EF5">
        <w:t xml:space="preserve"> (Frohn &amp; Simon, 2022</w:t>
      </w:r>
      <w:r w:rsidR="00F70015">
        <w:t>, o.</w:t>
      </w:r>
      <w:r w:rsidR="007342AD">
        <w:t> </w:t>
      </w:r>
      <w:r w:rsidR="00F70015">
        <w:t>S.</w:t>
      </w:r>
      <w:r w:rsidRPr="00F04EF5">
        <w:t xml:space="preserve">). Mit Bourdieu und Passeron </w:t>
      </w:r>
      <w:r w:rsidR="00883CFF">
        <w:t>(1971</w:t>
      </w:r>
      <w:r w:rsidR="00883CFF" w:rsidDel="00342F2E">
        <w:t>)</w:t>
      </w:r>
      <w:r w:rsidR="00883CFF">
        <w:t xml:space="preserve"> </w:t>
      </w:r>
      <w:r w:rsidRPr="00F04EF5">
        <w:t xml:space="preserve">gesprochen bedeutet das, dass </w:t>
      </w:r>
      <w:r w:rsidR="00263A3D">
        <w:t>«</w:t>
      </w:r>
      <w:r w:rsidRPr="00F04EF5">
        <w:t>alle ein Spiel mitspielen müssen, das unter dem Vorwand der Allgemeinbildung eigentlich nur für Privilegierte bestimmt ist</w:t>
      </w:r>
      <w:r w:rsidR="00263A3D">
        <w:t>»</w:t>
      </w:r>
      <w:r w:rsidR="00342F2E">
        <w:t xml:space="preserve"> (S. 39)</w:t>
      </w:r>
      <w:r w:rsidRPr="00F04EF5">
        <w:t xml:space="preserve">. Ein inklusives Schulsystem soll dazu beitragen, dass sich gesellschaftliche Ungleichheit über das Bildungssystem nicht reproduziert (Schroeder, 2010). Es </w:t>
      </w:r>
      <w:r w:rsidR="005E6DC2" w:rsidRPr="00F04EF5">
        <w:t>zielt darauf</w:t>
      </w:r>
      <w:r w:rsidR="008C0A3E">
        <w:t xml:space="preserve"> ab</w:t>
      </w:r>
      <w:r w:rsidRPr="00F04EF5">
        <w:t>, dass Grenzen unterschiedlicher und entfremdeter Milieus bearbeitet und aufgelöst werden (Förster &amp; Benkmann, 2023). Fragen der Bildungsgerechtigkeit stellen sich aber nicht nur hinsichtlich des Bildungssystems, sondern auch hinsichtlich der Didaktik (Frohn &amp; Simon, 2022). So fordert Schroeder (2010) eine lebenslagenorientierte Didaktik, die sich auch auf die Inhalte bezieht und in den Blick nimmt, was und wozu unterrichtet wird.</w:t>
      </w:r>
    </w:p>
    <w:p w14:paraId="540395A7" w14:textId="0505A148" w:rsidR="00903128" w:rsidRPr="00F04EF5" w:rsidRDefault="00903128" w:rsidP="00903128">
      <w:pPr>
        <w:pStyle w:val="Textkrper"/>
      </w:pPr>
      <w:r w:rsidRPr="004E0CB7">
        <w:rPr>
          <w:noProof/>
        </w:rPr>
        <mc:AlternateContent>
          <mc:Choice Requires="wps">
            <w:drawing>
              <wp:anchor distT="45720" distB="45720" distL="46990" distR="46990" simplePos="0" relativeHeight="251658241" behindDoc="0" locked="0" layoutInCell="1" allowOverlap="0" wp14:anchorId="5547D2FB" wp14:editId="6FCB0421">
                <wp:simplePos x="0" y="0"/>
                <wp:positionH relativeFrom="page">
                  <wp:align>left</wp:align>
                </wp:positionH>
                <wp:positionV relativeFrom="paragraph">
                  <wp:posOffset>1230024</wp:posOffset>
                </wp:positionV>
                <wp:extent cx="5931535" cy="515620"/>
                <wp:effectExtent l="0" t="0" r="0" b="0"/>
                <wp:wrapTopAndBottom/>
                <wp:docPr id="629752638"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515620"/>
                        </a:xfrm>
                        <a:prstGeom prst="rect">
                          <a:avLst/>
                        </a:prstGeom>
                        <a:noFill/>
                        <a:ln w="9525">
                          <a:noFill/>
                          <a:miter lim="800000"/>
                          <a:headEnd/>
                          <a:tailEnd/>
                        </a:ln>
                      </wps:spPr>
                      <wps:txbx>
                        <w:txbxContent>
                          <w:p w14:paraId="3D5A3FB2" w14:textId="77777777" w:rsidR="00903128" w:rsidRPr="00903128" w:rsidRDefault="00903128" w:rsidP="00903128">
                            <w:pPr>
                              <w:pStyle w:val="Hervorhebung1"/>
                            </w:pPr>
                            <w:r w:rsidRPr="00903128">
                              <w:rPr>
                                <w:lang w:val="de-DE"/>
                              </w:rPr>
                              <w:t>Es braucht einen Unterricht, der für Schüler:innen aus benachteiligten Herkunftsmilieus inhaltlich und methodisch anschlussfähig ist.</w:t>
                            </w:r>
                          </w:p>
                          <w:p w14:paraId="21450663" w14:textId="4A975A78" w:rsidR="00903128" w:rsidRPr="004E0CB7" w:rsidRDefault="00903128" w:rsidP="00903128">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7D2FB" id="_x0000_s1027" type="#_x0000_t202" alt="&quot;&quot;" style="position:absolute;left:0;text-align:left;margin-left:0;margin-top:96.85pt;width:467.05pt;height:40.6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" o:allowoverlap="f" filled="f" stroked="f">
                <v:textbox inset="29mm,,2.5mm">
                  <w:txbxContent>
                    <w:p w14:paraId="3D5A3FB2" w14:textId="77777777" w:rsidR="00903128" w:rsidRPr="00903128" w:rsidRDefault="00903128" w:rsidP="00903128">
                      <w:pPr>
                        <w:pStyle w:val="Hervorhebung1"/>
                      </w:pPr>
                      <w:r w:rsidRPr="00903128">
                        <w:rPr>
                          <w:lang w:val="de-DE"/>
                        </w:rPr>
                        <w:t>Es braucht einen Unterricht, der für Schüler:innen aus benachteiligten Herkunftsmilieus inhaltlich und methodisch anschlussfähig ist.</w:t>
                      </w:r>
                    </w:p>
                    <w:p w14:paraId="21450663" w14:textId="4A975A78" w:rsidR="00903128" w:rsidRPr="004E0CB7" w:rsidRDefault="00903128" w:rsidP="00903128">
                      <w:pPr>
                        <w:pStyle w:val="Hervorhebung1"/>
                      </w:pPr>
                    </w:p>
                  </w:txbxContent>
                </v:textbox>
                <w10:wrap type="topAndBottom" anchorx="page"/>
              </v:shape>
            </w:pict>
          </mc:Fallback>
        </mc:AlternateContent>
      </w:r>
      <w:r w:rsidR="002F1021" w:rsidRPr="00F04EF5">
        <w:t xml:space="preserve">Es </w:t>
      </w:r>
      <w:r w:rsidR="00163E1F">
        <w:t>braucht einen</w:t>
      </w:r>
      <w:r w:rsidR="002F1021" w:rsidRPr="00F04EF5">
        <w:t xml:space="preserve"> Unterricht, der für Schüler</w:t>
      </w:r>
      <w:r w:rsidR="00E21D0A" w:rsidRPr="00F04EF5">
        <w:t>:</w:t>
      </w:r>
      <w:r w:rsidR="002F1021" w:rsidRPr="00F04EF5">
        <w:t>innen aus benachteiligten Herkunftsmilieus inhaltlich und methodisch anschlussfähig ist, z</w:t>
      </w:r>
      <w:r w:rsidR="00E023BD">
        <w:t>um Beispiel</w:t>
      </w:r>
      <w:r w:rsidR="002F1021" w:rsidRPr="00F04EF5">
        <w:t xml:space="preserve"> durch das Einbeziehen au</w:t>
      </w:r>
      <w:r w:rsidR="007B128D" w:rsidRPr="00F04EF5">
        <w:t>ss</w:t>
      </w:r>
      <w:r w:rsidR="002F1021" w:rsidRPr="00F04EF5">
        <w:t>erschulischer Expert</w:t>
      </w:r>
      <w:r w:rsidR="00E21D0A" w:rsidRPr="00F04EF5">
        <w:t>:</w:t>
      </w:r>
      <w:r w:rsidR="002F1021" w:rsidRPr="00F04EF5">
        <w:t>innen und Mentor</w:t>
      </w:r>
      <w:r w:rsidR="00E21D0A" w:rsidRPr="00F04EF5">
        <w:t>:</w:t>
      </w:r>
      <w:r w:rsidR="002F1021" w:rsidRPr="00F04EF5">
        <w:t>innen</w:t>
      </w:r>
      <w:r w:rsidR="00A40918">
        <w:t xml:space="preserve"> (z.</w:t>
      </w:r>
      <w:r w:rsidR="00E07BB4">
        <w:t> </w:t>
      </w:r>
      <w:r w:rsidR="00A40918">
        <w:t>B. Vertreter:innen bestimmter Berufsgruppen, die authentisch von ihrer Expertise berichten oder auch</w:t>
      </w:r>
      <w:r w:rsidR="00814FE2">
        <w:t xml:space="preserve"> Übergänge in etwaige Ausbildungsverhältnisse anschieben/begleiten können</w:t>
      </w:r>
      <w:r w:rsidR="00A40918">
        <w:t>)</w:t>
      </w:r>
      <w:r w:rsidR="002F1021" w:rsidRPr="00F04EF5">
        <w:t xml:space="preserve">. </w:t>
      </w:r>
      <w:r w:rsidR="00A93950" w:rsidRPr="00F04EF5">
        <w:t xml:space="preserve">Da </w:t>
      </w:r>
      <w:r w:rsidR="002F1021" w:rsidRPr="00F04EF5">
        <w:t>nicht in jede</w:t>
      </w:r>
      <w:r w:rsidR="00A93950" w:rsidRPr="00F04EF5">
        <w:t>m</w:t>
      </w:r>
      <w:r w:rsidR="002F1021" w:rsidRPr="00F04EF5">
        <w:t xml:space="preserve"> Unterricht </w:t>
      </w:r>
      <w:r w:rsidR="00A93950" w:rsidRPr="00F04EF5">
        <w:t>au</w:t>
      </w:r>
      <w:r w:rsidR="007B128D" w:rsidRPr="00F04EF5">
        <w:t>ss</w:t>
      </w:r>
      <w:r w:rsidR="00A93950" w:rsidRPr="00F04EF5">
        <w:t xml:space="preserve">erschulische Expert:innen oder Mentor:innen eingeladen werden können </w:t>
      </w:r>
      <w:r w:rsidR="002F1021" w:rsidRPr="00F04EF5">
        <w:t>oder ein au</w:t>
      </w:r>
      <w:r w:rsidR="007B128D" w:rsidRPr="00F04EF5">
        <w:t>ss</w:t>
      </w:r>
      <w:r w:rsidR="002F1021" w:rsidRPr="00F04EF5">
        <w:t xml:space="preserve">erschulischer Lernort </w:t>
      </w:r>
      <w:r w:rsidR="00CE20A8" w:rsidRPr="00F04EF5">
        <w:t>aufgesucht werden kann</w:t>
      </w:r>
      <w:r w:rsidR="00A93950" w:rsidRPr="00F04EF5">
        <w:t xml:space="preserve"> </w:t>
      </w:r>
      <w:r w:rsidR="002F1021" w:rsidRPr="00F04EF5">
        <w:t>(Förster &amp; Benkmann, 2023)</w:t>
      </w:r>
      <w:r w:rsidR="00A93950" w:rsidRPr="00F04EF5">
        <w:t xml:space="preserve">, stellt sich die </w:t>
      </w:r>
      <w:r w:rsidR="002F1021" w:rsidRPr="00F04EF5">
        <w:t xml:space="preserve">Frage, wie </w:t>
      </w:r>
      <w:r w:rsidR="004E72AE" w:rsidRPr="00F04EF5">
        <w:t>Lehrpersonen den</w:t>
      </w:r>
      <w:r w:rsidR="002F1021" w:rsidRPr="00F04EF5">
        <w:t xml:space="preserve"> Unterricht dennoch herkunftssensibel gestalte</w:t>
      </w:r>
      <w:r w:rsidR="004E72AE" w:rsidRPr="00F04EF5">
        <w:t>n</w:t>
      </w:r>
      <w:r w:rsidR="00640356" w:rsidRPr="00F04EF5">
        <w:t xml:space="preserve"> können</w:t>
      </w:r>
      <w:r w:rsidR="002F1021" w:rsidRPr="00F04EF5">
        <w:t>.</w:t>
      </w:r>
    </w:p>
    <w:p w14:paraId="51F5119A" w14:textId="19E10161" w:rsidR="002F1021" w:rsidRPr="00F04EF5" w:rsidRDefault="00426E5C" w:rsidP="002F1021">
      <w:pPr>
        <w:pStyle w:val="berschrift1"/>
      </w:pPr>
      <w:bookmarkStart w:id="4" w:name="_Hlk166404508"/>
      <w:r w:rsidRPr="00904AE4">
        <w:rPr>
          <w:i/>
        </w:rPr>
        <w:t>Universal Design for Learning</w:t>
      </w:r>
      <w:r w:rsidR="00876DB6">
        <w:t xml:space="preserve"> als Unterrichtskonzept</w:t>
      </w:r>
    </w:p>
    <w:bookmarkEnd w:id="4"/>
    <w:p w14:paraId="029E1FF2" w14:textId="2DFEA156" w:rsidR="002F1021" w:rsidRPr="00F04EF5" w:rsidRDefault="003C6CC5" w:rsidP="008600BA">
      <w:pPr>
        <w:pStyle w:val="Textkrper"/>
        <w:ind w:firstLine="0"/>
      </w:pPr>
      <w:r>
        <w:t>D</w:t>
      </w:r>
      <w:r w:rsidR="002F1021" w:rsidRPr="00F04EF5">
        <w:t xml:space="preserve">idaktische Prinzipien </w:t>
      </w:r>
      <w:r>
        <w:t xml:space="preserve">können </w:t>
      </w:r>
      <w:r w:rsidR="002F1021" w:rsidRPr="00F04EF5">
        <w:t>helfen, die mangelnde Passung zwischen dem Schulsystem und den lebensweltlichen Voraussetzungen der Schüler</w:t>
      </w:r>
      <w:r w:rsidR="00E21D0A" w:rsidRPr="00F04EF5">
        <w:t>:</w:t>
      </w:r>
      <w:r w:rsidR="002F1021" w:rsidRPr="00F04EF5">
        <w:t xml:space="preserve">innen herzustellen. Grundsätzlich ist Vorsicht geboten bezüglich </w:t>
      </w:r>
      <w:r>
        <w:t>«</w:t>
      </w:r>
      <w:r w:rsidR="002F1021" w:rsidRPr="00F04EF5">
        <w:t xml:space="preserve">Konstruktionen von </w:t>
      </w:r>
      <w:r w:rsidR="00E14D55">
        <w:rPr>
          <w:rFonts w:cs="Open Sans SemiCondensed SemiCon"/>
        </w:rPr>
        <w:t>‹</w:t>
      </w:r>
      <w:r w:rsidR="002F1021" w:rsidRPr="00F04EF5">
        <w:t>schichtspezifischen Sozialcharakteren</w:t>
      </w:r>
      <w:r w:rsidR="00E14D55">
        <w:rPr>
          <w:rFonts w:cs="Open Sans SemiCondensed SemiCon"/>
        </w:rPr>
        <w:t>›</w:t>
      </w:r>
      <w:r>
        <w:t>»</w:t>
      </w:r>
      <w:r w:rsidR="002F1021" w:rsidRPr="00F04EF5">
        <w:t xml:space="preserve"> (Walgenbach</w:t>
      </w:r>
      <w:r w:rsidR="006D7D99">
        <w:t>,</w:t>
      </w:r>
      <w:r w:rsidR="002F1021" w:rsidRPr="00F04EF5">
        <w:t xml:space="preserve"> 2017, </w:t>
      </w:r>
      <w:r w:rsidR="003E79A1" w:rsidRPr="00F04EF5">
        <w:t>S.</w:t>
      </w:r>
      <w:r w:rsidR="00F4354D">
        <w:t> </w:t>
      </w:r>
      <w:r w:rsidR="002F1021" w:rsidRPr="00F04EF5">
        <w:t>49)</w:t>
      </w:r>
      <w:r w:rsidR="00814FE2">
        <w:t xml:space="preserve">, also </w:t>
      </w:r>
      <w:r w:rsidR="003046CF">
        <w:t>beispielsweise</w:t>
      </w:r>
      <w:r w:rsidR="00814FE2">
        <w:t xml:space="preserve"> </w:t>
      </w:r>
      <w:r w:rsidR="006E397E">
        <w:t xml:space="preserve">Konstruktionen </w:t>
      </w:r>
      <w:r w:rsidR="00814FE2">
        <w:t>von Prototypen von Schüler:innen aufgrund ihrer sozialen Herkunft</w:t>
      </w:r>
      <w:r w:rsidR="00DB657D" w:rsidRPr="00F04EF5">
        <w:t xml:space="preserve">. </w:t>
      </w:r>
      <w:r w:rsidR="005B5519" w:rsidRPr="00F04EF5">
        <w:t>Eher</w:t>
      </w:r>
      <w:r w:rsidR="00EF7A99" w:rsidRPr="00F04EF5">
        <w:t xml:space="preserve"> geht es um Anerkennung durch Empathie, Respekt und soziale Wertschätzung, da sie soziale Teilhabe ermöglicht. Bei der Adressierung von Bildungsgerechtigkeit</w:t>
      </w:r>
      <w:r w:rsidR="00011806" w:rsidRPr="00F04EF5">
        <w:t xml:space="preserve"> </w:t>
      </w:r>
      <w:r w:rsidR="00611618" w:rsidRPr="00F04EF5">
        <w:t>soll</w:t>
      </w:r>
      <w:r w:rsidR="00270696">
        <w:t>en</w:t>
      </w:r>
      <w:r w:rsidR="00EF7A99" w:rsidRPr="00F04EF5">
        <w:t xml:space="preserve"> daher</w:t>
      </w:r>
      <w:r w:rsidR="00611618" w:rsidRPr="00F04EF5">
        <w:t xml:space="preserve"> nicht spezifische Lernweisen von Schüler:innen </w:t>
      </w:r>
      <w:r w:rsidR="00270696">
        <w:t>er</w:t>
      </w:r>
      <w:r w:rsidR="00611618" w:rsidRPr="00F04EF5">
        <w:t>fragt oder konzeptionelle Antworten entwickelt werden (Seitz &amp; Simon, 2021), sondern</w:t>
      </w:r>
      <w:r w:rsidR="00011806" w:rsidRPr="00F04EF5">
        <w:t xml:space="preserve"> </w:t>
      </w:r>
      <w:r w:rsidR="002F1021" w:rsidRPr="00F04EF5">
        <w:t>die (Re</w:t>
      </w:r>
      <w:r w:rsidR="007C4E60">
        <w:t>-</w:t>
      </w:r>
      <w:r w:rsidR="002F1021" w:rsidRPr="00F04EF5">
        <w:t xml:space="preserve">)Produktion von Differenz </w:t>
      </w:r>
      <w:r w:rsidR="00611618" w:rsidRPr="00F04EF5">
        <w:t xml:space="preserve">soll </w:t>
      </w:r>
      <w:r w:rsidR="002F1021" w:rsidRPr="00F04EF5">
        <w:t xml:space="preserve">reflektiert </w:t>
      </w:r>
      <w:r w:rsidR="00611618" w:rsidRPr="00F04EF5">
        <w:t>werden</w:t>
      </w:r>
      <w:r w:rsidR="00011806" w:rsidRPr="00F04EF5">
        <w:t xml:space="preserve"> </w:t>
      </w:r>
      <w:r w:rsidR="002F1021" w:rsidRPr="00F04EF5">
        <w:t xml:space="preserve">(Frohn &amp; Simon, 2022). Daher schlagen wir bewusst </w:t>
      </w:r>
      <w:r w:rsidR="00652F00" w:rsidRPr="00F04EF5">
        <w:t>kein konkretes Vorgehen auf unterrichtsmethodischer Ebene</w:t>
      </w:r>
      <w:r w:rsidR="002F1021" w:rsidRPr="00F04EF5">
        <w:t xml:space="preserve"> vor, </w:t>
      </w:r>
      <w:r w:rsidR="00652F00" w:rsidRPr="00F04EF5">
        <w:t>das</w:t>
      </w:r>
      <w:r w:rsidR="002F1021" w:rsidRPr="00F04EF5">
        <w:t xml:space="preserve"> grundsätzlich für eine angenommene Gruppe angelegt werden </w:t>
      </w:r>
      <w:r w:rsidR="00652F00" w:rsidRPr="00F04EF5">
        <w:t>kann</w:t>
      </w:r>
      <w:r w:rsidR="002F1021" w:rsidRPr="00F04EF5">
        <w:t>, sondern vielmehr eine Grundhaltung.</w:t>
      </w:r>
    </w:p>
    <w:p w14:paraId="2A069D9F" w14:textId="20B7203B" w:rsidR="002F1021" w:rsidRPr="00F04EF5" w:rsidRDefault="00917D45">
      <w:pPr>
        <w:pStyle w:val="Textkrper"/>
      </w:pPr>
      <w:r>
        <w:t>D</w:t>
      </w:r>
      <w:r w:rsidRPr="00F04EF5">
        <w:t xml:space="preserve">as </w:t>
      </w:r>
      <w:r w:rsidRPr="00622C79">
        <w:rPr>
          <w:i/>
          <w:iCs/>
        </w:rPr>
        <w:t>Universal Design for Learning</w:t>
      </w:r>
      <w:r w:rsidRPr="00F04EF5">
        <w:t xml:space="preserve"> (UDL</w:t>
      </w:r>
      <w:r w:rsidR="005D6C69">
        <w:t>)</w:t>
      </w:r>
      <w:r>
        <w:t xml:space="preserve"> ist e</w:t>
      </w:r>
      <w:r w:rsidR="002F1021" w:rsidRPr="00F04EF5">
        <w:t>in Beispiel für Unterrichtsprinzipien, das Poten</w:t>
      </w:r>
      <w:r w:rsidR="005A176E">
        <w:t>z</w:t>
      </w:r>
      <w:r w:rsidR="002F1021" w:rsidRPr="00F04EF5">
        <w:t>ial für Adaptionen bietet</w:t>
      </w:r>
      <w:r w:rsidR="005D6C69">
        <w:t>.</w:t>
      </w:r>
      <w:r w:rsidR="002F1021" w:rsidRPr="00F04EF5">
        <w:t xml:space="preserve"> Das UDL</w:t>
      </w:r>
      <w:r w:rsidR="00E161E9">
        <w:t xml:space="preserve"> wurde</w:t>
      </w:r>
      <w:r w:rsidR="002F1021" w:rsidRPr="00F04EF5">
        <w:t xml:space="preserve"> in de</w:t>
      </w:r>
      <w:r w:rsidR="00051BE9">
        <w:t>n</w:t>
      </w:r>
      <w:r w:rsidR="002F1021" w:rsidRPr="00F04EF5">
        <w:t xml:space="preserve"> 1990er Jahren in den USA vom </w:t>
      </w:r>
      <w:hyperlink r:id="rId14" w:history="1">
        <w:r w:rsidR="002F1021" w:rsidRPr="000C0233">
          <w:rPr>
            <w:rStyle w:val="Hyperlink"/>
            <w:i/>
          </w:rPr>
          <w:t>Center for Applied Special Technology</w:t>
        </w:r>
        <w:r w:rsidR="002F1021" w:rsidRPr="000C0233">
          <w:rPr>
            <w:rStyle w:val="Hyperlink"/>
          </w:rPr>
          <w:t xml:space="preserve"> (CAST)</w:t>
        </w:r>
      </w:hyperlink>
      <w:r w:rsidR="002F1021" w:rsidRPr="00F04EF5">
        <w:t xml:space="preserve"> entwickelt</w:t>
      </w:r>
      <w:r w:rsidR="00E161E9">
        <w:t>. Es orientiert</w:t>
      </w:r>
      <w:r w:rsidR="002F1021" w:rsidRPr="00F04EF5">
        <w:t xml:space="preserve"> sich an der Idee des </w:t>
      </w:r>
      <w:r w:rsidR="002F1021" w:rsidRPr="00622C79">
        <w:rPr>
          <w:i/>
          <w:iCs/>
        </w:rPr>
        <w:t>Universal Design</w:t>
      </w:r>
      <w:r w:rsidR="002F1021" w:rsidRPr="00904AE4">
        <w:t xml:space="preserve"> in</w:t>
      </w:r>
      <w:r w:rsidR="002F1021" w:rsidRPr="00F04EF5">
        <w:t xml:space="preserve"> der Architektur</w:t>
      </w:r>
      <w:r w:rsidR="00215108">
        <w:t>: Ö</w:t>
      </w:r>
      <w:r w:rsidR="002F1021" w:rsidRPr="00F04EF5">
        <w:t xml:space="preserve">ffentliche Gebäude </w:t>
      </w:r>
      <w:r w:rsidR="00215108">
        <w:t xml:space="preserve">sollen </w:t>
      </w:r>
      <w:r w:rsidR="002F1021" w:rsidRPr="00F04EF5">
        <w:t>von Anfang an so geplant und designt werden, dass sie für möglichst viele Personen zugänglich sind (Holländer</w:t>
      </w:r>
      <w:r w:rsidR="007C65F9" w:rsidRPr="00F04EF5">
        <w:t xml:space="preserve"> et al.</w:t>
      </w:r>
      <w:r w:rsidR="002F1021" w:rsidRPr="00F04EF5">
        <w:t xml:space="preserve">, 2022). Für Schule und Unterricht ist daraus ein umfassendes Konzept entstanden, </w:t>
      </w:r>
      <w:r w:rsidR="00FA329A" w:rsidRPr="00F04EF5">
        <w:t>um</w:t>
      </w:r>
      <w:r w:rsidR="002F1021" w:rsidRPr="00F04EF5">
        <w:t xml:space="preserve"> Barrieren im Lernen von Anfang an </w:t>
      </w:r>
      <w:r w:rsidR="00FA329A" w:rsidRPr="00F04EF5">
        <w:t xml:space="preserve">zu </w:t>
      </w:r>
      <w:r w:rsidR="002F1021" w:rsidRPr="00F04EF5">
        <w:t>minimieren und proaktiv Angebote für unterschiedliche Verarbeitungswege, Unterstützungsbedarfe und Anforderungsniveaus der Lernenden bereit</w:t>
      </w:r>
      <w:r w:rsidR="00FA329A" w:rsidRPr="00F04EF5">
        <w:t>zu</w:t>
      </w:r>
      <w:r w:rsidR="002F1021" w:rsidRPr="00F04EF5">
        <w:t>stellen (Schlüter</w:t>
      </w:r>
      <w:r w:rsidR="007C65F9" w:rsidRPr="00F04EF5">
        <w:t xml:space="preserve"> et al.</w:t>
      </w:r>
      <w:r w:rsidR="002F1021" w:rsidRPr="00F04EF5">
        <w:t>, 2016).</w:t>
      </w:r>
    </w:p>
    <w:p w14:paraId="562502F9" w14:textId="6459D5CD" w:rsidR="002F1021" w:rsidRPr="00F04EF5" w:rsidRDefault="002F1021" w:rsidP="009B381B">
      <w:pPr>
        <w:pStyle w:val="Textkrper"/>
        <w:ind w:firstLine="0"/>
      </w:pPr>
      <w:r w:rsidRPr="00F04EF5">
        <w:t>Obschon ausführliche Konzepte des UDL für die Unterrichtsgestaltung in Schulen existieren, soll hier zunächst ein Blick auf das UDL in der Hochschuldidaktik geworfen werden</w:t>
      </w:r>
      <w:r w:rsidR="005C0734">
        <w:t>. Hier werden</w:t>
      </w:r>
      <w:r w:rsidRPr="00F04EF5">
        <w:t xml:space="preserve"> die Prinzipien auf eine</w:t>
      </w:r>
      <w:r w:rsidR="00ED7A41">
        <w:t>r</w:t>
      </w:r>
      <w:r w:rsidRPr="00F04EF5">
        <w:t xml:space="preserve"> Metaebene </w:t>
      </w:r>
      <w:r w:rsidR="00ED7A41">
        <w:t>an</w:t>
      </w:r>
      <w:r w:rsidRPr="00F04EF5">
        <w:t xml:space="preserve">gewendet, die auch für die schulpädagogische Arbeit </w:t>
      </w:r>
      <w:r w:rsidR="00723979">
        <w:t>der</w:t>
      </w:r>
      <w:r w:rsidR="00487E1B">
        <w:t xml:space="preserve"> Reflexion dienen</w:t>
      </w:r>
      <w:r w:rsidRPr="00F04EF5">
        <w:t xml:space="preserve"> k</w:t>
      </w:r>
      <w:r w:rsidR="008B5691" w:rsidRPr="00F04EF5">
        <w:t>ann</w:t>
      </w:r>
      <w:r w:rsidRPr="00F04EF5">
        <w:t xml:space="preserve">. So bietet der </w:t>
      </w:r>
      <w:r w:rsidRPr="00622C79">
        <w:rPr>
          <w:i/>
          <w:iCs/>
        </w:rPr>
        <w:t xml:space="preserve">Guide for Inclusive Teaching at </w:t>
      </w:r>
      <w:r w:rsidRPr="00622C79">
        <w:rPr>
          <w:i/>
          <w:iCs/>
        </w:rPr>
        <w:lastRenderedPageBreak/>
        <w:t xml:space="preserve">Columbia </w:t>
      </w:r>
      <w:r w:rsidRPr="00904AE4">
        <w:t xml:space="preserve">des </w:t>
      </w:r>
      <w:r w:rsidRPr="00622C79">
        <w:rPr>
          <w:i/>
          <w:iCs/>
        </w:rPr>
        <w:t>Center for Teaching and Learning</w:t>
      </w:r>
      <w:r w:rsidRPr="00F04EF5">
        <w:t xml:space="preserve"> (CTL) der </w:t>
      </w:r>
      <w:r w:rsidRPr="00622C79">
        <w:rPr>
          <w:i/>
          <w:iCs/>
        </w:rPr>
        <w:t>Columbia University</w:t>
      </w:r>
      <w:r w:rsidRPr="00F04EF5">
        <w:t xml:space="preserve"> fünf Unterrichtsprinzipien, </w:t>
      </w:r>
      <w:r w:rsidR="00487E1B">
        <w:t xml:space="preserve">um </w:t>
      </w:r>
      <w:r w:rsidRPr="00F04EF5">
        <w:t>Lehre inklusiv auszurichten und eine unterstützende Lernumgebung für alle zu schaffen</w:t>
      </w:r>
      <w:r w:rsidR="00603906">
        <w:t xml:space="preserve"> </w:t>
      </w:r>
      <w:r w:rsidR="00603906" w:rsidRPr="00F04EF5">
        <w:t>(CTL, 2020)</w:t>
      </w:r>
      <w:r w:rsidR="00832E1C">
        <w:t>. Die</w:t>
      </w:r>
      <w:r w:rsidRPr="00F04EF5">
        <w:t xml:space="preserve"> sozialen, kulturellen, gesundheitlichen sowie bildungsbezogenen Hintergründe</w:t>
      </w:r>
      <w:r w:rsidR="003723D7">
        <w:t xml:space="preserve"> der Lernenden</w:t>
      </w:r>
      <w:r w:rsidRPr="00F04EF5">
        <w:t xml:space="preserve"> </w:t>
      </w:r>
      <w:r w:rsidR="00832E1C" w:rsidRPr="00F04EF5">
        <w:t xml:space="preserve">finden </w:t>
      </w:r>
      <w:r w:rsidRPr="00F04EF5">
        <w:t>ausdrücklich Berücksichtigung.</w:t>
      </w:r>
      <w:r w:rsidR="000C1F55">
        <w:t xml:space="preserve"> </w:t>
      </w:r>
      <w:r w:rsidRPr="00F04EF5">
        <w:t xml:space="preserve">Die Prinzipien </w:t>
      </w:r>
      <w:r w:rsidR="00024A79" w:rsidRPr="00F04EF5">
        <w:t xml:space="preserve">adaptiert </w:t>
      </w:r>
      <w:r w:rsidRPr="00F04EF5">
        <w:t>auf den Schulkontext lauten (</w:t>
      </w:r>
      <w:r w:rsidR="00A5290B">
        <w:t>ebd.</w:t>
      </w:r>
      <w:r w:rsidRPr="00F04EF5">
        <w:t>, S.</w:t>
      </w:r>
      <w:r w:rsidR="00832E1C">
        <w:t> </w:t>
      </w:r>
      <w:r w:rsidRPr="00F04EF5">
        <w:t>8ff):</w:t>
      </w:r>
    </w:p>
    <w:p w14:paraId="192670D8" w14:textId="69221EA7" w:rsidR="002F1021" w:rsidRPr="00F04EF5" w:rsidRDefault="002F1021" w:rsidP="00FA1E2F">
      <w:pPr>
        <w:pStyle w:val="Liste"/>
      </w:pPr>
      <w:r w:rsidRPr="00F04EF5">
        <w:t>Prinzip 1: Ein Klassenklima schaffen und unterstützen, das die Zugehörigkeit aller Schüler</w:t>
      </w:r>
      <w:r w:rsidR="00E21D0A" w:rsidRPr="00F04EF5">
        <w:t>:</w:t>
      </w:r>
      <w:r w:rsidRPr="00F04EF5">
        <w:t>innen fördert.</w:t>
      </w:r>
    </w:p>
    <w:p w14:paraId="72C3BD72" w14:textId="380638E3" w:rsidR="002F1021" w:rsidRPr="00F04EF5" w:rsidRDefault="002F1021" w:rsidP="00FA1E2F">
      <w:pPr>
        <w:pStyle w:val="Liste"/>
      </w:pPr>
      <w:r w:rsidRPr="00F04EF5">
        <w:t>Prinzip 2: Explizite Erwartungen gegenüber den Schüler</w:t>
      </w:r>
      <w:r w:rsidR="00E21D0A" w:rsidRPr="00F04EF5">
        <w:t>:</w:t>
      </w:r>
      <w:r w:rsidRPr="00F04EF5">
        <w:t>innen setzen/formulieren.</w:t>
      </w:r>
    </w:p>
    <w:p w14:paraId="5A47BA58" w14:textId="569CE68E" w:rsidR="002F1021" w:rsidRPr="00F04EF5" w:rsidRDefault="002F1021" w:rsidP="00FA1E2F">
      <w:pPr>
        <w:pStyle w:val="Liste"/>
      </w:pPr>
      <w:r w:rsidRPr="00F04EF5">
        <w:t xml:space="preserve">Prinzip 3: Lerninhalte (in den Grenzen der Curricula) auswählen, die Vielfalt anerkennen und Hindernisse für die Inklusion </w:t>
      </w:r>
      <w:r w:rsidR="008B5691" w:rsidRPr="00F04EF5">
        <w:t>berücksichtigen</w:t>
      </w:r>
      <w:r w:rsidRPr="00F04EF5">
        <w:t>.</w:t>
      </w:r>
    </w:p>
    <w:p w14:paraId="0CC4AC98" w14:textId="77777777" w:rsidR="002F1021" w:rsidRPr="00F04EF5" w:rsidRDefault="002F1021" w:rsidP="00FA1E2F">
      <w:pPr>
        <w:pStyle w:val="Liste"/>
      </w:pPr>
      <w:r w:rsidRPr="00F04EF5">
        <w:t>Prinzip 4: Alle Unterrichtselemente so gestalten, dass sie (barrierearm) zugänglich sind.</w:t>
      </w:r>
    </w:p>
    <w:p w14:paraId="701E08E6" w14:textId="4625B946" w:rsidR="002F1021" w:rsidRPr="00F04EF5" w:rsidRDefault="002F1021" w:rsidP="00FA1E2F">
      <w:pPr>
        <w:pStyle w:val="Liste"/>
      </w:pPr>
      <w:r w:rsidRPr="00F04EF5">
        <w:t xml:space="preserve">Prinzip 5: </w:t>
      </w:r>
      <w:r w:rsidR="00EF736F">
        <w:t>D</w:t>
      </w:r>
      <w:r w:rsidRPr="00F04EF5">
        <w:t xml:space="preserve">ie eigenen Überzeugungen über das Lehren </w:t>
      </w:r>
      <w:r w:rsidR="00EF736F">
        <w:t>reflektieren</w:t>
      </w:r>
      <w:r w:rsidRPr="00F04EF5">
        <w:t>, um</w:t>
      </w:r>
      <w:r w:rsidR="008B5691" w:rsidRPr="00F04EF5">
        <w:t xml:space="preserve"> </w:t>
      </w:r>
      <w:r w:rsidRPr="00F04EF5">
        <w:t>Bewusstsein und Engagement für Inklusion zu maximieren.</w:t>
      </w:r>
    </w:p>
    <w:p w14:paraId="354B79FC" w14:textId="4301110F" w:rsidR="008C2EF8" w:rsidRPr="00F04EF5" w:rsidRDefault="002F1021" w:rsidP="002F1021">
      <w:pPr>
        <w:pStyle w:val="Textkrper"/>
        <w:ind w:firstLine="0"/>
      </w:pPr>
      <w:r w:rsidRPr="00F04EF5">
        <w:t xml:space="preserve">Weiter </w:t>
      </w:r>
      <w:r w:rsidR="00FA329A" w:rsidRPr="00F04EF5">
        <w:t xml:space="preserve">werden reflexive Fragen an </w:t>
      </w:r>
      <w:r w:rsidRPr="00F04EF5">
        <w:t xml:space="preserve">Lehrstrategien </w:t>
      </w:r>
      <w:r w:rsidR="00FA329A" w:rsidRPr="00F04EF5">
        <w:t>gestellt</w:t>
      </w:r>
      <w:r w:rsidRPr="00F04EF5">
        <w:t>, die Lehrperson</w:t>
      </w:r>
      <w:r w:rsidR="00FA329A" w:rsidRPr="00F04EF5">
        <w:t>en bei</w:t>
      </w:r>
      <w:r w:rsidRPr="00F04EF5">
        <w:t xml:space="preserve"> i</w:t>
      </w:r>
      <w:r w:rsidR="00FA329A" w:rsidRPr="00F04EF5">
        <w:t xml:space="preserve">hrer </w:t>
      </w:r>
      <w:r w:rsidRPr="00F04EF5">
        <w:t xml:space="preserve">Vorbereitung und Durchführung von Unterricht </w:t>
      </w:r>
      <w:r w:rsidR="00FA329A" w:rsidRPr="00F04EF5">
        <w:t>kritische A</w:t>
      </w:r>
      <w:r w:rsidR="00696C9A" w:rsidRPr="00F04EF5">
        <w:t>n</w:t>
      </w:r>
      <w:r w:rsidR="00FA329A" w:rsidRPr="00F04EF5">
        <w:t xml:space="preserve">regungen geben </w:t>
      </w:r>
      <w:r w:rsidRPr="00F04EF5">
        <w:t>sollen</w:t>
      </w:r>
      <w:r w:rsidR="000C1F55">
        <w:t xml:space="preserve"> </w:t>
      </w:r>
      <w:r w:rsidR="000C1F55" w:rsidRPr="00F04EF5">
        <w:rPr>
          <w:rFonts w:cs="Open Sans SemiCondensed SemiCon"/>
        </w:rPr>
        <w:t>(</w:t>
      </w:r>
      <w:r w:rsidR="00A5290B">
        <w:rPr>
          <w:rFonts w:cs="Open Sans SemiCondensed SemiCon"/>
        </w:rPr>
        <w:t>ebd.</w:t>
      </w:r>
      <w:r w:rsidR="000C1F55" w:rsidRPr="00F04EF5">
        <w:rPr>
          <w:rFonts w:cs="Open Sans SemiCondensed SemiCon"/>
        </w:rPr>
        <w:t>, S.</w:t>
      </w:r>
      <w:r w:rsidR="000C1F55">
        <w:rPr>
          <w:rFonts w:cs="Open Sans SemiCondensed SemiCon"/>
        </w:rPr>
        <w:t> </w:t>
      </w:r>
      <w:r w:rsidR="000C1F55" w:rsidRPr="00F04EF5">
        <w:rPr>
          <w:rFonts w:cs="Open Sans SemiCondensed SemiCon"/>
        </w:rPr>
        <w:t>27</w:t>
      </w:r>
      <w:r w:rsidR="000C1F55">
        <w:rPr>
          <w:rFonts w:cs="Open Sans SemiCondensed SemiCon"/>
        </w:rPr>
        <w:t>ff.</w:t>
      </w:r>
      <w:r w:rsidR="000C1F55" w:rsidRPr="00F04EF5">
        <w:rPr>
          <w:rFonts w:cs="Open Sans SemiCondensed SemiCon"/>
        </w:rPr>
        <w:t>)</w:t>
      </w:r>
      <w:r w:rsidR="00DF0C44" w:rsidRPr="00F04EF5">
        <w:t>:</w:t>
      </w:r>
    </w:p>
    <w:p w14:paraId="6695B5FA" w14:textId="1AF84937" w:rsidR="002F1021" w:rsidRPr="00F04EF5" w:rsidRDefault="002F1021" w:rsidP="002F1021">
      <w:pPr>
        <w:pStyle w:val="Liste"/>
        <w:rPr>
          <w:rFonts w:cs="Open Sans SemiCondensed SemiCon"/>
        </w:rPr>
      </w:pPr>
      <w:r w:rsidRPr="00F04EF5">
        <w:rPr>
          <w:rFonts w:cs="Open Sans SemiCondensed SemiCon"/>
        </w:rPr>
        <w:t>Was sind meine Identitäten</w:t>
      </w:r>
      <w:r w:rsidR="00DF0C44" w:rsidRPr="00F04EF5">
        <w:rPr>
          <w:rFonts w:cs="Open Sans SemiCondensed SemiCon"/>
        </w:rPr>
        <w:t xml:space="preserve"> </w:t>
      </w:r>
      <w:r w:rsidRPr="00F04EF5">
        <w:rPr>
          <w:rFonts w:cs="Open Sans SemiCondensed SemiCon"/>
        </w:rPr>
        <w:t xml:space="preserve">und wie nehmen mich </w:t>
      </w:r>
      <w:r w:rsidR="000C1F55">
        <w:rPr>
          <w:rFonts w:cs="Open Sans SemiCondensed SemiCon"/>
        </w:rPr>
        <w:t>a</w:t>
      </w:r>
      <w:r w:rsidRPr="00F04EF5">
        <w:rPr>
          <w:rFonts w:cs="Open Sans SemiCondensed SemiCon"/>
        </w:rPr>
        <w:t>ndere/meine Schüler</w:t>
      </w:r>
      <w:r w:rsidR="00E21D0A" w:rsidRPr="00F04EF5">
        <w:rPr>
          <w:rFonts w:cs="Open Sans SemiCondensed SemiCon"/>
        </w:rPr>
        <w:t>:</w:t>
      </w:r>
      <w:r w:rsidRPr="00F04EF5">
        <w:rPr>
          <w:rFonts w:cs="Open Sans SemiCondensed SemiCon"/>
        </w:rPr>
        <w:t>innen wahr?</w:t>
      </w:r>
    </w:p>
    <w:p w14:paraId="18733567" w14:textId="77777777" w:rsidR="002F1021" w:rsidRPr="00F04EF5" w:rsidRDefault="002F1021" w:rsidP="002F1021">
      <w:pPr>
        <w:pStyle w:val="Liste"/>
        <w:rPr>
          <w:rFonts w:cs="Open Sans SemiCondensed SemiCon"/>
        </w:rPr>
      </w:pPr>
      <w:r w:rsidRPr="00F04EF5">
        <w:rPr>
          <w:rFonts w:cs="Open Sans SemiCondensed SemiCon"/>
        </w:rPr>
        <w:t>Was sind meine impliziten (oder expliziten) Vorurteile? Verbreite, neutralisiere oder hinterfrage ich Stereotypen in meinem Unterricht?</w:t>
      </w:r>
    </w:p>
    <w:p w14:paraId="16D47461" w14:textId="69154A06" w:rsidR="002F1021" w:rsidRPr="00F04EF5" w:rsidRDefault="002F1021" w:rsidP="002F1021">
      <w:pPr>
        <w:pStyle w:val="Liste"/>
        <w:rPr>
          <w:rFonts w:cs="Open Sans SemiCondensed SemiCon"/>
        </w:rPr>
      </w:pPr>
      <w:r w:rsidRPr="00F04EF5">
        <w:rPr>
          <w:rFonts w:cs="Open Sans SemiCondensed SemiCon"/>
        </w:rPr>
        <w:t xml:space="preserve">Wie gehe ich mit herausfordernden Situationen im </w:t>
      </w:r>
      <w:r w:rsidR="008B5691" w:rsidRPr="00F04EF5">
        <w:rPr>
          <w:rFonts w:cs="Open Sans SemiCondensed SemiCon"/>
        </w:rPr>
        <w:t>Klassenraum</w:t>
      </w:r>
      <w:r w:rsidRPr="00F04EF5">
        <w:rPr>
          <w:rFonts w:cs="Open Sans SemiCondensed SemiCon"/>
        </w:rPr>
        <w:t xml:space="preserve"> um?</w:t>
      </w:r>
    </w:p>
    <w:p w14:paraId="6F817D69" w14:textId="23287545" w:rsidR="002F1021" w:rsidRPr="00F04EF5" w:rsidRDefault="002F1021" w:rsidP="002F1021">
      <w:pPr>
        <w:pStyle w:val="Liste"/>
        <w:rPr>
          <w:rFonts w:cs="Open Sans SemiCondensed SemiCon"/>
        </w:rPr>
      </w:pPr>
      <w:r w:rsidRPr="00F04EF5">
        <w:rPr>
          <w:rFonts w:cs="Open Sans SemiCondensed SemiCon"/>
        </w:rPr>
        <w:t xml:space="preserve">Wie könnte die Art und Weise, wie ich Räume und Aktivitäten im Unterricht einrichte, Inklusion oder Exklusion fördern? </w:t>
      </w:r>
    </w:p>
    <w:p w14:paraId="3C319381" w14:textId="54AC752D" w:rsidR="002F1021" w:rsidRPr="00F04EF5" w:rsidRDefault="002F1021" w:rsidP="002F1021">
      <w:pPr>
        <w:pStyle w:val="Textkrper"/>
        <w:ind w:firstLine="0"/>
      </w:pPr>
      <w:r w:rsidRPr="00F04EF5">
        <w:t>Das UDL als Unterrichtskonzept hat jedoch auch Grenzen, wenn es um Schüler</w:t>
      </w:r>
      <w:r w:rsidR="00E21D0A" w:rsidRPr="00F04EF5">
        <w:t>:</w:t>
      </w:r>
      <w:r w:rsidRPr="00F04EF5">
        <w:t xml:space="preserve">innen mit Lernschwierigkeiten geht: So brauchen </w:t>
      </w:r>
      <w:r w:rsidR="009115CE">
        <w:t>diese</w:t>
      </w:r>
      <w:r w:rsidRPr="00F04EF5">
        <w:t>, wie eingangs zum Begriff der Lernschwierigkeiten beschrieben</w:t>
      </w:r>
      <w:r w:rsidR="00FA1773">
        <w:t xml:space="preserve"> wurde</w:t>
      </w:r>
      <w:r w:rsidRPr="00F04EF5">
        <w:t xml:space="preserve">, aufgrund individueller Voraussetzungen </w:t>
      </w:r>
      <w:r w:rsidR="000830EE">
        <w:t>möglicherweise</w:t>
      </w:r>
      <w:r w:rsidRPr="00F04EF5">
        <w:t xml:space="preserve"> </w:t>
      </w:r>
      <w:r w:rsidR="00FA329A" w:rsidRPr="00F04EF5">
        <w:t xml:space="preserve">stärker </w:t>
      </w:r>
      <w:r w:rsidR="00001636" w:rsidRPr="00F04EF5">
        <w:t xml:space="preserve">vorgegebene </w:t>
      </w:r>
      <w:r w:rsidRPr="00F04EF5">
        <w:t>Strukturen und Anleitung. Auch darf ein solches Konzept nicht dazu führen, dass Schüler</w:t>
      </w:r>
      <w:r w:rsidR="00E21D0A" w:rsidRPr="00F04EF5">
        <w:t>:</w:t>
      </w:r>
      <w:r w:rsidRPr="00F04EF5">
        <w:t>innen in Vermeidungsstrategien fallen</w:t>
      </w:r>
      <w:r w:rsidR="00187046">
        <w:t>.</w:t>
      </w:r>
      <w:r w:rsidRPr="00F04EF5">
        <w:t xml:space="preserve"> </w:t>
      </w:r>
      <w:r w:rsidR="00187046">
        <w:t>W</w:t>
      </w:r>
      <w:r w:rsidRPr="00F04EF5">
        <w:t xml:space="preserve">enn es </w:t>
      </w:r>
      <w:r w:rsidR="000830EE">
        <w:t xml:space="preserve">beispielsweise </w:t>
      </w:r>
      <w:r w:rsidRPr="00F04EF5">
        <w:t>darum geht,</w:t>
      </w:r>
      <w:r w:rsidR="00814FE2">
        <w:t xml:space="preserve"> dass Lernende ihre Lesekompetenz erweitern, sind </w:t>
      </w:r>
      <w:r w:rsidRPr="00F04EF5">
        <w:t>alternative Darbietung</w:t>
      </w:r>
      <w:r w:rsidR="000F760A">
        <w:t>en</w:t>
      </w:r>
      <w:r w:rsidRPr="00F04EF5">
        <w:t xml:space="preserve"> der Informationen </w:t>
      </w:r>
      <w:r w:rsidR="00814FE2">
        <w:t>nicht immer angebracht</w:t>
      </w:r>
      <w:r w:rsidR="00814FE2" w:rsidRPr="00F04EF5">
        <w:t xml:space="preserve"> </w:t>
      </w:r>
      <w:r w:rsidRPr="00F04EF5">
        <w:t>(Schlüter</w:t>
      </w:r>
      <w:r w:rsidR="007C65F9" w:rsidRPr="00F04EF5">
        <w:t xml:space="preserve"> et al.</w:t>
      </w:r>
      <w:r w:rsidRPr="00F04EF5">
        <w:t>, 2016). Dennoch kann das UDL ein Rahmenkonzept bereitstellen, das</w:t>
      </w:r>
      <w:r w:rsidR="005C5E64" w:rsidRPr="00F04EF5">
        <w:t xml:space="preserve"> </w:t>
      </w:r>
      <w:r w:rsidRPr="00F04EF5">
        <w:t xml:space="preserve">Lehrpersonen für die Passung von individuellen Lernvoraussetzungen und Unterricht und somit für Bildungsgerechtigkeit </w:t>
      </w:r>
      <w:r w:rsidR="00FA329A" w:rsidRPr="00F04EF5">
        <w:t>sensibilisieren</w:t>
      </w:r>
      <w:r w:rsidRPr="00F04EF5">
        <w:t xml:space="preserve"> kann.</w:t>
      </w:r>
    </w:p>
    <w:p w14:paraId="230D48B1" w14:textId="421FB212" w:rsidR="002F1021" w:rsidRPr="00284EA8" w:rsidRDefault="000477A3" w:rsidP="00622C79">
      <w:pPr>
        <w:pStyle w:val="Textkrper"/>
      </w:pPr>
      <w:r w:rsidRPr="00284EA8">
        <w:t xml:space="preserve">Ein anschauliches Beispiel für die unterrichtliche Umsetzung des UDL im Chemieunterricht findet sich bei Schlüter </w:t>
      </w:r>
      <w:r w:rsidR="007C65F9" w:rsidRPr="00284EA8">
        <w:t>und</w:t>
      </w:r>
      <w:r w:rsidRPr="00284EA8">
        <w:t xml:space="preserve"> Melle </w:t>
      </w:r>
      <w:r w:rsidR="007C65F9" w:rsidRPr="00284EA8">
        <w:t>(</w:t>
      </w:r>
      <w:r w:rsidRPr="00284EA8">
        <w:t>2017</w:t>
      </w:r>
      <w:r w:rsidR="007C65F9" w:rsidRPr="00284EA8">
        <w:t>)</w:t>
      </w:r>
      <w:r w:rsidRPr="00284EA8">
        <w:t>.</w:t>
      </w:r>
    </w:p>
    <w:tbl>
      <w:tblPr>
        <w:tblStyle w:val="Tabellenraster1"/>
        <w:tblW w:w="338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026"/>
      </w:tblGrid>
      <w:tr w:rsidR="005660A0" w:rsidRPr="00F04EF5" w14:paraId="64B1F20A" w14:textId="77777777" w:rsidTr="005660A0">
        <w:tc>
          <w:tcPr>
            <w:tcW w:w="2538" w:type="pct"/>
            <w:vAlign w:val="center"/>
          </w:tcPr>
          <w:p w14:paraId="71E41A7D" w14:textId="77777777" w:rsidR="005660A0" w:rsidRPr="00F04EF5" w:rsidRDefault="005660A0" w:rsidP="005660A0">
            <w:pPr>
              <w:spacing w:before="60" w:after="60"/>
              <w:ind w:firstLine="34"/>
              <w:jc w:val="both"/>
            </w:pPr>
            <w:r w:rsidRPr="00F04EF5">
              <w:rPr>
                <w:noProof/>
              </w:rPr>
              <w:drawing>
                <wp:inline distT="0" distB="0" distL="0" distR="0" wp14:anchorId="7A631F2E" wp14:editId="67061CFD">
                  <wp:extent cx="1036320"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462" w:type="pct"/>
            <w:vAlign w:val="center"/>
          </w:tcPr>
          <w:p w14:paraId="56D92D76" w14:textId="77777777" w:rsidR="005660A0" w:rsidRPr="00F04EF5" w:rsidRDefault="005660A0" w:rsidP="005660A0">
            <w:pPr>
              <w:spacing w:before="60" w:after="60"/>
              <w:jc w:val="both"/>
              <w:rPr>
                <w:noProof/>
              </w:rPr>
            </w:pPr>
            <w:r w:rsidRPr="00F04EF5">
              <w:rPr>
                <w:noProof/>
              </w:rPr>
              <w:drawing>
                <wp:inline distT="0" distB="0" distL="0" distR="0" wp14:anchorId="4B09786A" wp14:editId="7092FD02">
                  <wp:extent cx="1036320" cy="1036320"/>
                  <wp:effectExtent l="0" t="0" r="0"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5660A0" w:rsidRPr="00F04EF5" w14:paraId="4407CD7D" w14:textId="77777777" w:rsidTr="005660A0">
        <w:trPr>
          <w:trHeight w:val="960"/>
        </w:trPr>
        <w:tc>
          <w:tcPr>
            <w:tcW w:w="2538" w:type="pct"/>
          </w:tcPr>
          <w:p w14:paraId="48E38708" w14:textId="07474462" w:rsidR="005660A0" w:rsidRPr="00F04EF5" w:rsidRDefault="005660A0" w:rsidP="005660A0">
            <w:r w:rsidRPr="00F04EF5">
              <w:t>Dr. Anne Schröter</w:t>
            </w:r>
          </w:p>
          <w:p w14:paraId="5BC02A07" w14:textId="0E85C845" w:rsidR="005660A0" w:rsidRPr="00F04EF5" w:rsidRDefault="005660A0" w:rsidP="005660A0">
            <w:r w:rsidRPr="00F04EF5">
              <w:t>Wissenschaftliche Mitarbeiterin</w:t>
            </w:r>
          </w:p>
          <w:p w14:paraId="76192C80" w14:textId="77777777" w:rsidR="005660A0" w:rsidRPr="00F04EF5" w:rsidRDefault="005660A0" w:rsidP="005660A0">
            <w:r w:rsidRPr="00F04EF5">
              <w:t>Institut für Sonderpädagogik</w:t>
            </w:r>
          </w:p>
          <w:p w14:paraId="3ECD2229" w14:textId="77777777" w:rsidR="005660A0" w:rsidRPr="00F04EF5" w:rsidRDefault="005660A0" w:rsidP="005660A0">
            <w:r w:rsidRPr="00F04EF5">
              <w:t>Leibniz Universität Hannover</w:t>
            </w:r>
          </w:p>
          <w:p w14:paraId="19275857" w14:textId="5223F1CA" w:rsidR="005660A0" w:rsidRPr="00F04EF5" w:rsidRDefault="005660A0" w:rsidP="005660A0">
            <w:hyperlink r:id="rId17" w:history="1">
              <w:r w:rsidRPr="00F04EF5">
                <w:rPr>
                  <w:rStyle w:val="Hyperlink"/>
                </w:rPr>
                <w:t>anne.schroeter@ifs.uni-hannover.de</w:t>
              </w:r>
            </w:hyperlink>
          </w:p>
        </w:tc>
        <w:tc>
          <w:tcPr>
            <w:tcW w:w="2462" w:type="pct"/>
          </w:tcPr>
          <w:p w14:paraId="7F2D4732" w14:textId="3F29B8A7" w:rsidR="005660A0" w:rsidRPr="00F04EF5" w:rsidRDefault="005660A0" w:rsidP="005660A0">
            <w:r w:rsidRPr="00F04EF5">
              <w:t>Prof. Dr. Susanne Schnepel</w:t>
            </w:r>
          </w:p>
          <w:p w14:paraId="07114D6B" w14:textId="6DB3B6FC" w:rsidR="005660A0" w:rsidRPr="00F04EF5" w:rsidRDefault="005660A0" w:rsidP="005660A0">
            <w:r w:rsidRPr="00F04EF5">
              <w:t xml:space="preserve">Professorin für Didaktik der Mathematik mit dem Schwerpunkt </w:t>
            </w:r>
            <w:r w:rsidR="00094EB0">
              <w:t>S</w:t>
            </w:r>
            <w:r w:rsidRPr="00F04EF5">
              <w:t>onderpädagogische Förderung</w:t>
            </w:r>
          </w:p>
          <w:p w14:paraId="3DD3A5E9" w14:textId="77777777" w:rsidR="005660A0" w:rsidRPr="00F04EF5" w:rsidRDefault="005660A0" w:rsidP="005660A0">
            <w:r w:rsidRPr="00F04EF5">
              <w:t>Universität Münster</w:t>
            </w:r>
          </w:p>
          <w:p w14:paraId="5749C498" w14:textId="266A0346" w:rsidR="005660A0" w:rsidRPr="00F04EF5" w:rsidRDefault="005660A0" w:rsidP="004F0A7E">
            <w:hyperlink r:id="rId18" w:history="1">
              <w:r w:rsidRPr="00F04EF5">
                <w:rPr>
                  <w:rStyle w:val="Hyperlink"/>
                </w:rPr>
                <w:t>sschnepel@uni-muenster.de</w:t>
              </w:r>
            </w:hyperlink>
          </w:p>
        </w:tc>
      </w:tr>
    </w:tbl>
    <w:p w14:paraId="1E7F8FF5" w14:textId="68869D57" w:rsidR="00D232F1" w:rsidRPr="00F04EF5" w:rsidRDefault="00D232F1" w:rsidP="007B4390">
      <w:pPr>
        <w:pStyle w:val="berschrift1"/>
      </w:pPr>
      <w:r w:rsidRPr="00F04EF5">
        <w:lastRenderedPageBreak/>
        <w:t>Literatur</w:t>
      </w:r>
    </w:p>
    <w:p w14:paraId="755A64AC" w14:textId="77777777" w:rsidR="006B3C19" w:rsidRPr="00971443" w:rsidRDefault="006B3C19" w:rsidP="006B3C19">
      <w:pPr>
        <w:pStyle w:val="Literaturverzeichnis"/>
        <w:rPr>
          <w:rFonts w:asciiTheme="minorHAnsi" w:hAnsiTheme="minorHAnsi" w:cstheme="minorHAnsi"/>
        </w:rPr>
      </w:pPr>
      <w:r w:rsidRPr="00971443">
        <w:rPr>
          <w:rFonts w:asciiTheme="minorHAnsi" w:hAnsiTheme="minorHAnsi" w:cstheme="minorHAnsi"/>
        </w:rPr>
        <w:t xml:space="preserve">Börnert-Ringleb, M. (2023). Lernschwierigkeiten. In M. Börnert-Ringleb, G. Casale, M. Balt &amp; M. Herzog (Hrsg.), </w:t>
      </w:r>
      <w:r w:rsidRPr="00971443">
        <w:rPr>
          <w:rFonts w:asciiTheme="minorHAnsi" w:hAnsiTheme="minorHAnsi" w:cstheme="minorHAnsi"/>
          <w:i/>
          <w:iCs/>
        </w:rPr>
        <w:t>Lern- und Verhaltensschwierigkeiten in der Schule. Erscheinungsformen, Entwicklungsmodelle, Implikationen für die Praxis</w:t>
      </w:r>
      <w:r w:rsidRPr="00971443">
        <w:rPr>
          <w:rFonts w:asciiTheme="minorHAnsi" w:hAnsiTheme="minorHAnsi" w:cstheme="minorHAnsi"/>
        </w:rPr>
        <w:t xml:space="preserve"> (S. 13–22). Kohlhammer.</w:t>
      </w:r>
    </w:p>
    <w:p w14:paraId="26CCE351" w14:textId="77777777" w:rsidR="00657CD9" w:rsidRPr="00971443" w:rsidRDefault="00657CD9" w:rsidP="002A04B0">
      <w:pPr>
        <w:pStyle w:val="Literaturverzeichnis"/>
        <w:rPr>
          <w:rFonts w:asciiTheme="minorHAnsi" w:hAnsiTheme="minorHAnsi" w:cstheme="minorHAnsi"/>
        </w:rPr>
      </w:pPr>
      <w:r w:rsidRPr="00971443">
        <w:rPr>
          <w:rFonts w:asciiTheme="minorHAnsi" w:hAnsiTheme="minorHAnsi" w:cstheme="minorHAnsi"/>
        </w:rPr>
        <w:t xml:space="preserve">Bourdieu, P. &amp; Passeron, J.-C. (1971). </w:t>
      </w:r>
      <w:r w:rsidRPr="00971443">
        <w:rPr>
          <w:rFonts w:asciiTheme="minorHAnsi" w:hAnsiTheme="minorHAnsi" w:cstheme="minorHAnsi"/>
          <w:i/>
          <w:iCs/>
        </w:rPr>
        <w:t>Die Illusion der Chancengleichheit</w:t>
      </w:r>
      <w:r w:rsidRPr="00971443">
        <w:rPr>
          <w:rFonts w:asciiTheme="minorHAnsi" w:hAnsiTheme="minorHAnsi" w:cstheme="minorHAnsi"/>
        </w:rPr>
        <w:t>. Klett.</w:t>
      </w:r>
    </w:p>
    <w:p w14:paraId="19FAFA5F" w14:textId="10E35519" w:rsidR="00B9280E" w:rsidRPr="00971443" w:rsidRDefault="00D61FAC" w:rsidP="002A04B0">
      <w:pPr>
        <w:pStyle w:val="Literaturverzeichnis"/>
        <w:rPr>
          <w:rFonts w:asciiTheme="minorHAnsi" w:hAnsiTheme="minorHAnsi" w:cstheme="minorHAnsi"/>
          <w:lang w:val="en-US"/>
        </w:rPr>
      </w:pPr>
      <w:r w:rsidRPr="00971443">
        <w:rPr>
          <w:rFonts w:asciiTheme="minorHAnsi" w:hAnsiTheme="minorHAnsi" w:cstheme="minorHAnsi"/>
          <w:lang w:val="en-US"/>
        </w:rPr>
        <w:t>CTL (</w:t>
      </w:r>
      <w:r w:rsidR="00657CD9" w:rsidRPr="00971443">
        <w:rPr>
          <w:rFonts w:asciiTheme="minorHAnsi" w:hAnsiTheme="minorHAnsi" w:cstheme="minorHAnsi"/>
          <w:lang w:val="en-US"/>
        </w:rPr>
        <w:t>Center for Teaching and Learning</w:t>
      </w:r>
      <w:r w:rsidRPr="00971443">
        <w:rPr>
          <w:rFonts w:asciiTheme="minorHAnsi" w:hAnsiTheme="minorHAnsi" w:cstheme="minorHAnsi"/>
          <w:lang w:val="en-US"/>
        </w:rPr>
        <w:t>)</w:t>
      </w:r>
      <w:r w:rsidR="00657CD9" w:rsidRPr="00971443">
        <w:rPr>
          <w:rFonts w:asciiTheme="minorHAnsi" w:hAnsiTheme="minorHAnsi" w:cstheme="minorHAnsi"/>
          <w:lang w:val="en-US"/>
        </w:rPr>
        <w:t xml:space="preserve"> (2020). </w:t>
      </w:r>
      <w:r w:rsidR="00657CD9" w:rsidRPr="00971443">
        <w:rPr>
          <w:rFonts w:asciiTheme="minorHAnsi" w:hAnsiTheme="minorHAnsi" w:cstheme="minorHAnsi"/>
          <w:i/>
          <w:iCs/>
          <w:lang w:val="en-US"/>
        </w:rPr>
        <w:t>Guide for Inclusive Teaching at Columbia.</w:t>
      </w:r>
      <w:r w:rsidR="00657CD9" w:rsidRPr="00971443">
        <w:rPr>
          <w:rFonts w:asciiTheme="minorHAnsi" w:hAnsiTheme="minorHAnsi" w:cstheme="minorHAnsi"/>
          <w:lang w:val="en-US"/>
        </w:rPr>
        <w:t xml:space="preserve"> Columbia University in the City of New York. </w:t>
      </w:r>
      <w:hyperlink r:id="rId19" w:history="1">
        <w:r w:rsidR="00B9280E" w:rsidRPr="00971443">
          <w:rPr>
            <w:rStyle w:val="Hyperlink"/>
            <w:rFonts w:asciiTheme="minorHAnsi" w:hAnsiTheme="minorHAnsi" w:cstheme="minorHAnsi"/>
            <w:lang w:val="en-US"/>
          </w:rPr>
          <w:t>https://ctl.columbia.edu/resources-and-technology/resources/inclusive-teaching-guide/download/</w:t>
        </w:r>
      </w:hyperlink>
    </w:p>
    <w:p w14:paraId="3234B691" w14:textId="0BE8C7EE" w:rsidR="002D7D31" w:rsidRPr="00971443" w:rsidRDefault="002D7D31" w:rsidP="002A04B0">
      <w:pPr>
        <w:pStyle w:val="Literaturverzeichnis"/>
        <w:rPr>
          <w:rFonts w:asciiTheme="minorHAnsi" w:hAnsiTheme="minorHAnsi" w:cstheme="minorHAnsi"/>
        </w:rPr>
      </w:pPr>
      <w:r w:rsidRPr="008368C0">
        <w:rPr>
          <w:rFonts w:asciiTheme="minorHAnsi" w:hAnsiTheme="minorHAnsi" w:cstheme="minorHAnsi"/>
        </w:rPr>
        <w:t>Dederich,</w:t>
      </w:r>
      <w:r w:rsidR="004E7BCB" w:rsidRPr="008368C0">
        <w:rPr>
          <w:rFonts w:asciiTheme="minorHAnsi" w:hAnsiTheme="minorHAnsi" w:cstheme="minorHAnsi"/>
        </w:rPr>
        <w:t xml:space="preserve"> M. (2018). Emotion und Inklusion. </w:t>
      </w:r>
      <w:r w:rsidR="004E7BCB" w:rsidRPr="008368C0">
        <w:rPr>
          <w:rFonts w:asciiTheme="minorHAnsi" w:hAnsiTheme="minorHAnsi" w:cstheme="minorHAnsi"/>
          <w:i/>
          <w:iCs/>
        </w:rPr>
        <w:t>Behinderte Menschen, 18</w:t>
      </w:r>
      <w:r w:rsidR="008368C0">
        <w:rPr>
          <w:rFonts w:asciiTheme="minorHAnsi" w:hAnsiTheme="minorHAnsi" w:cstheme="minorHAnsi"/>
        </w:rPr>
        <w:t> </w:t>
      </w:r>
      <w:r w:rsidR="004E7BCB" w:rsidRPr="008368C0">
        <w:rPr>
          <w:rFonts w:asciiTheme="minorHAnsi" w:hAnsiTheme="minorHAnsi" w:cstheme="minorHAnsi"/>
        </w:rPr>
        <w:t>(4), 9</w:t>
      </w:r>
      <w:r w:rsidR="008368C0" w:rsidRPr="00971443">
        <w:rPr>
          <w:rFonts w:asciiTheme="minorHAnsi" w:hAnsiTheme="minorHAnsi" w:cstheme="minorHAnsi"/>
        </w:rPr>
        <w:t>–</w:t>
      </w:r>
      <w:r w:rsidR="004E7BCB" w:rsidRPr="008368C0">
        <w:rPr>
          <w:rFonts w:asciiTheme="minorHAnsi" w:hAnsiTheme="minorHAnsi" w:cstheme="minorHAnsi"/>
        </w:rPr>
        <w:t>29.</w:t>
      </w:r>
    </w:p>
    <w:p w14:paraId="506A87BA" w14:textId="77777777" w:rsidR="0065052A" w:rsidRPr="00971443" w:rsidRDefault="0065052A" w:rsidP="0065052A">
      <w:pPr>
        <w:pStyle w:val="Literaturverzeichnis"/>
        <w:rPr>
          <w:rFonts w:asciiTheme="minorHAnsi" w:hAnsiTheme="minorHAnsi" w:cstheme="minorHAnsi"/>
        </w:rPr>
      </w:pPr>
      <w:r w:rsidRPr="00971443">
        <w:rPr>
          <w:rFonts w:asciiTheme="minorHAnsi" w:hAnsiTheme="minorHAnsi" w:cstheme="minorHAnsi"/>
        </w:rPr>
        <w:t xml:space="preserve">Ditton, H. (2004). Der Beitrag von Schule und Lehrern zur Reproduktion von Bildungsungleichheit. In R. Becker &amp; W. Lauterbach (Hrsg.), </w:t>
      </w:r>
      <w:r w:rsidRPr="00971443">
        <w:rPr>
          <w:rFonts w:asciiTheme="minorHAnsi" w:hAnsiTheme="minorHAnsi" w:cstheme="minorHAnsi"/>
          <w:i/>
          <w:iCs/>
        </w:rPr>
        <w:t>Bildung als Privileg?</w:t>
      </w:r>
      <w:r w:rsidRPr="00971443">
        <w:rPr>
          <w:rFonts w:asciiTheme="minorHAnsi" w:hAnsiTheme="minorHAnsi" w:cstheme="minorHAnsi"/>
        </w:rPr>
        <w:t xml:space="preserve"> (S. 243–271). VS Verlag für Sozialwissenschaften.</w:t>
      </w:r>
    </w:p>
    <w:p w14:paraId="3D076A0F" w14:textId="25C521D0" w:rsidR="00657CD9" w:rsidRPr="00971443" w:rsidRDefault="00657CD9" w:rsidP="002A04B0">
      <w:pPr>
        <w:pStyle w:val="Literaturverzeichnis"/>
        <w:rPr>
          <w:rFonts w:asciiTheme="minorHAnsi" w:hAnsiTheme="minorHAnsi" w:cstheme="minorHAnsi"/>
        </w:rPr>
      </w:pPr>
      <w:r w:rsidRPr="00971443">
        <w:rPr>
          <w:rFonts w:asciiTheme="minorHAnsi" w:hAnsiTheme="minorHAnsi" w:cstheme="minorHAnsi"/>
        </w:rPr>
        <w:t xml:space="preserve">Förster, M. &amp; Benkmann, R. (2023). Habitus, kulturelle Passung und Schwerpunkt Lernen – Ein bildungssoziologischer Beitrag zur milieusensiblen Sozialraumorientierung in der inklusiven Schule. In S. Schuppener, N. Leonhardt &amp; R. Kruschel (Hrsg.), </w:t>
      </w:r>
      <w:r w:rsidRPr="00971443">
        <w:rPr>
          <w:rFonts w:asciiTheme="minorHAnsi" w:hAnsiTheme="minorHAnsi" w:cstheme="minorHAnsi"/>
          <w:i/>
          <w:iCs/>
        </w:rPr>
        <w:t>Inklusive Schule im Sozialraum</w:t>
      </w:r>
      <w:r w:rsidRPr="00971443">
        <w:rPr>
          <w:rFonts w:asciiTheme="minorHAnsi" w:hAnsiTheme="minorHAnsi" w:cstheme="minorHAnsi"/>
        </w:rPr>
        <w:t xml:space="preserve"> (S.</w:t>
      </w:r>
      <w:r w:rsidR="00C4712B" w:rsidRPr="00971443">
        <w:rPr>
          <w:rFonts w:asciiTheme="minorHAnsi" w:hAnsiTheme="minorHAnsi" w:cstheme="minorHAnsi"/>
        </w:rPr>
        <w:t> </w:t>
      </w:r>
      <w:r w:rsidRPr="00971443">
        <w:rPr>
          <w:rFonts w:asciiTheme="minorHAnsi" w:hAnsiTheme="minorHAnsi" w:cstheme="minorHAnsi"/>
        </w:rPr>
        <w:t xml:space="preserve">37–51). Springer Fachmedien Wiesbaden. </w:t>
      </w:r>
      <w:hyperlink r:id="rId20" w:history="1">
        <w:r w:rsidR="00C4712B" w:rsidRPr="00971443">
          <w:rPr>
            <w:rStyle w:val="Hyperlink"/>
            <w:rFonts w:asciiTheme="minorHAnsi" w:hAnsiTheme="minorHAnsi" w:cstheme="minorHAnsi"/>
          </w:rPr>
          <w:t>https://doi.org/10.1007/978-3-658-42158-8_3</w:t>
        </w:r>
      </w:hyperlink>
    </w:p>
    <w:p w14:paraId="25E8885E" w14:textId="15969C40" w:rsidR="00657CD9" w:rsidRPr="00971443" w:rsidRDefault="00657CD9" w:rsidP="002A04B0">
      <w:pPr>
        <w:pStyle w:val="Literaturverzeichnis"/>
        <w:rPr>
          <w:rFonts w:asciiTheme="minorHAnsi" w:hAnsiTheme="minorHAnsi" w:cstheme="minorHAnsi"/>
        </w:rPr>
      </w:pPr>
      <w:r w:rsidRPr="00971443">
        <w:rPr>
          <w:rFonts w:asciiTheme="minorHAnsi" w:hAnsiTheme="minorHAnsi" w:cstheme="minorHAnsi"/>
        </w:rPr>
        <w:t xml:space="preserve">Frohn, J. &amp; Simon, T. (2022). Inklusive Didaktik und Bildungsgerechtigkeit – eine Verhältnisbestimmung. </w:t>
      </w:r>
      <w:r w:rsidRPr="00971443">
        <w:rPr>
          <w:rFonts w:asciiTheme="minorHAnsi" w:hAnsiTheme="minorHAnsi" w:cstheme="minorHAnsi"/>
          <w:i/>
          <w:iCs/>
        </w:rPr>
        <w:t>Zeitschrift für Inklusion</w:t>
      </w:r>
      <w:r w:rsidR="006343D2" w:rsidRPr="00971443">
        <w:rPr>
          <w:rFonts w:asciiTheme="minorHAnsi" w:hAnsiTheme="minorHAnsi" w:cstheme="minorHAnsi"/>
        </w:rPr>
        <w:t xml:space="preserve">, </w:t>
      </w:r>
      <w:r w:rsidRPr="00971443">
        <w:rPr>
          <w:rFonts w:asciiTheme="minorHAnsi" w:hAnsiTheme="minorHAnsi" w:cstheme="minorHAnsi"/>
        </w:rPr>
        <w:t xml:space="preserve">2. </w:t>
      </w:r>
      <w:hyperlink r:id="rId21" w:history="1">
        <w:r w:rsidR="00C4712B" w:rsidRPr="00971443">
          <w:rPr>
            <w:rStyle w:val="Hyperlink"/>
            <w:rFonts w:asciiTheme="minorHAnsi" w:hAnsiTheme="minorHAnsi" w:cstheme="minorHAnsi"/>
          </w:rPr>
          <w:t>https://www.inklusion-online.net/index.php/inklusion-online/article/view/657</w:t>
        </w:r>
      </w:hyperlink>
    </w:p>
    <w:p w14:paraId="593BF653" w14:textId="6D341C65" w:rsidR="00C53EEB" w:rsidRPr="00971443" w:rsidRDefault="00657CD9" w:rsidP="002A04B0">
      <w:pPr>
        <w:pStyle w:val="Literaturverzeichnis"/>
        <w:rPr>
          <w:rFonts w:asciiTheme="minorHAnsi" w:hAnsiTheme="minorHAnsi" w:cstheme="minorHAnsi"/>
        </w:rPr>
      </w:pPr>
      <w:bookmarkStart w:id="5" w:name="_Hlk174436199"/>
      <w:r w:rsidRPr="00971443">
        <w:rPr>
          <w:rFonts w:asciiTheme="minorHAnsi" w:hAnsiTheme="minorHAnsi" w:cstheme="minorHAnsi"/>
        </w:rPr>
        <w:t xml:space="preserve">Giesinger, J. (2011). Bildung als öffentliches Gut und das Problem der Gerechtigkeit. </w:t>
      </w:r>
      <w:r w:rsidRPr="00971443">
        <w:rPr>
          <w:rFonts w:asciiTheme="minorHAnsi" w:hAnsiTheme="minorHAnsi" w:cstheme="minorHAnsi"/>
          <w:i/>
          <w:iCs/>
        </w:rPr>
        <w:t>Zeitschrift für Pädagogik</w:t>
      </w:r>
      <w:r w:rsidR="00207B55" w:rsidRPr="00971443">
        <w:rPr>
          <w:rFonts w:asciiTheme="minorHAnsi" w:hAnsiTheme="minorHAnsi" w:cstheme="minorHAnsi"/>
          <w:i/>
          <w:iCs/>
        </w:rPr>
        <w:t>,</w:t>
      </w:r>
      <w:r w:rsidRPr="00971443">
        <w:rPr>
          <w:rFonts w:asciiTheme="minorHAnsi" w:hAnsiTheme="minorHAnsi" w:cstheme="minorHAnsi"/>
          <w:i/>
          <w:iCs/>
        </w:rPr>
        <w:t xml:space="preserve"> 57</w:t>
      </w:r>
      <w:r w:rsidR="00E3260E" w:rsidRPr="00971443">
        <w:rPr>
          <w:rFonts w:asciiTheme="minorHAnsi" w:hAnsiTheme="minorHAnsi" w:cstheme="minorHAnsi"/>
        </w:rPr>
        <w:t> </w:t>
      </w:r>
      <w:r w:rsidRPr="00971443">
        <w:rPr>
          <w:rFonts w:asciiTheme="minorHAnsi" w:hAnsiTheme="minorHAnsi" w:cstheme="minorHAnsi"/>
        </w:rPr>
        <w:t>(3), 421–437</w:t>
      </w:r>
      <w:bookmarkEnd w:id="5"/>
      <w:r w:rsidRPr="00971443">
        <w:rPr>
          <w:rFonts w:asciiTheme="minorHAnsi" w:hAnsiTheme="minorHAnsi" w:cstheme="minorHAnsi"/>
        </w:rPr>
        <w:t xml:space="preserve">. </w:t>
      </w:r>
      <w:hyperlink r:id="rId22" w:history="1">
        <w:r w:rsidR="00C53EEB" w:rsidRPr="00971443">
          <w:rPr>
            <w:rStyle w:val="Hyperlink"/>
            <w:rFonts w:asciiTheme="minorHAnsi" w:hAnsiTheme="minorHAnsi" w:cstheme="minorHAnsi"/>
          </w:rPr>
          <w:t>https://doi.org/10.25656/01:8734</w:t>
        </w:r>
      </w:hyperlink>
    </w:p>
    <w:p w14:paraId="452016AD" w14:textId="77777777" w:rsidR="00657CD9" w:rsidRPr="00971443" w:rsidRDefault="00657CD9" w:rsidP="002A04B0">
      <w:pPr>
        <w:pStyle w:val="Literaturverzeichnis"/>
        <w:rPr>
          <w:rFonts w:asciiTheme="minorHAnsi" w:hAnsiTheme="minorHAnsi" w:cstheme="minorHAnsi"/>
        </w:rPr>
      </w:pPr>
      <w:r w:rsidRPr="00971443">
        <w:rPr>
          <w:rFonts w:asciiTheme="minorHAnsi" w:hAnsiTheme="minorHAnsi" w:cstheme="minorHAnsi"/>
        </w:rPr>
        <w:t xml:space="preserve">Gold, A. (2018). </w:t>
      </w:r>
      <w:r w:rsidRPr="00971443">
        <w:rPr>
          <w:rFonts w:asciiTheme="minorHAnsi" w:hAnsiTheme="minorHAnsi" w:cstheme="minorHAnsi"/>
          <w:i/>
          <w:iCs/>
        </w:rPr>
        <w:t>Lernschwierigkeiten: Ursachen, Diagnostik, Intervention</w:t>
      </w:r>
      <w:r w:rsidRPr="00971443">
        <w:rPr>
          <w:rFonts w:asciiTheme="minorHAnsi" w:hAnsiTheme="minorHAnsi" w:cstheme="minorHAnsi"/>
        </w:rPr>
        <w:t>. Kohlhammer.</w:t>
      </w:r>
    </w:p>
    <w:p w14:paraId="6FAE569C" w14:textId="32DD48FD" w:rsidR="00BB0439" w:rsidRPr="00971443" w:rsidRDefault="00BB0439" w:rsidP="002A04B0">
      <w:pPr>
        <w:pStyle w:val="Literaturverzeichnis"/>
        <w:rPr>
          <w:rFonts w:asciiTheme="minorHAnsi" w:eastAsia="Times New Roman" w:hAnsiTheme="minorHAnsi" w:cstheme="minorHAnsi"/>
          <w:spacing w:val="0"/>
          <w:lang w:eastAsia="de-DE"/>
        </w:rPr>
      </w:pPr>
      <w:r w:rsidRPr="00971443">
        <w:rPr>
          <w:rFonts w:asciiTheme="minorHAnsi" w:eastAsia="Times New Roman" w:hAnsiTheme="minorHAnsi" w:cstheme="minorHAnsi"/>
          <w:spacing w:val="0"/>
          <w:lang w:eastAsia="de-DE"/>
        </w:rPr>
        <w:t xml:space="preserve">Heid, H. (2012). Der Beitrag des Leistungsprinzips zur Rechtfertigung sozialer Ungerechtigkeit. </w:t>
      </w:r>
      <w:r w:rsidRPr="00971443">
        <w:rPr>
          <w:rFonts w:asciiTheme="minorHAnsi" w:eastAsia="Times New Roman" w:hAnsiTheme="minorHAnsi" w:cstheme="minorHAnsi"/>
          <w:i/>
          <w:iCs/>
          <w:spacing w:val="0"/>
          <w:lang w:eastAsia="de-DE"/>
        </w:rPr>
        <w:t>Vierteljahresschrift für Heilpädagogik und ihre Nachbargebiete</w:t>
      </w:r>
      <w:r w:rsidRPr="00971443">
        <w:rPr>
          <w:rFonts w:asciiTheme="minorHAnsi" w:eastAsia="Times New Roman" w:hAnsiTheme="minorHAnsi" w:cstheme="minorHAnsi"/>
          <w:spacing w:val="0"/>
          <w:lang w:eastAsia="de-DE"/>
        </w:rPr>
        <w:t xml:space="preserve">, </w:t>
      </w:r>
      <w:r w:rsidRPr="00971443">
        <w:rPr>
          <w:rFonts w:asciiTheme="minorHAnsi" w:eastAsia="Times New Roman" w:hAnsiTheme="minorHAnsi" w:cstheme="minorHAnsi"/>
          <w:i/>
          <w:iCs/>
          <w:spacing w:val="0"/>
          <w:lang w:eastAsia="de-DE"/>
        </w:rPr>
        <w:t>81</w:t>
      </w:r>
      <w:r w:rsidR="00C1645A" w:rsidRPr="00971443">
        <w:rPr>
          <w:rFonts w:asciiTheme="minorHAnsi" w:eastAsia="Times New Roman" w:hAnsiTheme="minorHAnsi" w:cstheme="minorHAnsi"/>
          <w:i/>
          <w:iCs/>
          <w:spacing w:val="0"/>
          <w:lang w:eastAsia="de-DE"/>
        </w:rPr>
        <w:t> </w:t>
      </w:r>
      <w:r w:rsidRPr="00971443">
        <w:rPr>
          <w:rFonts w:asciiTheme="minorHAnsi" w:eastAsia="Times New Roman" w:hAnsiTheme="minorHAnsi" w:cstheme="minorHAnsi"/>
          <w:spacing w:val="0"/>
          <w:lang w:eastAsia="de-DE"/>
        </w:rPr>
        <w:t>(1), 22–34.</w:t>
      </w:r>
    </w:p>
    <w:p w14:paraId="191EF07A" w14:textId="03325198" w:rsidR="00657CD9" w:rsidRPr="00971443" w:rsidRDefault="00657CD9" w:rsidP="002A04B0">
      <w:pPr>
        <w:pStyle w:val="Literaturverzeichnis"/>
        <w:rPr>
          <w:rFonts w:asciiTheme="minorHAnsi" w:hAnsiTheme="minorHAnsi" w:cstheme="minorHAnsi"/>
        </w:rPr>
      </w:pPr>
      <w:r w:rsidRPr="00971443">
        <w:rPr>
          <w:rFonts w:asciiTheme="minorHAnsi" w:hAnsiTheme="minorHAnsi" w:cstheme="minorHAnsi"/>
        </w:rPr>
        <w:t xml:space="preserve">Heimlich, U. (2017). Zwischen Inklusion und Exklusion: Armut und soziale Benachteiligung als Herausforderung an die Pädagogik bei Lernschwierigkeiten. In M. Gercke, S. Opalinski &amp; T. Thonagel (Hrsg.), </w:t>
      </w:r>
      <w:r w:rsidRPr="00971443">
        <w:rPr>
          <w:rFonts w:asciiTheme="minorHAnsi" w:hAnsiTheme="minorHAnsi" w:cstheme="minorHAnsi"/>
          <w:i/>
          <w:iCs/>
        </w:rPr>
        <w:t>Inklusive Bildung und gesellschaftliche Exklusion. Zusammenhänge – Widersprüche – Konsequenzen</w:t>
      </w:r>
      <w:r w:rsidRPr="00971443">
        <w:rPr>
          <w:rFonts w:asciiTheme="minorHAnsi" w:hAnsiTheme="minorHAnsi" w:cstheme="minorHAnsi"/>
        </w:rPr>
        <w:t xml:space="preserve"> (S.</w:t>
      </w:r>
      <w:r w:rsidR="00C1645A" w:rsidRPr="00971443">
        <w:rPr>
          <w:rFonts w:asciiTheme="minorHAnsi" w:hAnsiTheme="minorHAnsi" w:cstheme="minorHAnsi"/>
        </w:rPr>
        <w:t> </w:t>
      </w:r>
      <w:r w:rsidRPr="00971443">
        <w:rPr>
          <w:rFonts w:asciiTheme="minorHAnsi" w:hAnsiTheme="minorHAnsi" w:cstheme="minorHAnsi"/>
        </w:rPr>
        <w:t>87–98). Springer VS.</w:t>
      </w:r>
    </w:p>
    <w:p w14:paraId="2F4001BF" w14:textId="5E3CCC91" w:rsidR="00657CD9" w:rsidRPr="00971443" w:rsidRDefault="00657CD9" w:rsidP="002A04B0">
      <w:pPr>
        <w:pStyle w:val="Literaturverzeichnis"/>
        <w:rPr>
          <w:rFonts w:asciiTheme="minorHAnsi" w:hAnsiTheme="minorHAnsi" w:cstheme="minorHAnsi"/>
        </w:rPr>
      </w:pPr>
      <w:r w:rsidRPr="00971443">
        <w:rPr>
          <w:rFonts w:asciiTheme="minorHAnsi" w:hAnsiTheme="minorHAnsi" w:cstheme="minorHAnsi"/>
        </w:rPr>
        <w:t xml:space="preserve">Holländer, M., Böhm, K. &amp; Melle, I. (2022). </w:t>
      </w:r>
      <w:r w:rsidRPr="00971443">
        <w:rPr>
          <w:rFonts w:asciiTheme="minorHAnsi" w:hAnsiTheme="minorHAnsi" w:cstheme="minorHAnsi"/>
          <w:i/>
          <w:iCs/>
        </w:rPr>
        <w:t>Systematische Integration des Universal Design for Learning in den Unterricht. Das Planungsmodell ChemDive mit seinen grundlegenden didaktischen Funktionen.</w:t>
      </w:r>
      <w:r w:rsidRPr="00971443">
        <w:rPr>
          <w:rFonts w:asciiTheme="minorHAnsi" w:hAnsiTheme="minorHAnsi" w:cstheme="minorHAnsi"/>
        </w:rPr>
        <w:t xml:space="preserve"> </w:t>
      </w:r>
      <w:r w:rsidR="00546350" w:rsidRPr="00971443">
        <w:rPr>
          <w:rFonts w:asciiTheme="minorHAnsi" w:hAnsiTheme="minorHAnsi" w:cstheme="minorHAnsi"/>
        </w:rPr>
        <w:t xml:space="preserve">Technische Universität Dortmund. </w:t>
      </w:r>
      <w:hyperlink r:id="rId23" w:history="1">
        <w:r w:rsidR="006B3C19" w:rsidRPr="00971443">
          <w:rPr>
            <w:rStyle w:val="Hyperlink"/>
            <w:rFonts w:asciiTheme="minorHAnsi" w:hAnsiTheme="minorHAnsi" w:cstheme="minorHAnsi"/>
          </w:rPr>
          <w:t>http://dx.doi.org/10.17877/DE290R-22659</w:t>
        </w:r>
      </w:hyperlink>
    </w:p>
    <w:p w14:paraId="2602BE22" w14:textId="32C88274" w:rsidR="000B07FF" w:rsidRPr="00971443" w:rsidRDefault="00657CD9" w:rsidP="000B07FF">
      <w:pPr>
        <w:pStyle w:val="Literaturverzeichnis"/>
        <w:rPr>
          <w:rFonts w:asciiTheme="minorHAnsi" w:hAnsiTheme="minorHAnsi" w:cstheme="minorHAnsi"/>
        </w:rPr>
      </w:pPr>
      <w:r w:rsidRPr="00971443">
        <w:rPr>
          <w:rFonts w:asciiTheme="minorHAnsi" w:hAnsiTheme="minorHAnsi" w:cstheme="minorHAnsi"/>
        </w:rPr>
        <w:t xml:space="preserve">Mähler, C. (2020). Diagnostik von Lernstörungen: Zeit zum Umdenken. </w:t>
      </w:r>
      <w:r w:rsidRPr="00971443">
        <w:rPr>
          <w:rFonts w:asciiTheme="minorHAnsi" w:hAnsiTheme="minorHAnsi" w:cstheme="minorHAnsi"/>
          <w:i/>
          <w:iCs/>
        </w:rPr>
        <w:t xml:space="preserve">Zeitschrift für Pädagogische Psychologie, </w:t>
      </w:r>
      <w:r w:rsidR="00E42D79" w:rsidRPr="00971443">
        <w:rPr>
          <w:rFonts w:asciiTheme="minorHAnsi" w:hAnsiTheme="minorHAnsi" w:cstheme="minorHAnsi"/>
          <w:i/>
          <w:iCs/>
        </w:rPr>
        <w:t>3</w:t>
      </w:r>
      <w:r w:rsidR="0069251C" w:rsidRPr="00971443">
        <w:rPr>
          <w:rFonts w:asciiTheme="minorHAnsi" w:hAnsiTheme="minorHAnsi" w:cstheme="minorHAnsi"/>
          <w:i/>
          <w:iCs/>
        </w:rPr>
        <w:t>5</w:t>
      </w:r>
      <w:r w:rsidR="0069251C" w:rsidRPr="00971443">
        <w:rPr>
          <w:rFonts w:asciiTheme="minorHAnsi" w:hAnsiTheme="minorHAnsi" w:cstheme="minorHAnsi"/>
        </w:rPr>
        <w:t xml:space="preserve"> (4), </w:t>
      </w:r>
      <w:r w:rsidRPr="00971443">
        <w:rPr>
          <w:rFonts w:asciiTheme="minorHAnsi" w:hAnsiTheme="minorHAnsi" w:cstheme="minorHAnsi"/>
        </w:rPr>
        <w:t>1–11</w:t>
      </w:r>
      <w:r w:rsidRPr="007B70D6">
        <w:rPr>
          <w:rStyle w:val="Hyperlink"/>
          <w:rFonts w:asciiTheme="minorHAnsi" w:hAnsiTheme="minorHAnsi" w:cstheme="minorHAnsi"/>
          <w:color w:val="auto"/>
        </w:rPr>
        <w:t>.</w:t>
      </w:r>
      <w:r w:rsidR="000B07FF" w:rsidRPr="00971443">
        <w:rPr>
          <w:rStyle w:val="Hyperlink"/>
          <w:rFonts w:asciiTheme="minorHAnsi" w:hAnsiTheme="minorHAnsi" w:cstheme="minorHAnsi"/>
          <w:color w:val="C00000"/>
        </w:rPr>
        <w:t xml:space="preserve"> </w:t>
      </w:r>
      <w:hyperlink r:id="rId24" w:history="1">
        <w:r w:rsidR="005B63E3" w:rsidRPr="00971443">
          <w:rPr>
            <w:rStyle w:val="Hyperlink"/>
            <w:rFonts w:asciiTheme="minorHAnsi" w:hAnsiTheme="minorHAnsi" w:cstheme="minorHAnsi"/>
          </w:rPr>
          <w:t>https://doi.org/10.1024/1010-0652/a000291</w:t>
        </w:r>
      </w:hyperlink>
    </w:p>
    <w:p w14:paraId="71528B94" w14:textId="77777777" w:rsidR="001F3E7D" w:rsidRPr="00971443" w:rsidRDefault="001F3E7D" w:rsidP="001F3E7D">
      <w:pPr>
        <w:pStyle w:val="Literaturverzeichnis"/>
        <w:rPr>
          <w:rFonts w:asciiTheme="minorHAnsi" w:hAnsiTheme="minorHAnsi" w:cstheme="minorHAnsi"/>
        </w:rPr>
      </w:pPr>
      <w:r w:rsidRPr="00971443">
        <w:rPr>
          <w:rFonts w:asciiTheme="minorHAnsi" w:hAnsiTheme="minorHAnsi" w:cstheme="minorHAnsi"/>
        </w:rPr>
        <w:t xml:space="preserve">Schlüter, A.-K. &amp; Melle, I. (2017). Luft ist komprimierbar: Beispiele für die Umsetzung des Universal Design for Learning. </w:t>
      </w:r>
      <w:r w:rsidRPr="00971443">
        <w:rPr>
          <w:rFonts w:asciiTheme="minorHAnsi" w:hAnsiTheme="minorHAnsi" w:cstheme="minorHAnsi"/>
          <w:i/>
          <w:iCs/>
        </w:rPr>
        <w:t>Naturwissenschaften im Unterricht. Chemie, 28</w:t>
      </w:r>
      <w:r w:rsidRPr="00971443">
        <w:rPr>
          <w:rFonts w:asciiTheme="minorHAnsi" w:hAnsiTheme="minorHAnsi" w:cstheme="minorHAnsi"/>
        </w:rPr>
        <w:t> (162), 36–39.</w:t>
      </w:r>
    </w:p>
    <w:p w14:paraId="32E33B17" w14:textId="372F8339" w:rsidR="00657CD9" w:rsidRPr="00971443" w:rsidRDefault="00657CD9" w:rsidP="002A04B0">
      <w:pPr>
        <w:pStyle w:val="Literaturverzeichnis"/>
        <w:rPr>
          <w:rFonts w:asciiTheme="minorHAnsi" w:hAnsiTheme="minorHAnsi" w:cstheme="minorHAnsi"/>
        </w:rPr>
      </w:pPr>
      <w:r w:rsidRPr="00971443">
        <w:rPr>
          <w:rFonts w:asciiTheme="minorHAnsi" w:hAnsiTheme="minorHAnsi" w:cstheme="minorHAnsi"/>
        </w:rPr>
        <w:t>Schlüter, A.</w:t>
      </w:r>
      <w:r w:rsidRPr="00971443">
        <w:rPr>
          <w:rFonts w:ascii="Cambria Math" w:hAnsi="Cambria Math" w:cs="Cambria Math"/>
        </w:rPr>
        <w:t>‑</w:t>
      </w:r>
      <w:r w:rsidRPr="00971443">
        <w:rPr>
          <w:rFonts w:asciiTheme="minorHAnsi" w:hAnsiTheme="minorHAnsi" w:cstheme="minorHAnsi"/>
        </w:rPr>
        <w:t>K., Melle, I. &amp; Wember, F.</w:t>
      </w:r>
      <w:r w:rsidR="00E62CAC" w:rsidRPr="00971443">
        <w:rPr>
          <w:rFonts w:asciiTheme="minorHAnsi" w:hAnsiTheme="minorHAnsi" w:cstheme="minorHAnsi"/>
        </w:rPr>
        <w:t> </w:t>
      </w:r>
      <w:r w:rsidRPr="00971443">
        <w:rPr>
          <w:rFonts w:asciiTheme="minorHAnsi" w:hAnsiTheme="minorHAnsi" w:cstheme="minorHAnsi"/>
        </w:rPr>
        <w:t xml:space="preserve">B. (2016). Unterrichtsgestaltung in Klassen des gemeinsamen Lernens: Universal Design for Learning. </w:t>
      </w:r>
      <w:r w:rsidRPr="00971443">
        <w:rPr>
          <w:rFonts w:asciiTheme="minorHAnsi" w:hAnsiTheme="minorHAnsi" w:cstheme="minorHAnsi"/>
          <w:i/>
          <w:iCs/>
        </w:rPr>
        <w:t>Sonderpädagogische Förderung heute, 61</w:t>
      </w:r>
      <w:r w:rsidR="00E62CAC" w:rsidRPr="00971443">
        <w:rPr>
          <w:rFonts w:asciiTheme="minorHAnsi" w:hAnsiTheme="minorHAnsi" w:cstheme="minorHAnsi"/>
          <w:i/>
          <w:iCs/>
        </w:rPr>
        <w:t> </w:t>
      </w:r>
      <w:r w:rsidRPr="00971443">
        <w:rPr>
          <w:rFonts w:asciiTheme="minorHAnsi" w:hAnsiTheme="minorHAnsi" w:cstheme="minorHAnsi"/>
        </w:rPr>
        <w:t>(3), 270</w:t>
      </w:r>
      <w:r w:rsidR="00E62CAC" w:rsidRPr="00971443">
        <w:rPr>
          <w:rFonts w:asciiTheme="minorHAnsi" w:hAnsiTheme="minorHAnsi" w:cstheme="minorHAnsi"/>
        </w:rPr>
        <w:t>–</w:t>
      </w:r>
      <w:r w:rsidRPr="00971443">
        <w:rPr>
          <w:rFonts w:asciiTheme="minorHAnsi" w:hAnsiTheme="minorHAnsi" w:cstheme="minorHAnsi"/>
        </w:rPr>
        <w:t>285.</w:t>
      </w:r>
    </w:p>
    <w:p w14:paraId="15351660" w14:textId="0F3B615F" w:rsidR="00657CD9" w:rsidRPr="00971443" w:rsidRDefault="00657CD9" w:rsidP="002A04B0">
      <w:pPr>
        <w:pStyle w:val="Literaturverzeichnis"/>
        <w:rPr>
          <w:rFonts w:asciiTheme="minorHAnsi" w:hAnsiTheme="minorHAnsi" w:cstheme="minorHAnsi"/>
        </w:rPr>
      </w:pPr>
      <w:r w:rsidRPr="00971443">
        <w:rPr>
          <w:rFonts w:asciiTheme="minorHAnsi" w:hAnsiTheme="minorHAnsi" w:cstheme="minorHAnsi"/>
        </w:rPr>
        <w:t>Schroeder, J. (201</w:t>
      </w:r>
      <w:r w:rsidR="00F70015" w:rsidRPr="00971443">
        <w:rPr>
          <w:rFonts w:asciiTheme="minorHAnsi" w:hAnsiTheme="minorHAnsi" w:cstheme="minorHAnsi"/>
        </w:rPr>
        <w:t>0</w:t>
      </w:r>
      <w:r w:rsidRPr="00971443">
        <w:rPr>
          <w:rFonts w:asciiTheme="minorHAnsi" w:hAnsiTheme="minorHAnsi" w:cstheme="minorHAnsi"/>
        </w:rPr>
        <w:t xml:space="preserve">). Die Schule für alle – überall? Rückfragen zum Hamburger Schulversuch </w:t>
      </w:r>
      <w:r w:rsidR="00C32A8B" w:rsidRPr="00971443">
        <w:rPr>
          <w:rFonts w:asciiTheme="minorHAnsi" w:hAnsiTheme="minorHAnsi" w:cstheme="minorHAnsi"/>
        </w:rPr>
        <w:t>«</w:t>
      </w:r>
      <w:r w:rsidRPr="00971443">
        <w:rPr>
          <w:rFonts w:asciiTheme="minorHAnsi" w:hAnsiTheme="minorHAnsi" w:cstheme="minorHAnsi"/>
        </w:rPr>
        <w:t>Integrative Grundschule im sozialen Brennpunkt</w:t>
      </w:r>
      <w:r w:rsidR="00C32A8B" w:rsidRPr="00971443">
        <w:rPr>
          <w:rFonts w:asciiTheme="minorHAnsi" w:hAnsiTheme="minorHAnsi" w:cstheme="minorHAnsi"/>
        </w:rPr>
        <w:t>»</w:t>
      </w:r>
      <w:r w:rsidRPr="00971443">
        <w:rPr>
          <w:rFonts w:asciiTheme="minorHAnsi" w:hAnsiTheme="minorHAnsi" w:cstheme="minorHAnsi"/>
        </w:rPr>
        <w:t xml:space="preserve">. In J. Schwohl &amp; T. Sturm (Hrsg.), </w:t>
      </w:r>
      <w:r w:rsidRPr="00971443">
        <w:rPr>
          <w:rFonts w:asciiTheme="minorHAnsi" w:hAnsiTheme="minorHAnsi" w:cstheme="minorHAnsi"/>
          <w:i/>
          <w:iCs/>
        </w:rPr>
        <w:t>Inklusion als Herausforderung schulischer Entwicklung. Widersprüche und Perspektiven eines erziehungswissenschaftlichen Diskurses</w:t>
      </w:r>
      <w:r w:rsidRPr="00971443">
        <w:rPr>
          <w:rFonts w:asciiTheme="minorHAnsi" w:hAnsiTheme="minorHAnsi" w:cstheme="minorHAnsi"/>
        </w:rPr>
        <w:t xml:space="preserve"> (S.</w:t>
      </w:r>
      <w:r w:rsidR="00FB49B1" w:rsidRPr="00971443">
        <w:rPr>
          <w:rFonts w:asciiTheme="minorHAnsi" w:hAnsiTheme="minorHAnsi" w:cstheme="minorHAnsi"/>
        </w:rPr>
        <w:t> </w:t>
      </w:r>
      <w:r w:rsidRPr="00971443">
        <w:rPr>
          <w:rFonts w:asciiTheme="minorHAnsi" w:hAnsiTheme="minorHAnsi" w:cstheme="minorHAnsi"/>
        </w:rPr>
        <w:t xml:space="preserve">119–138). transcript. </w:t>
      </w:r>
    </w:p>
    <w:p w14:paraId="39E80D91" w14:textId="77777777" w:rsidR="00657CD9" w:rsidRPr="00971443" w:rsidRDefault="00657CD9" w:rsidP="002A04B0">
      <w:pPr>
        <w:pStyle w:val="Literaturverzeichnis"/>
        <w:rPr>
          <w:rFonts w:asciiTheme="minorHAnsi" w:hAnsiTheme="minorHAnsi" w:cstheme="minorHAnsi"/>
        </w:rPr>
      </w:pPr>
      <w:r w:rsidRPr="00971443">
        <w:rPr>
          <w:rFonts w:asciiTheme="minorHAnsi" w:hAnsiTheme="minorHAnsi" w:cstheme="minorHAnsi"/>
        </w:rPr>
        <w:t xml:space="preserve">Seitz, S. &amp; Simon, T. (2021). Inklusive Bildung und Fachdidaktik in Grundschulen: Erkenntnisse, Reflektionen und Perspektiven. </w:t>
      </w:r>
      <w:r w:rsidRPr="00971443">
        <w:rPr>
          <w:rFonts w:asciiTheme="minorHAnsi" w:hAnsiTheme="minorHAnsi" w:cstheme="minorHAnsi"/>
          <w:i/>
          <w:iCs/>
        </w:rPr>
        <w:t xml:space="preserve">Zeitschrift für Grundschulforschung, </w:t>
      </w:r>
      <w:r w:rsidRPr="00971443">
        <w:rPr>
          <w:rFonts w:asciiTheme="minorHAnsi" w:hAnsiTheme="minorHAnsi" w:cstheme="minorHAnsi"/>
        </w:rPr>
        <w:t>14, 1–14.</w:t>
      </w:r>
    </w:p>
    <w:p w14:paraId="58BED151" w14:textId="6ABF4120" w:rsidR="001258FD" w:rsidRPr="00971443" w:rsidRDefault="001258FD" w:rsidP="002A04B0">
      <w:pPr>
        <w:pStyle w:val="Literaturverzeichnis"/>
        <w:rPr>
          <w:rFonts w:asciiTheme="minorHAnsi" w:hAnsiTheme="minorHAnsi" w:cstheme="minorHAnsi"/>
        </w:rPr>
      </w:pPr>
      <w:r w:rsidRPr="00971443">
        <w:rPr>
          <w:rFonts w:asciiTheme="minorHAnsi" w:hAnsiTheme="minorHAnsi" w:cstheme="minorHAnsi"/>
        </w:rPr>
        <w:t xml:space="preserve">Stojanov, K. (2013). Bildungsgerechtigkeit als Anerkennungsgerechtigkeit. In F. Dietrich, M. Heinrich &amp; N. Thieme (Hrsg.), </w:t>
      </w:r>
      <w:r w:rsidRPr="00971443">
        <w:rPr>
          <w:rFonts w:asciiTheme="minorHAnsi" w:hAnsiTheme="minorHAnsi" w:cstheme="minorHAnsi"/>
          <w:i/>
          <w:iCs/>
        </w:rPr>
        <w:t>Bildungsgerechtigkeit jenseits von Chancengleichheit</w:t>
      </w:r>
      <w:r w:rsidRPr="00971443">
        <w:rPr>
          <w:rFonts w:asciiTheme="minorHAnsi" w:hAnsiTheme="minorHAnsi" w:cstheme="minorHAnsi"/>
        </w:rPr>
        <w:t xml:space="preserve"> (S.</w:t>
      </w:r>
      <w:r w:rsidR="00742A3E" w:rsidRPr="00971443">
        <w:rPr>
          <w:rFonts w:asciiTheme="minorHAnsi" w:hAnsiTheme="minorHAnsi" w:cstheme="minorHAnsi"/>
        </w:rPr>
        <w:t> </w:t>
      </w:r>
      <w:r w:rsidRPr="00971443">
        <w:rPr>
          <w:rFonts w:asciiTheme="minorHAnsi" w:hAnsiTheme="minorHAnsi" w:cstheme="minorHAnsi"/>
        </w:rPr>
        <w:t xml:space="preserve">57–69). Springer Fachmedien. </w:t>
      </w:r>
      <w:hyperlink r:id="rId25" w:history="1">
        <w:r w:rsidR="003D2F63" w:rsidRPr="00971443">
          <w:rPr>
            <w:rStyle w:val="Hyperlink"/>
            <w:rFonts w:asciiTheme="minorHAnsi" w:hAnsiTheme="minorHAnsi" w:cstheme="minorHAnsi"/>
          </w:rPr>
          <w:t>https://link.springer.com/chapter/10.1007/978-3-531-19043-3_3</w:t>
        </w:r>
      </w:hyperlink>
    </w:p>
    <w:p w14:paraId="31D1B437" w14:textId="0D5934DA" w:rsidR="00BB0439" w:rsidRPr="00971443" w:rsidRDefault="00BB0439" w:rsidP="002A04B0">
      <w:pPr>
        <w:pStyle w:val="Literaturverzeichnis"/>
        <w:rPr>
          <w:rFonts w:asciiTheme="minorHAnsi" w:hAnsiTheme="minorHAnsi" w:cstheme="minorHAnsi"/>
        </w:rPr>
      </w:pPr>
      <w:r w:rsidRPr="00971443">
        <w:rPr>
          <w:rFonts w:asciiTheme="minorHAnsi" w:hAnsiTheme="minorHAnsi" w:cstheme="minorHAnsi"/>
        </w:rPr>
        <w:t xml:space="preserve">Stojanov, K. (2015). Leistung. Ein irreführender Begriff im Diskurs über Bildungsgerechtigkeit. In A. Schäfer &amp; C. Thompson (Hrsg.), </w:t>
      </w:r>
      <w:r w:rsidRPr="00971443">
        <w:rPr>
          <w:rFonts w:asciiTheme="minorHAnsi" w:hAnsiTheme="minorHAnsi" w:cstheme="minorHAnsi"/>
          <w:i/>
          <w:iCs/>
        </w:rPr>
        <w:t xml:space="preserve">Leistung </w:t>
      </w:r>
      <w:r w:rsidRPr="00971443">
        <w:rPr>
          <w:rFonts w:asciiTheme="minorHAnsi" w:hAnsiTheme="minorHAnsi" w:cstheme="minorHAnsi"/>
        </w:rPr>
        <w:t>(S.</w:t>
      </w:r>
      <w:r w:rsidR="00742A3E" w:rsidRPr="00971443">
        <w:rPr>
          <w:rFonts w:asciiTheme="minorHAnsi" w:hAnsiTheme="minorHAnsi" w:cstheme="minorHAnsi"/>
        </w:rPr>
        <w:t> </w:t>
      </w:r>
      <w:r w:rsidRPr="00971443">
        <w:rPr>
          <w:rFonts w:asciiTheme="minorHAnsi" w:hAnsiTheme="minorHAnsi" w:cstheme="minorHAnsi"/>
        </w:rPr>
        <w:t>135–150). Schöningh.</w:t>
      </w:r>
    </w:p>
    <w:p w14:paraId="21777DED" w14:textId="324D5627" w:rsidR="00657CD9" w:rsidRPr="00971443" w:rsidRDefault="00657CD9" w:rsidP="002A04B0">
      <w:pPr>
        <w:pStyle w:val="Literaturverzeichnis"/>
        <w:rPr>
          <w:rFonts w:asciiTheme="minorHAnsi" w:hAnsiTheme="minorHAnsi" w:cstheme="minorHAnsi"/>
        </w:rPr>
      </w:pPr>
      <w:r w:rsidRPr="00971443">
        <w:rPr>
          <w:rFonts w:asciiTheme="minorHAnsi" w:hAnsiTheme="minorHAnsi" w:cstheme="minorHAnsi"/>
        </w:rPr>
        <w:t xml:space="preserve">te Poel, K. (2019). </w:t>
      </w:r>
      <w:r w:rsidRPr="00971443">
        <w:rPr>
          <w:rFonts w:asciiTheme="minorHAnsi" w:hAnsiTheme="minorHAnsi" w:cstheme="minorHAnsi"/>
          <w:i/>
          <w:iCs/>
        </w:rPr>
        <w:t>Bildungsgerechtigkeit und Anerkennung</w:t>
      </w:r>
      <w:r w:rsidRPr="00971443">
        <w:rPr>
          <w:rFonts w:asciiTheme="minorHAnsi" w:hAnsiTheme="minorHAnsi" w:cstheme="minorHAnsi"/>
        </w:rPr>
        <w:t>. Springer Fachmedien.</w:t>
      </w:r>
    </w:p>
    <w:p w14:paraId="68DECB8D" w14:textId="0B0B5DAF" w:rsidR="00657CD9" w:rsidRPr="00971443" w:rsidRDefault="00657CD9" w:rsidP="002A04B0">
      <w:pPr>
        <w:pStyle w:val="Literaturverzeichnis"/>
        <w:rPr>
          <w:rFonts w:asciiTheme="minorHAnsi" w:hAnsiTheme="minorHAnsi" w:cstheme="minorHAnsi"/>
        </w:rPr>
      </w:pPr>
      <w:r w:rsidRPr="00971443">
        <w:rPr>
          <w:rFonts w:asciiTheme="minorHAnsi" w:hAnsiTheme="minorHAnsi" w:cstheme="minorHAnsi"/>
        </w:rPr>
        <w:lastRenderedPageBreak/>
        <w:t xml:space="preserve">van Essen, F. (2019). Der </w:t>
      </w:r>
      <w:r w:rsidR="00F00E84" w:rsidRPr="00971443">
        <w:rPr>
          <w:rFonts w:asciiTheme="minorHAnsi" w:hAnsiTheme="minorHAnsi" w:cstheme="minorHAnsi"/>
        </w:rPr>
        <w:t>«</w:t>
      </w:r>
      <w:r w:rsidRPr="00971443">
        <w:rPr>
          <w:rFonts w:asciiTheme="minorHAnsi" w:hAnsiTheme="minorHAnsi" w:cstheme="minorHAnsi"/>
        </w:rPr>
        <w:t>übersehene</w:t>
      </w:r>
      <w:r w:rsidR="00F00E84" w:rsidRPr="00971443">
        <w:rPr>
          <w:rFonts w:asciiTheme="minorHAnsi" w:hAnsiTheme="minorHAnsi" w:cstheme="minorHAnsi"/>
        </w:rPr>
        <w:t>»</w:t>
      </w:r>
      <w:r w:rsidRPr="00971443">
        <w:rPr>
          <w:rFonts w:asciiTheme="minorHAnsi" w:hAnsiTheme="minorHAnsi" w:cstheme="minorHAnsi"/>
        </w:rPr>
        <w:t xml:space="preserve"> Förderschwerpunkt: zur Notwendigkeit milieusensibler Schulentwicklung. </w:t>
      </w:r>
      <w:r w:rsidRPr="00971443">
        <w:rPr>
          <w:rFonts w:asciiTheme="minorHAnsi" w:hAnsiTheme="minorHAnsi" w:cstheme="minorHAnsi"/>
          <w:i/>
          <w:iCs/>
        </w:rPr>
        <w:t>Sonderpädagogische Förderung, 64</w:t>
      </w:r>
      <w:r w:rsidR="00742A3E" w:rsidRPr="00971443">
        <w:rPr>
          <w:rFonts w:asciiTheme="minorHAnsi" w:hAnsiTheme="minorHAnsi" w:cstheme="minorHAnsi"/>
          <w:i/>
          <w:iCs/>
        </w:rPr>
        <w:t> </w:t>
      </w:r>
      <w:r w:rsidRPr="00971443">
        <w:rPr>
          <w:rFonts w:asciiTheme="minorHAnsi" w:hAnsiTheme="minorHAnsi" w:cstheme="minorHAnsi"/>
        </w:rPr>
        <w:t>(2), 134</w:t>
      </w:r>
      <w:r w:rsidR="00742A3E" w:rsidRPr="00971443">
        <w:rPr>
          <w:rFonts w:asciiTheme="minorHAnsi" w:hAnsiTheme="minorHAnsi" w:cstheme="minorHAnsi"/>
        </w:rPr>
        <w:t>–</w:t>
      </w:r>
      <w:r w:rsidRPr="00971443">
        <w:rPr>
          <w:rFonts w:asciiTheme="minorHAnsi" w:hAnsiTheme="minorHAnsi" w:cstheme="minorHAnsi"/>
        </w:rPr>
        <w:t>146.</w:t>
      </w:r>
    </w:p>
    <w:p w14:paraId="4A788C3B" w14:textId="34189936" w:rsidR="00657CD9" w:rsidRPr="00971443" w:rsidRDefault="00657CD9" w:rsidP="002A04B0">
      <w:pPr>
        <w:pStyle w:val="Literaturverzeichnis"/>
        <w:rPr>
          <w:rFonts w:asciiTheme="minorHAnsi" w:hAnsiTheme="minorHAnsi" w:cstheme="minorHAnsi"/>
        </w:rPr>
      </w:pPr>
      <w:r w:rsidRPr="00971443">
        <w:rPr>
          <w:rFonts w:asciiTheme="minorHAnsi" w:hAnsiTheme="minorHAnsi" w:cstheme="minorHAnsi"/>
        </w:rPr>
        <w:t xml:space="preserve">Walgenbach, K. (2017). </w:t>
      </w:r>
      <w:r w:rsidRPr="00971443">
        <w:rPr>
          <w:rFonts w:asciiTheme="minorHAnsi" w:hAnsiTheme="minorHAnsi" w:cstheme="minorHAnsi"/>
          <w:i/>
          <w:iCs/>
        </w:rPr>
        <w:t xml:space="preserve">Heterogenität </w:t>
      </w:r>
      <w:r w:rsidR="00DE09DD">
        <w:rPr>
          <w:rFonts w:asciiTheme="minorHAnsi" w:hAnsiTheme="minorHAnsi" w:cstheme="minorHAnsi"/>
          <w:i/>
          <w:iCs/>
        </w:rPr>
        <w:t>–</w:t>
      </w:r>
      <w:r w:rsidRPr="00971443">
        <w:rPr>
          <w:rFonts w:asciiTheme="minorHAnsi" w:hAnsiTheme="minorHAnsi" w:cstheme="minorHAnsi"/>
          <w:i/>
          <w:iCs/>
        </w:rPr>
        <w:t xml:space="preserve"> Intersektionalität </w:t>
      </w:r>
      <w:r w:rsidR="00742A3E" w:rsidRPr="00971443">
        <w:rPr>
          <w:rFonts w:asciiTheme="minorHAnsi" w:hAnsiTheme="minorHAnsi" w:cstheme="minorHAnsi"/>
          <w:i/>
          <w:iCs/>
        </w:rPr>
        <w:t>–</w:t>
      </w:r>
      <w:r w:rsidRPr="00971443">
        <w:rPr>
          <w:rFonts w:asciiTheme="minorHAnsi" w:hAnsiTheme="minorHAnsi" w:cstheme="minorHAnsi"/>
          <w:i/>
          <w:iCs/>
        </w:rPr>
        <w:t xml:space="preserve"> Diversity in der Erziehungswissenschaft</w:t>
      </w:r>
      <w:r w:rsidRPr="00971443">
        <w:rPr>
          <w:rFonts w:asciiTheme="minorHAnsi" w:hAnsiTheme="minorHAnsi" w:cstheme="minorHAnsi"/>
        </w:rPr>
        <w:t>. utb.</w:t>
      </w:r>
    </w:p>
    <w:p w14:paraId="175FFB2C" w14:textId="309CF1EA" w:rsidR="00657CD9" w:rsidRPr="00971443" w:rsidRDefault="00657CD9" w:rsidP="002A04B0">
      <w:pPr>
        <w:pStyle w:val="Literaturverzeichnis"/>
        <w:rPr>
          <w:rFonts w:asciiTheme="minorHAnsi" w:hAnsiTheme="minorHAnsi" w:cstheme="minorHAnsi"/>
        </w:rPr>
      </w:pPr>
      <w:r w:rsidRPr="00971443">
        <w:rPr>
          <w:rFonts w:asciiTheme="minorHAnsi" w:hAnsiTheme="minorHAnsi" w:cstheme="minorHAnsi"/>
        </w:rPr>
        <w:t xml:space="preserve">Weiß, H. (2007). Armut/soziale Benachteiligung. In K. Bundschuh, U. Heimlich &amp; R. Krawitz (Hrsg.), </w:t>
      </w:r>
      <w:r w:rsidRPr="00971443">
        <w:rPr>
          <w:rFonts w:asciiTheme="minorHAnsi" w:hAnsiTheme="minorHAnsi" w:cstheme="minorHAnsi"/>
          <w:i/>
          <w:iCs/>
        </w:rPr>
        <w:t>Wörterbuch Heilpädagogik</w:t>
      </w:r>
      <w:r w:rsidRPr="00971443">
        <w:rPr>
          <w:rFonts w:asciiTheme="minorHAnsi" w:hAnsiTheme="minorHAnsi" w:cstheme="minorHAnsi"/>
        </w:rPr>
        <w:t xml:space="preserve"> (S.</w:t>
      </w:r>
      <w:r w:rsidR="00742A3E" w:rsidRPr="00971443">
        <w:rPr>
          <w:rFonts w:asciiTheme="minorHAnsi" w:hAnsiTheme="minorHAnsi" w:cstheme="minorHAnsi"/>
        </w:rPr>
        <w:t> </w:t>
      </w:r>
      <w:r w:rsidRPr="00971443">
        <w:rPr>
          <w:rFonts w:asciiTheme="minorHAnsi" w:hAnsiTheme="minorHAnsi" w:cstheme="minorHAnsi"/>
        </w:rPr>
        <w:t>19–24). Klinkhardt.</w:t>
      </w:r>
    </w:p>
    <w:p w14:paraId="1EC2619A" w14:textId="2933308C" w:rsidR="006111D5" w:rsidRPr="00971443" w:rsidRDefault="00657CD9" w:rsidP="00AE5769">
      <w:pPr>
        <w:pStyle w:val="Literaturverzeichnis"/>
        <w:rPr>
          <w:rFonts w:asciiTheme="minorHAnsi" w:hAnsiTheme="minorHAnsi" w:cstheme="minorHAnsi"/>
        </w:rPr>
      </w:pPr>
      <w:r w:rsidRPr="00971443">
        <w:rPr>
          <w:rFonts w:asciiTheme="minorHAnsi" w:hAnsiTheme="minorHAnsi" w:cstheme="minorHAnsi"/>
        </w:rPr>
        <w:t xml:space="preserve">Werning, R. &amp; Lütje-Klose, B. (2016). </w:t>
      </w:r>
      <w:r w:rsidRPr="00971443">
        <w:rPr>
          <w:rFonts w:asciiTheme="minorHAnsi" w:hAnsiTheme="minorHAnsi" w:cstheme="minorHAnsi"/>
          <w:i/>
          <w:iCs/>
        </w:rPr>
        <w:t>Einführung in die Pädagogik bei Lernbeeinträchtigungen: Mit zahlreichen Übungsaufgaben</w:t>
      </w:r>
      <w:r w:rsidRPr="00971443">
        <w:rPr>
          <w:rFonts w:asciiTheme="minorHAnsi" w:hAnsiTheme="minorHAnsi" w:cstheme="minorHAnsi"/>
        </w:rPr>
        <w:t>. Reinhardt.</w:t>
      </w:r>
    </w:p>
    <w:sectPr w:rsidR="006111D5" w:rsidRPr="00971443" w:rsidSect="00B73AE5">
      <w:headerReference w:type="even" r:id="rId26"/>
      <w:headerReference w:type="default" r:id="rId27"/>
      <w:footerReference w:type="even" r:id="rId28"/>
      <w:footerReference w:type="default" r:id="rId29"/>
      <w:headerReference w:type="first" r:id="rId30"/>
      <w:footerReference w:type="first" r:id="rId31"/>
      <w:pgSz w:w="11907" w:h="16840" w:code="9"/>
      <w:pgMar w:top="1418" w:right="1418" w:bottom="1134" w:left="1418" w:header="720" w:footer="567" w:gutter="0"/>
      <w:pgNumType w:start="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E0693" w14:textId="77777777" w:rsidR="00B9579B" w:rsidRDefault="00B9579B">
      <w:pPr>
        <w:spacing w:line="240" w:lineRule="auto"/>
      </w:pPr>
      <w:r>
        <w:separator/>
      </w:r>
    </w:p>
  </w:endnote>
  <w:endnote w:type="continuationSeparator" w:id="0">
    <w:p w14:paraId="6A3A1B09" w14:textId="77777777" w:rsidR="00B9579B" w:rsidRDefault="00B9579B">
      <w:pPr>
        <w:spacing w:line="240" w:lineRule="auto"/>
      </w:pPr>
      <w:r>
        <w:continuationSeparator/>
      </w:r>
    </w:p>
  </w:endnote>
  <w:endnote w:type="continuationNotice" w:id="1">
    <w:p w14:paraId="7FACC312" w14:textId="77777777" w:rsidR="00B9579B" w:rsidRDefault="00B957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Times New Roman"/>
    <w:charset w:val="00"/>
    <w:family w:val="auto"/>
    <w:pitch w:val="variable"/>
    <w:sig w:usb0="E00002FF" w:usb1="4000201B" w:usb2="00000028" w:usb3="00000000" w:csb0="0000019F" w:csb1="00000000"/>
    <w:embedRegular r:id="rId1" w:fontKey="{CEB841D7-1147-4CE1-9CA6-3379683A1213}"/>
    <w:embedBold r:id="rId2" w:fontKey="{C50F3838-C226-4805-B876-BC527054DE32}"/>
    <w:embedItalic r:id="rId3" w:fontKey="{21A33831-0BAC-408F-A92A-5D54059629E9}"/>
    <w:embedBoldItalic r:id="rId4" w:fontKey="{2C582E3D-95F3-48F8-B5A3-0F721AF3073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0131B52F-D22A-4BD7-828C-A369DFF1CF53}"/>
    <w:embedBold r:id="rId6" w:fontKey="{B837C408-740F-49DD-BF3F-317B197FE9B5}"/>
    <w:embedItalic r:id="rId7" w:fontKey="{D204FC66-6097-4F9D-BA0F-8FB0DA21DCC5}"/>
    <w:embedBoldItalic r:id="rId8" w:fontKey="{64115EDC-0875-4B89-94B0-C84CA7E05636}"/>
  </w:font>
  <w:font w:name="Cambria Math">
    <w:panose1 w:val="02040503050406030204"/>
    <w:charset w:val="00"/>
    <w:family w:val="roman"/>
    <w:pitch w:val="variable"/>
    <w:sig w:usb0="E00006FF" w:usb1="420024FF" w:usb2="02000000" w:usb3="00000000" w:csb0="0000019F" w:csb1="00000000"/>
    <w:embedRegular r:id="rId9" w:fontKey="{B00CCAAA-ADA3-4365-88AB-FA060352144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37352" w14:textId="77777777" w:rsidR="00543CBD" w:rsidRDefault="00543CB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5BAFA" w14:textId="23FD5FA1" w:rsidR="004B3A29" w:rsidRPr="007B448B" w:rsidRDefault="00543CBD" w:rsidP="001D3BFB">
    <w:pPr>
      <w:pStyle w:val="Fuzeile"/>
      <w:rPr>
        <w:szCs w:val="22"/>
      </w:rPr>
    </w:pPr>
    <w:r>
      <w:rPr>
        <w:noProof/>
      </w:rPr>
      <mc:AlternateContent>
        <mc:Choice Requires="wps">
          <w:drawing>
            <wp:anchor distT="0" distB="0" distL="114300" distR="114300" simplePos="0" relativeHeight="251658241" behindDoc="0" locked="0" layoutInCell="1" allowOverlap="1" wp14:anchorId="366CD83E" wp14:editId="5C8EFA2F">
              <wp:simplePos x="0" y="0"/>
              <wp:positionH relativeFrom="column">
                <wp:posOffset>-1185627</wp:posOffset>
              </wp:positionH>
              <wp:positionV relativeFrom="paragraph">
                <wp:posOffset>-472440</wp:posOffset>
              </wp:positionV>
              <wp:extent cx="1086886" cy="322346"/>
              <wp:effectExtent l="306070" t="0" r="30543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86886" cy="322346"/>
                      </a:xfrm>
                      <a:prstGeom prst="rect">
                        <a:avLst/>
                      </a:prstGeom>
                      <a:noFill/>
                      <a:ln>
                        <a:noFill/>
                      </a:ln>
                    </wps:spPr>
                    <wps:txbx>
                      <w:txbxContent>
                        <w:p w14:paraId="14618FDD" w14:textId="77777777" w:rsidR="00543CBD" w:rsidRPr="00787B6E" w:rsidRDefault="00543CBD" w:rsidP="00543CBD">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CD83E" id="Rechteck 1" o:spid="_x0000_s1028" style="position:absolute;margin-left:-93.35pt;margin-top:-37.2pt;width:85.6pt;height:25.4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" filled="f" stroked="f">
              <v:textbox style="layout-flow:vertical;mso-layout-flow-alt:bottom-to-top">
                <w:txbxContent>
                  <w:p w14:paraId="14618FDD" w14:textId="77777777" w:rsidR="00543CBD" w:rsidRPr="00787B6E" w:rsidRDefault="00543CBD" w:rsidP="00543CBD">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A1843" w14:textId="77777777" w:rsidR="00543CBD" w:rsidRDefault="00543C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A0A17" w14:textId="77777777" w:rsidR="00B9579B" w:rsidRPr="00777A2F" w:rsidRDefault="00B9579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3FC1275" w14:textId="77777777" w:rsidR="00B9579B" w:rsidRDefault="00B9579B">
      <w:r>
        <w:continuationSeparator/>
      </w:r>
    </w:p>
  </w:footnote>
  <w:footnote w:type="continuationNotice" w:id="1">
    <w:p w14:paraId="3A6BDC9F" w14:textId="77777777" w:rsidR="00B9579B" w:rsidRDefault="00B9579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98602" w14:textId="77777777" w:rsidR="00543CBD" w:rsidRDefault="00543CB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2B770" w14:textId="36193FBF" w:rsidR="007B448B" w:rsidRPr="00471C37"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6291427" wp14:editId="40F6EA7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BC8E0D6"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471C37">
      <w:rPr>
        <w:lang w:val="de-CH"/>
      </w:rPr>
      <w:t>BILDUNGSGERECHTIGKEIT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471C37">
      <w:rPr>
        <w:b w:val="0"/>
        <w:bCs/>
        <w:lang w:val="de-CH"/>
      </w:rPr>
      <w:t>30</w:t>
    </w:r>
    <w:r w:rsidR="00237079" w:rsidRPr="00237079">
      <w:rPr>
        <w:b w:val="0"/>
        <w:bCs/>
        <w:lang w:val="de-CH"/>
      </w:rPr>
      <w:t xml:space="preserve">, </w:t>
    </w:r>
    <w:r w:rsidR="00471C37">
      <w:rPr>
        <w:b w:val="0"/>
        <w:bCs/>
        <w:lang w:val="de-CH"/>
      </w:rPr>
      <w:t>07</w:t>
    </w:r>
    <w:r w:rsidR="00237079" w:rsidRPr="00237079">
      <w:rPr>
        <w:b w:val="0"/>
        <w:bCs/>
        <w:lang w:val="de-CH"/>
      </w:rPr>
      <w:t>/</w:t>
    </w:r>
    <w:r w:rsidR="00471C37">
      <w:rPr>
        <w:b w:val="0"/>
        <w:bCs/>
        <w:lang w:val="de-CH"/>
      </w:rPr>
      <w:t>2024</w:t>
    </w:r>
  </w:p>
  <w:p w14:paraId="0433FB70" w14:textId="47098656" w:rsidR="004B3A29" w:rsidRPr="00471C37" w:rsidRDefault="00B7489C" w:rsidP="007B448B">
    <w:pPr>
      <w:pStyle w:val="Themenschwerpunkt"/>
      <w:rPr>
        <w:b w:val="0"/>
        <w:bCs/>
        <w:lang w:val="de-CH"/>
      </w:rPr>
    </w:pPr>
    <w:r w:rsidRPr="00471C37">
      <w:rPr>
        <w:b w:val="0"/>
        <w:bCs/>
        <w:lang w:val="de-CH"/>
      </w:rPr>
      <w:t xml:space="preserve">| </w:t>
    </w:r>
    <w:r w:rsidR="00B71621" w:rsidRPr="00471C37">
      <w:rPr>
        <w:b w:val="0"/>
        <w:bCs/>
        <w:lang w:val="de-CH"/>
      </w:rPr>
      <w:t>ARTI</w:t>
    </w:r>
    <w:r w:rsidR="00237079" w:rsidRPr="00471C37">
      <w:rPr>
        <w:b w:val="0"/>
        <w:bCs/>
        <w:lang w:val="de-CH"/>
      </w:rPr>
      <w:t>KEL</w:t>
    </w:r>
    <w:r w:rsidR="007B448B" w:rsidRPr="00471C37">
      <w:rPr>
        <w:b w:val="0"/>
        <w:bCs/>
        <w:lang w:val="de-CH"/>
      </w:rPr>
      <w:tab/>
    </w:r>
    <w:r w:rsidR="007B448B" w:rsidRPr="00471C37">
      <w:rPr>
        <w:b w:val="0"/>
        <w:bCs/>
        <w:lang w:val="de-CH"/>
      </w:rPr>
      <w:tab/>
    </w:r>
  </w:p>
  <w:p w14:paraId="5941B08F" w14:textId="77777777" w:rsidR="00237079" w:rsidRPr="00471C37"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875C5" w14:textId="77777777" w:rsidR="00543CBD" w:rsidRDefault="00543CB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5C46633"/>
    <w:multiLevelType w:val="hybridMultilevel"/>
    <w:tmpl w:val="BB38D620"/>
    <w:lvl w:ilvl="0" w:tplc="D0BC3C4C">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1CC6015"/>
    <w:multiLevelType w:val="hybridMultilevel"/>
    <w:tmpl w:val="879CE4A6"/>
    <w:lvl w:ilvl="0" w:tplc="471EC3AE">
      <w:start w:val="1"/>
      <w:numFmt w:val="bullet"/>
      <w:lvlText w:val=""/>
      <w:lvlJc w:val="left"/>
      <w:pPr>
        <w:ind w:left="720" w:hanging="360"/>
      </w:pPr>
      <w:rPr>
        <w:rFonts w:ascii="Symbol" w:hAnsi="Symbol"/>
      </w:rPr>
    </w:lvl>
    <w:lvl w:ilvl="1" w:tplc="A30C7C8A">
      <w:start w:val="1"/>
      <w:numFmt w:val="bullet"/>
      <w:lvlText w:val=""/>
      <w:lvlJc w:val="left"/>
      <w:pPr>
        <w:ind w:left="720" w:hanging="360"/>
      </w:pPr>
      <w:rPr>
        <w:rFonts w:ascii="Symbol" w:hAnsi="Symbol"/>
      </w:rPr>
    </w:lvl>
    <w:lvl w:ilvl="2" w:tplc="5D6A2F2A">
      <w:start w:val="1"/>
      <w:numFmt w:val="bullet"/>
      <w:lvlText w:val=""/>
      <w:lvlJc w:val="left"/>
      <w:pPr>
        <w:ind w:left="720" w:hanging="360"/>
      </w:pPr>
      <w:rPr>
        <w:rFonts w:ascii="Symbol" w:hAnsi="Symbol"/>
      </w:rPr>
    </w:lvl>
    <w:lvl w:ilvl="3" w:tplc="DDE6439A">
      <w:start w:val="1"/>
      <w:numFmt w:val="bullet"/>
      <w:lvlText w:val=""/>
      <w:lvlJc w:val="left"/>
      <w:pPr>
        <w:ind w:left="720" w:hanging="360"/>
      </w:pPr>
      <w:rPr>
        <w:rFonts w:ascii="Symbol" w:hAnsi="Symbol"/>
      </w:rPr>
    </w:lvl>
    <w:lvl w:ilvl="4" w:tplc="D7BC07DE">
      <w:start w:val="1"/>
      <w:numFmt w:val="bullet"/>
      <w:lvlText w:val=""/>
      <w:lvlJc w:val="left"/>
      <w:pPr>
        <w:ind w:left="720" w:hanging="360"/>
      </w:pPr>
      <w:rPr>
        <w:rFonts w:ascii="Symbol" w:hAnsi="Symbol"/>
      </w:rPr>
    </w:lvl>
    <w:lvl w:ilvl="5" w:tplc="41A494AC">
      <w:start w:val="1"/>
      <w:numFmt w:val="bullet"/>
      <w:lvlText w:val=""/>
      <w:lvlJc w:val="left"/>
      <w:pPr>
        <w:ind w:left="720" w:hanging="360"/>
      </w:pPr>
      <w:rPr>
        <w:rFonts w:ascii="Symbol" w:hAnsi="Symbol"/>
      </w:rPr>
    </w:lvl>
    <w:lvl w:ilvl="6" w:tplc="14D45E70">
      <w:start w:val="1"/>
      <w:numFmt w:val="bullet"/>
      <w:lvlText w:val=""/>
      <w:lvlJc w:val="left"/>
      <w:pPr>
        <w:ind w:left="720" w:hanging="360"/>
      </w:pPr>
      <w:rPr>
        <w:rFonts w:ascii="Symbol" w:hAnsi="Symbol"/>
      </w:rPr>
    </w:lvl>
    <w:lvl w:ilvl="7" w:tplc="84BCBB38">
      <w:start w:val="1"/>
      <w:numFmt w:val="bullet"/>
      <w:lvlText w:val=""/>
      <w:lvlJc w:val="left"/>
      <w:pPr>
        <w:ind w:left="720" w:hanging="360"/>
      </w:pPr>
      <w:rPr>
        <w:rFonts w:ascii="Symbol" w:hAnsi="Symbol"/>
      </w:rPr>
    </w:lvl>
    <w:lvl w:ilvl="8" w:tplc="CE3434B4">
      <w:start w:val="1"/>
      <w:numFmt w:val="bullet"/>
      <w:lvlText w:val=""/>
      <w:lvlJc w:val="left"/>
      <w:pPr>
        <w:ind w:left="720" w:hanging="360"/>
      </w:pPr>
      <w:rPr>
        <w:rFonts w:ascii="Symbol" w:hAnsi="Symbol"/>
      </w:r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430904185">
    <w:abstractNumId w:val="14"/>
  </w:num>
  <w:num w:numId="2" w16cid:durableId="684598050">
    <w:abstractNumId w:val="8"/>
  </w:num>
  <w:num w:numId="3" w16cid:durableId="980815406">
    <w:abstractNumId w:val="3"/>
  </w:num>
  <w:num w:numId="4" w16cid:durableId="107892997">
    <w:abstractNumId w:val="2"/>
  </w:num>
  <w:num w:numId="5" w16cid:durableId="629672811">
    <w:abstractNumId w:val="1"/>
  </w:num>
  <w:num w:numId="6" w16cid:durableId="606278241">
    <w:abstractNumId w:val="0"/>
  </w:num>
  <w:num w:numId="7" w16cid:durableId="1063068096">
    <w:abstractNumId w:val="9"/>
  </w:num>
  <w:num w:numId="8" w16cid:durableId="166942637">
    <w:abstractNumId w:val="7"/>
  </w:num>
  <w:num w:numId="9" w16cid:durableId="568006511">
    <w:abstractNumId w:val="6"/>
  </w:num>
  <w:num w:numId="10" w16cid:durableId="1578855919">
    <w:abstractNumId w:val="5"/>
  </w:num>
  <w:num w:numId="11" w16cid:durableId="221134033">
    <w:abstractNumId w:val="4"/>
  </w:num>
  <w:num w:numId="12" w16cid:durableId="317198713">
    <w:abstractNumId w:val="21"/>
  </w:num>
  <w:num w:numId="13" w16cid:durableId="569385924">
    <w:abstractNumId w:val="29"/>
  </w:num>
  <w:num w:numId="14" w16cid:durableId="338309431">
    <w:abstractNumId w:val="11"/>
  </w:num>
  <w:num w:numId="15" w16cid:durableId="416363642">
    <w:abstractNumId w:val="27"/>
  </w:num>
  <w:num w:numId="16" w16cid:durableId="1328243186">
    <w:abstractNumId w:val="39"/>
  </w:num>
  <w:num w:numId="17" w16cid:durableId="1893466978">
    <w:abstractNumId w:val="12"/>
  </w:num>
  <w:num w:numId="18" w16cid:durableId="1280452346">
    <w:abstractNumId w:val="34"/>
  </w:num>
  <w:num w:numId="19" w16cid:durableId="349333169">
    <w:abstractNumId w:val="42"/>
  </w:num>
  <w:num w:numId="20" w16cid:durableId="417674377">
    <w:abstractNumId w:val="40"/>
  </w:num>
  <w:num w:numId="21" w16cid:durableId="1147549739">
    <w:abstractNumId w:val="28"/>
  </w:num>
  <w:num w:numId="22" w16cid:durableId="844592137">
    <w:abstractNumId w:val="15"/>
  </w:num>
  <w:num w:numId="23" w16cid:durableId="828791250">
    <w:abstractNumId w:val="32"/>
  </w:num>
  <w:num w:numId="24" w16cid:durableId="1775975191">
    <w:abstractNumId w:val="36"/>
  </w:num>
  <w:num w:numId="25" w16cid:durableId="1933397744">
    <w:abstractNumId w:val="22"/>
  </w:num>
  <w:num w:numId="26" w16cid:durableId="627584451">
    <w:abstractNumId w:val="23"/>
  </w:num>
  <w:num w:numId="27" w16cid:durableId="1053232768">
    <w:abstractNumId w:val="30"/>
  </w:num>
  <w:num w:numId="28" w16cid:durableId="1670936382">
    <w:abstractNumId w:val="25"/>
  </w:num>
  <w:num w:numId="29" w16cid:durableId="608239963">
    <w:abstractNumId w:val="37"/>
  </w:num>
  <w:num w:numId="30" w16cid:durableId="1292246858">
    <w:abstractNumId w:val="38"/>
  </w:num>
  <w:num w:numId="31" w16cid:durableId="1418552305">
    <w:abstractNumId w:val="18"/>
  </w:num>
  <w:num w:numId="32" w16cid:durableId="872116591">
    <w:abstractNumId w:val="17"/>
  </w:num>
  <w:num w:numId="33" w16cid:durableId="774791214">
    <w:abstractNumId w:val="31"/>
  </w:num>
  <w:num w:numId="34" w16cid:durableId="1864128644">
    <w:abstractNumId w:val="41"/>
  </w:num>
  <w:num w:numId="35" w16cid:durableId="61560536">
    <w:abstractNumId w:val="35"/>
  </w:num>
  <w:num w:numId="36" w16cid:durableId="335810106">
    <w:abstractNumId w:val="26"/>
  </w:num>
  <w:num w:numId="37" w16cid:durableId="1018964034">
    <w:abstractNumId w:val="20"/>
  </w:num>
  <w:num w:numId="38" w16cid:durableId="1096906124">
    <w:abstractNumId w:val="33"/>
  </w:num>
  <w:num w:numId="39" w16cid:durableId="8607350">
    <w:abstractNumId w:val="13"/>
  </w:num>
  <w:num w:numId="40" w16cid:durableId="741416878">
    <w:abstractNumId w:val="10"/>
  </w:num>
  <w:num w:numId="41" w16cid:durableId="862280230">
    <w:abstractNumId w:val="16"/>
  </w:num>
  <w:num w:numId="42" w16cid:durableId="1660039700">
    <w:abstractNumId w:val="19"/>
  </w:num>
  <w:num w:numId="43" w16cid:durableId="3372727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243"/>
    <w:rsid w:val="00001636"/>
    <w:rsid w:val="00004F44"/>
    <w:rsid w:val="00011806"/>
    <w:rsid w:val="00014325"/>
    <w:rsid w:val="00016BFF"/>
    <w:rsid w:val="00020465"/>
    <w:rsid w:val="000208F6"/>
    <w:rsid w:val="00020EAE"/>
    <w:rsid w:val="00021888"/>
    <w:rsid w:val="00024143"/>
    <w:rsid w:val="00024A79"/>
    <w:rsid w:val="000302CB"/>
    <w:rsid w:val="00032FC2"/>
    <w:rsid w:val="0003314D"/>
    <w:rsid w:val="00033C8F"/>
    <w:rsid w:val="000352CE"/>
    <w:rsid w:val="00036AFC"/>
    <w:rsid w:val="00046B7C"/>
    <w:rsid w:val="000477A3"/>
    <w:rsid w:val="00051BE9"/>
    <w:rsid w:val="00053353"/>
    <w:rsid w:val="00055422"/>
    <w:rsid w:val="000557F3"/>
    <w:rsid w:val="00062910"/>
    <w:rsid w:val="000629F9"/>
    <w:rsid w:val="000632F4"/>
    <w:rsid w:val="000636BD"/>
    <w:rsid w:val="00066499"/>
    <w:rsid w:val="000725B3"/>
    <w:rsid w:val="000759D7"/>
    <w:rsid w:val="000830EE"/>
    <w:rsid w:val="00083979"/>
    <w:rsid w:val="00093A05"/>
    <w:rsid w:val="00094EB0"/>
    <w:rsid w:val="000A4C62"/>
    <w:rsid w:val="000B07FF"/>
    <w:rsid w:val="000B1414"/>
    <w:rsid w:val="000B4F4E"/>
    <w:rsid w:val="000B5BB8"/>
    <w:rsid w:val="000C0233"/>
    <w:rsid w:val="000C1F55"/>
    <w:rsid w:val="000D0BC7"/>
    <w:rsid w:val="000D312C"/>
    <w:rsid w:val="000D3765"/>
    <w:rsid w:val="000D3C1B"/>
    <w:rsid w:val="000E4758"/>
    <w:rsid w:val="000E4C6D"/>
    <w:rsid w:val="000E53DD"/>
    <w:rsid w:val="000E6A66"/>
    <w:rsid w:val="000E732C"/>
    <w:rsid w:val="000F0956"/>
    <w:rsid w:val="000F4B54"/>
    <w:rsid w:val="000F5288"/>
    <w:rsid w:val="000F5C66"/>
    <w:rsid w:val="000F760A"/>
    <w:rsid w:val="001002B2"/>
    <w:rsid w:val="0010150A"/>
    <w:rsid w:val="0010334E"/>
    <w:rsid w:val="001036EB"/>
    <w:rsid w:val="001114E2"/>
    <w:rsid w:val="001150A5"/>
    <w:rsid w:val="00115EF5"/>
    <w:rsid w:val="001161D6"/>
    <w:rsid w:val="00117142"/>
    <w:rsid w:val="00120CBF"/>
    <w:rsid w:val="001229B7"/>
    <w:rsid w:val="00124D17"/>
    <w:rsid w:val="001258FD"/>
    <w:rsid w:val="001263DD"/>
    <w:rsid w:val="0012743D"/>
    <w:rsid w:val="0013195A"/>
    <w:rsid w:val="001505FA"/>
    <w:rsid w:val="00151BCA"/>
    <w:rsid w:val="00153133"/>
    <w:rsid w:val="00157D7E"/>
    <w:rsid w:val="00160B47"/>
    <w:rsid w:val="00163D70"/>
    <w:rsid w:val="00163E1F"/>
    <w:rsid w:val="00163F88"/>
    <w:rsid w:val="00167858"/>
    <w:rsid w:val="001828A7"/>
    <w:rsid w:val="00184BBC"/>
    <w:rsid w:val="00187046"/>
    <w:rsid w:val="001871BA"/>
    <w:rsid w:val="00190E94"/>
    <w:rsid w:val="00192CE7"/>
    <w:rsid w:val="0019483B"/>
    <w:rsid w:val="0019532A"/>
    <w:rsid w:val="001A22BF"/>
    <w:rsid w:val="001A2EEC"/>
    <w:rsid w:val="001B05BD"/>
    <w:rsid w:val="001B16E8"/>
    <w:rsid w:val="001B25F3"/>
    <w:rsid w:val="001B48B0"/>
    <w:rsid w:val="001B7781"/>
    <w:rsid w:val="001C52AD"/>
    <w:rsid w:val="001C5966"/>
    <w:rsid w:val="001D0830"/>
    <w:rsid w:val="001D1CCD"/>
    <w:rsid w:val="001D3BFB"/>
    <w:rsid w:val="001D5011"/>
    <w:rsid w:val="001E2922"/>
    <w:rsid w:val="001E3BE9"/>
    <w:rsid w:val="001F0D06"/>
    <w:rsid w:val="001F2A01"/>
    <w:rsid w:val="001F3E7D"/>
    <w:rsid w:val="001F77A0"/>
    <w:rsid w:val="00202A19"/>
    <w:rsid w:val="0020358C"/>
    <w:rsid w:val="0020467E"/>
    <w:rsid w:val="00207B55"/>
    <w:rsid w:val="00207FE6"/>
    <w:rsid w:val="00211B97"/>
    <w:rsid w:val="00212690"/>
    <w:rsid w:val="00215108"/>
    <w:rsid w:val="002154A7"/>
    <w:rsid w:val="0022334F"/>
    <w:rsid w:val="00227E71"/>
    <w:rsid w:val="00230D3C"/>
    <w:rsid w:val="00235787"/>
    <w:rsid w:val="00235A6C"/>
    <w:rsid w:val="00237079"/>
    <w:rsid w:val="002372E0"/>
    <w:rsid w:val="00241303"/>
    <w:rsid w:val="00241BB9"/>
    <w:rsid w:val="002443A6"/>
    <w:rsid w:val="002531BA"/>
    <w:rsid w:val="00255508"/>
    <w:rsid w:val="002609E7"/>
    <w:rsid w:val="002621B9"/>
    <w:rsid w:val="00262F56"/>
    <w:rsid w:val="00263A3D"/>
    <w:rsid w:val="00266C2E"/>
    <w:rsid w:val="00270696"/>
    <w:rsid w:val="00270A6E"/>
    <w:rsid w:val="00274EA0"/>
    <w:rsid w:val="00276B2C"/>
    <w:rsid w:val="002837C6"/>
    <w:rsid w:val="00284EA0"/>
    <w:rsid w:val="00284EA8"/>
    <w:rsid w:val="002862AA"/>
    <w:rsid w:val="00295DB2"/>
    <w:rsid w:val="002A01C5"/>
    <w:rsid w:val="002A04B0"/>
    <w:rsid w:val="002A3D7A"/>
    <w:rsid w:val="002A437F"/>
    <w:rsid w:val="002A796A"/>
    <w:rsid w:val="002B28D4"/>
    <w:rsid w:val="002B7CF4"/>
    <w:rsid w:val="002C08C6"/>
    <w:rsid w:val="002C376A"/>
    <w:rsid w:val="002C5235"/>
    <w:rsid w:val="002D39A1"/>
    <w:rsid w:val="002D63E7"/>
    <w:rsid w:val="002D7D31"/>
    <w:rsid w:val="002E0A9E"/>
    <w:rsid w:val="002E13B6"/>
    <w:rsid w:val="002E2640"/>
    <w:rsid w:val="002E3785"/>
    <w:rsid w:val="002E5374"/>
    <w:rsid w:val="002F1021"/>
    <w:rsid w:val="002F2BA7"/>
    <w:rsid w:val="0030447C"/>
    <w:rsid w:val="003046CF"/>
    <w:rsid w:val="00307EC7"/>
    <w:rsid w:val="00311F8A"/>
    <w:rsid w:val="00320CF3"/>
    <w:rsid w:val="00322024"/>
    <w:rsid w:val="003222A6"/>
    <w:rsid w:val="00327B57"/>
    <w:rsid w:val="0033398D"/>
    <w:rsid w:val="0033441C"/>
    <w:rsid w:val="00341499"/>
    <w:rsid w:val="00342F2E"/>
    <w:rsid w:val="00344C77"/>
    <w:rsid w:val="00346830"/>
    <w:rsid w:val="00352CED"/>
    <w:rsid w:val="00355B97"/>
    <w:rsid w:val="003568A4"/>
    <w:rsid w:val="00356D38"/>
    <w:rsid w:val="00360D6A"/>
    <w:rsid w:val="00361DEA"/>
    <w:rsid w:val="003620CF"/>
    <w:rsid w:val="0036569A"/>
    <w:rsid w:val="00365730"/>
    <w:rsid w:val="0037232C"/>
    <w:rsid w:val="003723D7"/>
    <w:rsid w:val="00375F4A"/>
    <w:rsid w:val="003809F3"/>
    <w:rsid w:val="003819B7"/>
    <w:rsid w:val="00381AB8"/>
    <w:rsid w:val="00381C33"/>
    <w:rsid w:val="00381F07"/>
    <w:rsid w:val="00382314"/>
    <w:rsid w:val="00383074"/>
    <w:rsid w:val="00384AA5"/>
    <w:rsid w:val="0038585F"/>
    <w:rsid w:val="00386CFF"/>
    <w:rsid w:val="003918D4"/>
    <w:rsid w:val="003955F6"/>
    <w:rsid w:val="003A0EA7"/>
    <w:rsid w:val="003A1686"/>
    <w:rsid w:val="003A2717"/>
    <w:rsid w:val="003A607F"/>
    <w:rsid w:val="003B233B"/>
    <w:rsid w:val="003B4C81"/>
    <w:rsid w:val="003C6CC5"/>
    <w:rsid w:val="003D011D"/>
    <w:rsid w:val="003D221C"/>
    <w:rsid w:val="003D2F63"/>
    <w:rsid w:val="003D502F"/>
    <w:rsid w:val="003D7B41"/>
    <w:rsid w:val="003E022D"/>
    <w:rsid w:val="003E0578"/>
    <w:rsid w:val="003E71C3"/>
    <w:rsid w:val="003E79A1"/>
    <w:rsid w:val="003F55DF"/>
    <w:rsid w:val="003F6A6B"/>
    <w:rsid w:val="003F78C2"/>
    <w:rsid w:val="003F79DF"/>
    <w:rsid w:val="00400863"/>
    <w:rsid w:val="00401DDF"/>
    <w:rsid w:val="004027D5"/>
    <w:rsid w:val="00404F18"/>
    <w:rsid w:val="004108D3"/>
    <w:rsid w:val="00411D78"/>
    <w:rsid w:val="00413702"/>
    <w:rsid w:val="00414332"/>
    <w:rsid w:val="00414B27"/>
    <w:rsid w:val="0041508F"/>
    <w:rsid w:val="00416841"/>
    <w:rsid w:val="00421D05"/>
    <w:rsid w:val="00426606"/>
    <w:rsid w:val="00426E5C"/>
    <w:rsid w:val="00432F97"/>
    <w:rsid w:val="004416A5"/>
    <w:rsid w:val="00441DEF"/>
    <w:rsid w:val="00441F45"/>
    <w:rsid w:val="004421C7"/>
    <w:rsid w:val="004435D3"/>
    <w:rsid w:val="0045144F"/>
    <w:rsid w:val="00454BCF"/>
    <w:rsid w:val="004609F9"/>
    <w:rsid w:val="00461309"/>
    <w:rsid w:val="004637AA"/>
    <w:rsid w:val="00466D36"/>
    <w:rsid w:val="00467E46"/>
    <w:rsid w:val="0047168D"/>
    <w:rsid w:val="00471C37"/>
    <w:rsid w:val="00472352"/>
    <w:rsid w:val="004724C2"/>
    <w:rsid w:val="00473B12"/>
    <w:rsid w:val="004815EE"/>
    <w:rsid w:val="004848C2"/>
    <w:rsid w:val="00486270"/>
    <w:rsid w:val="00487E1B"/>
    <w:rsid w:val="004916AC"/>
    <w:rsid w:val="004927CF"/>
    <w:rsid w:val="004A06F3"/>
    <w:rsid w:val="004A2854"/>
    <w:rsid w:val="004A6C10"/>
    <w:rsid w:val="004B1834"/>
    <w:rsid w:val="004B29F8"/>
    <w:rsid w:val="004B3001"/>
    <w:rsid w:val="004B3A29"/>
    <w:rsid w:val="004B437C"/>
    <w:rsid w:val="004B47AB"/>
    <w:rsid w:val="004C13EB"/>
    <w:rsid w:val="004C28E2"/>
    <w:rsid w:val="004C4A76"/>
    <w:rsid w:val="004C4D08"/>
    <w:rsid w:val="004D036C"/>
    <w:rsid w:val="004D1306"/>
    <w:rsid w:val="004D1F1A"/>
    <w:rsid w:val="004D542D"/>
    <w:rsid w:val="004D58AC"/>
    <w:rsid w:val="004E09A5"/>
    <w:rsid w:val="004E232F"/>
    <w:rsid w:val="004E2CF2"/>
    <w:rsid w:val="004E72AE"/>
    <w:rsid w:val="004E7BCB"/>
    <w:rsid w:val="004F0A7E"/>
    <w:rsid w:val="004F2010"/>
    <w:rsid w:val="004F5C23"/>
    <w:rsid w:val="004F5F3E"/>
    <w:rsid w:val="00500375"/>
    <w:rsid w:val="00503D63"/>
    <w:rsid w:val="005055D5"/>
    <w:rsid w:val="00505DF4"/>
    <w:rsid w:val="00511F7B"/>
    <w:rsid w:val="005154BD"/>
    <w:rsid w:val="00521559"/>
    <w:rsid w:val="00530E98"/>
    <w:rsid w:val="00531151"/>
    <w:rsid w:val="00531EF1"/>
    <w:rsid w:val="00531F94"/>
    <w:rsid w:val="00533DA1"/>
    <w:rsid w:val="00535DFA"/>
    <w:rsid w:val="00537DA5"/>
    <w:rsid w:val="00537E03"/>
    <w:rsid w:val="00537EA6"/>
    <w:rsid w:val="00543CBD"/>
    <w:rsid w:val="00545DF1"/>
    <w:rsid w:val="00546350"/>
    <w:rsid w:val="00546490"/>
    <w:rsid w:val="00547CEF"/>
    <w:rsid w:val="005503C6"/>
    <w:rsid w:val="00552CA8"/>
    <w:rsid w:val="0055520E"/>
    <w:rsid w:val="0056578A"/>
    <w:rsid w:val="0056595B"/>
    <w:rsid w:val="00565FD8"/>
    <w:rsid w:val="005660A0"/>
    <w:rsid w:val="0057033F"/>
    <w:rsid w:val="00571100"/>
    <w:rsid w:val="00571774"/>
    <w:rsid w:val="00571C0D"/>
    <w:rsid w:val="00572C4C"/>
    <w:rsid w:val="00573D0A"/>
    <w:rsid w:val="005743D1"/>
    <w:rsid w:val="00575AB3"/>
    <w:rsid w:val="0057605E"/>
    <w:rsid w:val="00576E09"/>
    <w:rsid w:val="00577261"/>
    <w:rsid w:val="00581DB2"/>
    <w:rsid w:val="00585ED0"/>
    <w:rsid w:val="0058772F"/>
    <w:rsid w:val="00587EF6"/>
    <w:rsid w:val="00592B57"/>
    <w:rsid w:val="00594747"/>
    <w:rsid w:val="00594844"/>
    <w:rsid w:val="00594EE2"/>
    <w:rsid w:val="005A176E"/>
    <w:rsid w:val="005A646E"/>
    <w:rsid w:val="005A6D3F"/>
    <w:rsid w:val="005A6F41"/>
    <w:rsid w:val="005A7AE7"/>
    <w:rsid w:val="005B5519"/>
    <w:rsid w:val="005B63E3"/>
    <w:rsid w:val="005C0734"/>
    <w:rsid w:val="005C5E64"/>
    <w:rsid w:val="005C6DD2"/>
    <w:rsid w:val="005D15B8"/>
    <w:rsid w:val="005D5539"/>
    <w:rsid w:val="005D6C69"/>
    <w:rsid w:val="005E150A"/>
    <w:rsid w:val="005E178C"/>
    <w:rsid w:val="005E28CB"/>
    <w:rsid w:val="005E6DC2"/>
    <w:rsid w:val="005E7094"/>
    <w:rsid w:val="005E7DD5"/>
    <w:rsid w:val="005F3337"/>
    <w:rsid w:val="005F4718"/>
    <w:rsid w:val="005F5B0A"/>
    <w:rsid w:val="005F74CC"/>
    <w:rsid w:val="00601522"/>
    <w:rsid w:val="00603906"/>
    <w:rsid w:val="0060470D"/>
    <w:rsid w:val="00605486"/>
    <w:rsid w:val="006070E3"/>
    <w:rsid w:val="006111D5"/>
    <w:rsid w:val="006111F5"/>
    <w:rsid w:val="00611618"/>
    <w:rsid w:val="006135E2"/>
    <w:rsid w:val="0062026F"/>
    <w:rsid w:val="00620C01"/>
    <w:rsid w:val="00622A49"/>
    <w:rsid w:val="00622C79"/>
    <w:rsid w:val="00623E11"/>
    <w:rsid w:val="00630CBB"/>
    <w:rsid w:val="006343D2"/>
    <w:rsid w:val="006348C2"/>
    <w:rsid w:val="00635FFE"/>
    <w:rsid w:val="00640356"/>
    <w:rsid w:val="006411DE"/>
    <w:rsid w:val="006448C5"/>
    <w:rsid w:val="0065052A"/>
    <w:rsid w:val="00651BB0"/>
    <w:rsid w:val="00652F00"/>
    <w:rsid w:val="00654AC4"/>
    <w:rsid w:val="006555BD"/>
    <w:rsid w:val="00657CD9"/>
    <w:rsid w:val="00662142"/>
    <w:rsid w:val="00664BDB"/>
    <w:rsid w:val="00666507"/>
    <w:rsid w:val="006676E2"/>
    <w:rsid w:val="00675AE1"/>
    <w:rsid w:val="00676C9D"/>
    <w:rsid w:val="00682B8C"/>
    <w:rsid w:val="00683ED1"/>
    <w:rsid w:val="00685EB4"/>
    <w:rsid w:val="0069251C"/>
    <w:rsid w:val="00696681"/>
    <w:rsid w:val="00696C9A"/>
    <w:rsid w:val="006A4C05"/>
    <w:rsid w:val="006A5C6D"/>
    <w:rsid w:val="006A7CE6"/>
    <w:rsid w:val="006B23CA"/>
    <w:rsid w:val="006B276F"/>
    <w:rsid w:val="006B3C19"/>
    <w:rsid w:val="006B5540"/>
    <w:rsid w:val="006B6F0F"/>
    <w:rsid w:val="006C0546"/>
    <w:rsid w:val="006C2B84"/>
    <w:rsid w:val="006C3DFC"/>
    <w:rsid w:val="006C4027"/>
    <w:rsid w:val="006D1743"/>
    <w:rsid w:val="006D5D28"/>
    <w:rsid w:val="006D7D99"/>
    <w:rsid w:val="006E1A5C"/>
    <w:rsid w:val="006E210A"/>
    <w:rsid w:val="006E260B"/>
    <w:rsid w:val="006E397E"/>
    <w:rsid w:val="006E3AE2"/>
    <w:rsid w:val="006E46C4"/>
    <w:rsid w:val="006F7941"/>
    <w:rsid w:val="00702BE5"/>
    <w:rsid w:val="007077CC"/>
    <w:rsid w:val="00710490"/>
    <w:rsid w:val="007155B8"/>
    <w:rsid w:val="00722EC8"/>
    <w:rsid w:val="00723979"/>
    <w:rsid w:val="00723BB5"/>
    <w:rsid w:val="00724E5B"/>
    <w:rsid w:val="00724F87"/>
    <w:rsid w:val="007342AD"/>
    <w:rsid w:val="00734BA2"/>
    <w:rsid w:val="007373E7"/>
    <w:rsid w:val="007424F5"/>
    <w:rsid w:val="00742A3E"/>
    <w:rsid w:val="0074442C"/>
    <w:rsid w:val="007509A4"/>
    <w:rsid w:val="007515BB"/>
    <w:rsid w:val="007545FE"/>
    <w:rsid w:val="0075672E"/>
    <w:rsid w:val="00757959"/>
    <w:rsid w:val="00762793"/>
    <w:rsid w:val="00763B34"/>
    <w:rsid w:val="00763F3D"/>
    <w:rsid w:val="00764FC4"/>
    <w:rsid w:val="0077054F"/>
    <w:rsid w:val="0077069A"/>
    <w:rsid w:val="00775449"/>
    <w:rsid w:val="00777A2F"/>
    <w:rsid w:val="00777C70"/>
    <w:rsid w:val="00777DA5"/>
    <w:rsid w:val="0078713B"/>
    <w:rsid w:val="00787B6E"/>
    <w:rsid w:val="007905F6"/>
    <w:rsid w:val="00790847"/>
    <w:rsid w:val="007A27EF"/>
    <w:rsid w:val="007A3489"/>
    <w:rsid w:val="007A6AEE"/>
    <w:rsid w:val="007A75E1"/>
    <w:rsid w:val="007A7A9C"/>
    <w:rsid w:val="007B128D"/>
    <w:rsid w:val="007B4390"/>
    <w:rsid w:val="007B448B"/>
    <w:rsid w:val="007B4F54"/>
    <w:rsid w:val="007B5701"/>
    <w:rsid w:val="007B578B"/>
    <w:rsid w:val="007B62B5"/>
    <w:rsid w:val="007B70D6"/>
    <w:rsid w:val="007C0A5F"/>
    <w:rsid w:val="007C4E60"/>
    <w:rsid w:val="007C5AB3"/>
    <w:rsid w:val="007C65DA"/>
    <w:rsid w:val="007C65F9"/>
    <w:rsid w:val="007D0151"/>
    <w:rsid w:val="007D05AE"/>
    <w:rsid w:val="007D7E11"/>
    <w:rsid w:val="007E0240"/>
    <w:rsid w:val="007E3C6E"/>
    <w:rsid w:val="007E3CCB"/>
    <w:rsid w:val="007E78D0"/>
    <w:rsid w:val="007F0A2A"/>
    <w:rsid w:val="007F43B0"/>
    <w:rsid w:val="007F5E1D"/>
    <w:rsid w:val="008002DC"/>
    <w:rsid w:val="00801152"/>
    <w:rsid w:val="00802B80"/>
    <w:rsid w:val="0080610A"/>
    <w:rsid w:val="00807385"/>
    <w:rsid w:val="0081309E"/>
    <w:rsid w:val="00814FE2"/>
    <w:rsid w:val="008152E5"/>
    <w:rsid w:val="00815816"/>
    <w:rsid w:val="00817C4E"/>
    <w:rsid w:val="00825164"/>
    <w:rsid w:val="0082672B"/>
    <w:rsid w:val="00826A64"/>
    <w:rsid w:val="00830A17"/>
    <w:rsid w:val="00832C54"/>
    <w:rsid w:val="00832E1C"/>
    <w:rsid w:val="00834AE0"/>
    <w:rsid w:val="008351F7"/>
    <w:rsid w:val="008368C0"/>
    <w:rsid w:val="00843235"/>
    <w:rsid w:val="00853805"/>
    <w:rsid w:val="00854E09"/>
    <w:rsid w:val="00855097"/>
    <w:rsid w:val="008600BA"/>
    <w:rsid w:val="008605F6"/>
    <w:rsid w:val="00861BD1"/>
    <w:rsid w:val="0086305F"/>
    <w:rsid w:val="00863A5B"/>
    <w:rsid w:val="0086641F"/>
    <w:rsid w:val="00870508"/>
    <w:rsid w:val="00876DB6"/>
    <w:rsid w:val="008829F5"/>
    <w:rsid w:val="00882B9B"/>
    <w:rsid w:val="00883CFF"/>
    <w:rsid w:val="008854C8"/>
    <w:rsid w:val="00886A18"/>
    <w:rsid w:val="0088725D"/>
    <w:rsid w:val="00891E7D"/>
    <w:rsid w:val="008924D4"/>
    <w:rsid w:val="008A2229"/>
    <w:rsid w:val="008A3379"/>
    <w:rsid w:val="008A3612"/>
    <w:rsid w:val="008A6636"/>
    <w:rsid w:val="008B0FE2"/>
    <w:rsid w:val="008B5691"/>
    <w:rsid w:val="008B6128"/>
    <w:rsid w:val="008C0A3E"/>
    <w:rsid w:val="008C2C3D"/>
    <w:rsid w:val="008C2EF8"/>
    <w:rsid w:val="008C6EDB"/>
    <w:rsid w:val="008D07E2"/>
    <w:rsid w:val="008D0CA2"/>
    <w:rsid w:val="008D1807"/>
    <w:rsid w:val="008E144F"/>
    <w:rsid w:val="008E7D74"/>
    <w:rsid w:val="008E7F62"/>
    <w:rsid w:val="008F2E4E"/>
    <w:rsid w:val="008F3B49"/>
    <w:rsid w:val="008F6544"/>
    <w:rsid w:val="008F6DF0"/>
    <w:rsid w:val="008F7C0D"/>
    <w:rsid w:val="00902436"/>
    <w:rsid w:val="00903128"/>
    <w:rsid w:val="00904AE4"/>
    <w:rsid w:val="00904B53"/>
    <w:rsid w:val="00910852"/>
    <w:rsid w:val="009115CE"/>
    <w:rsid w:val="00912E02"/>
    <w:rsid w:val="00916113"/>
    <w:rsid w:val="00916BA4"/>
    <w:rsid w:val="00917D45"/>
    <w:rsid w:val="009207FB"/>
    <w:rsid w:val="00920846"/>
    <w:rsid w:val="00920A21"/>
    <w:rsid w:val="0092297F"/>
    <w:rsid w:val="00924C8F"/>
    <w:rsid w:val="009263EC"/>
    <w:rsid w:val="00934088"/>
    <w:rsid w:val="009372EA"/>
    <w:rsid w:val="00937FD3"/>
    <w:rsid w:val="009406C1"/>
    <w:rsid w:val="00943B46"/>
    <w:rsid w:val="009469D9"/>
    <w:rsid w:val="00950066"/>
    <w:rsid w:val="009552F9"/>
    <w:rsid w:val="009575B1"/>
    <w:rsid w:val="0096197F"/>
    <w:rsid w:val="009660DC"/>
    <w:rsid w:val="00967D5F"/>
    <w:rsid w:val="00970783"/>
    <w:rsid w:val="0097138C"/>
    <w:rsid w:val="00971443"/>
    <w:rsid w:val="0097441E"/>
    <w:rsid w:val="00975036"/>
    <w:rsid w:val="00984368"/>
    <w:rsid w:val="00985126"/>
    <w:rsid w:val="00990529"/>
    <w:rsid w:val="009A3F74"/>
    <w:rsid w:val="009A57A5"/>
    <w:rsid w:val="009A73FC"/>
    <w:rsid w:val="009A7433"/>
    <w:rsid w:val="009A7FF6"/>
    <w:rsid w:val="009B381B"/>
    <w:rsid w:val="009B383A"/>
    <w:rsid w:val="009B39A9"/>
    <w:rsid w:val="009B5334"/>
    <w:rsid w:val="009C2001"/>
    <w:rsid w:val="009C6886"/>
    <w:rsid w:val="009C6DDC"/>
    <w:rsid w:val="009D1886"/>
    <w:rsid w:val="009D1A1B"/>
    <w:rsid w:val="009D4CCF"/>
    <w:rsid w:val="009E5005"/>
    <w:rsid w:val="009F4CD6"/>
    <w:rsid w:val="009F508A"/>
    <w:rsid w:val="009F6A07"/>
    <w:rsid w:val="00A01689"/>
    <w:rsid w:val="00A10362"/>
    <w:rsid w:val="00A11404"/>
    <w:rsid w:val="00A17031"/>
    <w:rsid w:val="00A23BAB"/>
    <w:rsid w:val="00A2680B"/>
    <w:rsid w:val="00A350C4"/>
    <w:rsid w:val="00A37E53"/>
    <w:rsid w:val="00A40918"/>
    <w:rsid w:val="00A448CB"/>
    <w:rsid w:val="00A44B47"/>
    <w:rsid w:val="00A50A1E"/>
    <w:rsid w:val="00A5290B"/>
    <w:rsid w:val="00A543D6"/>
    <w:rsid w:val="00A55E72"/>
    <w:rsid w:val="00A61330"/>
    <w:rsid w:val="00A649C7"/>
    <w:rsid w:val="00A6519B"/>
    <w:rsid w:val="00A659E1"/>
    <w:rsid w:val="00A67AC0"/>
    <w:rsid w:val="00A67C53"/>
    <w:rsid w:val="00A70FCD"/>
    <w:rsid w:val="00A738BD"/>
    <w:rsid w:val="00A77D92"/>
    <w:rsid w:val="00A815F5"/>
    <w:rsid w:val="00A86499"/>
    <w:rsid w:val="00A907C1"/>
    <w:rsid w:val="00A930F4"/>
    <w:rsid w:val="00A93950"/>
    <w:rsid w:val="00AA0CDB"/>
    <w:rsid w:val="00AA2E71"/>
    <w:rsid w:val="00AA2F41"/>
    <w:rsid w:val="00AA7D4C"/>
    <w:rsid w:val="00AB1775"/>
    <w:rsid w:val="00AB3F28"/>
    <w:rsid w:val="00AB4BB5"/>
    <w:rsid w:val="00AB7501"/>
    <w:rsid w:val="00AC20F1"/>
    <w:rsid w:val="00AD20C3"/>
    <w:rsid w:val="00AD3475"/>
    <w:rsid w:val="00AD64BF"/>
    <w:rsid w:val="00AD7943"/>
    <w:rsid w:val="00AD7C7B"/>
    <w:rsid w:val="00AE5769"/>
    <w:rsid w:val="00AE583E"/>
    <w:rsid w:val="00AE5B14"/>
    <w:rsid w:val="00AE5D15"/>
    <w:rsid w:val="00AE631D"/>
    <w:rsid w:val="00AF16EB"/>
    <w:rsid w:val="00B02BE9"/>
    <w:rsid w:val="00B064B5"/>
    <w:rsid w:val="00B23FEC"/>
    <w:rsid w:val="00B24C90"/>
    <w:rsid w:val="00B25145"/>
    <w:rsid w:val="00B2622D"/>
    <w:rsid w:val="00B35645"/>
    <w:rsid w:val="00B42891"/>
    <w:rsid w:val="00B44D06"/>
    <w:rsid w:val="00B45BC6"/>
    <w:rsid w:val="00B462BB"/>
    <w:rsid w:val="00B47B2D"/>
    <w:rsid w:val="00B50E21"/>
    <w:rsid w:val="00B53242"/>
    <w:rsid w:val="00B54E5C"/>
    <w:rsid w:val="00B55665"/>
    <w:rsid w:val="00B57C4D"/>
    <w:rsid w:val="00B64EBE"/>
    <w:rsid w:val="00B67C13"/>
    <w:rsid w:val="00B71621"/>
    <w:rsid w:val="00B73AE5"/>
    <w:rsid w:val="00B7489C"/>
    <w:rsid w:val="00B7596B"/>
    <w:rsid w:val="00B76AFF"/>
    <w:rsid w:val="00B87FD5"/>
    <w:rsid w:val="00B9280E"/>
    <w:rsid w:val="00B9579B"/>
    <w:rsid w:val="00BA50D5"/>
    <w:rsid w:val="00BA58E3"/>
    <w:rsid w:val="00BB0439"/>
    <w:rsid w:val="00BB3270"/>
    <w:rsid w:val="00BB5D43"/>
    <w:rsid w:val="00BB7EDB"/>
    <w:rsid w:val="00BC32F4"/>
    <w:rsid w:val="00BC425B"/>
    <w:rsid w:val="00BD4FAD"/>
    <w:rsid w:val="00BD74F7"/>
    <w:rsid w:val="00BE1C80"/>
    <w:rsid w:val="00BE3F83"/>
    <w:rsid w:val="00BF53CC"/>
    <w:rsid w:val="00C14C01"/>
    <w:rsid w:val="00C15ADB"/>
    <w:rsid w:val="00C1645A"/>
    <w:rsid w:val="00C1680B"/>
    <w:rsid w:val="00C201F8"/>
    <w:rsid w:val="00C24833"/>
    <w:rsid w:val="00C26351"/>
    <w:rsid w:val="00C32A8B"/>
    <w:rsid w:val="00C350DC"/>
    <w:rsid w:val="00C408AF"/>
    <w:rsid w:val="00C43705"/>
    <w:rsid w:val="00C4712B"/>
    <w:rsid w:val="00C50710"/>
    <w:rsid w:val="00C50F42"/>
    <w:rsid w:val="00C5362C"/>
    <w:rsid w:val="00C53EEB"/>
    <w:rsid w:val="00C55DAF"/>
    <w:rsid w:val="00C55F11"/>
    <w:rsid w:val="00C602B1"/>
    <w:rsid w:val="00C60690"/>
    <w:rsid w:val="00C62406"/>
    <w:rsid w:val="00C63ADB"/>
    <w:rsid w:val="00C678D9"/>
    <w:rsid w:val="00C701F7"/>
    <w:rsid w:val="00C7447F"/>
    <w:rsid w:val="00C753C9"/>
    <w:rsid w:val="00C76A86"/>
    <w:rsid w:val="00C77A77"/>
    <w:rsid w:val="00C80980"/>
    <w:rsid w:val="00C809A9"/>
    <w:rsid w:val="00C82CC3"/>
    <w:rsid w:val="00C8422B"/>
    <w:rsid w:val="00C85052"/>
    <w:rsid w:val="00C90953"/>
    <w:rsid w:val="00C90EC3"/>
    <w:rsid w:val="00C92211"/>
    <w:rsid w:val="00C94E92"/>
    <w:rsid w:val="00C96E91"/>
    <w:rsid w:val="00CA023D"/>
    <w:rsid w:val="00CA4908"/>
    <w:rsid w:val="00CB1191"/>
    <w:rsid w:val="00CC0E1B"/>
    <w:rsid w:val="00CC1689"/>
    <w:rsid w:val="00CC4601"/>
    <w:rsid w:val="00CC4AD4"/>
    <w:rsid w:val="00CD3B57"/>
    <w:rsid w:val="00CE20A8"/>
    <w:rsid w:val="00CF4C21"/>
    <w:rsid w:val="00CF64EC"/>
    <w:rsid w:val="00CF788D"/>
    <w:rsid w:val="00D01243"/>
    <w:rsid w:val="00D02DE1"/>
    <w:rsid w:val="00D03978"/>
    <w:rsid w:val="00D051EA"/>
    <w:rsid w:val="00D13BA0"/>
    <w:rsid w:val="00D14527"/>
    <w:rsid w:val="00D14E05"/>
    <w:rsid w:val="00D150AC"/>
    <w:rsid w:val="00D156E1"/>
    <w:rsid w:val="00D17F8E"/>
    <w:rsid w:val="00D232F1"/>
    <w:rsid w:val="00D25E9D"/>
    <w:rsid w:val="00D30491"/>
    <w:rsid w:val="00D34E3F"/>
    <w:rsid w:val="00D367AD"/>
    <w:rsid w:val="00D36848"/>
    <w:rsid w:val="00D4284F"/>
    <w:rsid w:val="00D45554"/>
    <w:rsid w:val="00D46C56"/>
    <w:rsid w:val="00D55316"/>
    <w:rsid w:val="00D55D62"/>
    <w:rsid w:val="00D614DC"/>
    <w:rsid w:val="00D61FAC"/>
    <w:rsid w:val="00D65100"/>
    <w:rsid w:val="00D75B90"/>
    <w:rsid w:val="00D81407"/>
    <w:rsid w:val="00D833B2"/>
    <w:rsid w:val="00D8692D"/>
    <w:rsid w:val="00D87AE1"/>
    <w:rsid w:val="00D90DD1"/>
    <w:rsid w:val="00D91156"/>
    <w:rsid w:val="00D9463F"/>
    <w:rsid w:val="00D969AF"/>
    <w:rsid w:val="00DA3269"/>
    <w:rsid w:val="00DA3CEB"/>
    <w:rsid w:val="00DA455D"/>
    <w:rsid w:val="00DA6122"/>
    <w:rsid w:val="00DB06BC"/>
    <w:rsid w:val="00DB085C"/>
    <w:rsid w:val="00DB1F8B"/>
    <w:rsid w:val="00DB5151"/>
    <w:rsid w:val="00DB5625"/>
    <w:rsid w:val="00DB657D"/>
    <w:rsid w:val="00DC0AB5"/>
    <w:rsid w:val="00DC399A"/>
    <w:rsid w:val="00DC5614"/>
    <w:rsid w:val="00DD00E3"/>
    <w:rsid w:val="00DD4106"/>
    <w:rsid w:val="00DE01E7"/>
    <w:rsid w:val="00DE09DD"/>
    <w:rsid w:val="00DE58A3"/>
    <w:rsid w:val="00DE68FB"/>
    <w:rsid w:val="00DE6B7F"/>
    <w:rsid w:val="00DF0C44"/>
    <w:rsid w:val="00DF11B1"/>
    <w:rsid w:val="00DF5157"/>
    <w:rsid w:val="00DF5785"/>
    <w:rsid w:val="00DF6402"/>
    <w:rsid w:val="00E023BD"/>
    <w:rsid w:val="00E03695"/>
    <w:rsid w:val="00E05262"/>
    <w:rsid w:val="00E07BB4"/>
    <w:rsid w:val="00E1063A"/>
    <w:rsid w:val="00E10FCA"/>
    <w:rsid w:val="00E14D55"/>
    <w:rsid w:val="00E161E9"/>
    <w:rsid w:val="00E20A31"/>
    <w:rsid w:val="00E20E7A"/>
    <w:rsid w:val="00E21D0A"/>
    <w:rsid w:val="00E23124"/>
    <w:rsid w:val="00E2399D"/>
    <w:rsid w:val="00E25675"/>
    <w:rsid w:val="00E26F3D"/>
    <w:rsid w:val="00E31225"/>
    <w:rsid w:val="00E31A53"/>
    <w:rsid w:val="00E32101"/>
    <w:rsid w:val="00E3260E"/>
    <w:rsid w:val="00E34E46"/>
    <w:rsid w:val="00E36CE7"/>
    <w:rsid w:val="00E42D79"/>
    <w:rsid w:val="00E42E44"/>
    <w:rsid w:val="00E543F6"/>
    <w:rsid w:val="00E5443F"/>
    <w:rsid w:val="00E54DD0"/>
    <w:rsid w:val="00E57186"/>
    <w:rsid w:val="00E6236B"/>
    <w:rsid w:val="00E62CAC"/>
    <w:rsid w:val="00E7780E"/>
    <w:rsid w:val="00E816A8"/>
    <w:rsid w:val="00E855D0"/>
    <w:rsid w:val="00E8625B"/>
    <w:rsid w:val="00E9142E"/>
    <w:rsid w:val="00E93CE1"/>
    <w:rsid w:val="00E96E69"/>
    <w:rsid w:val="00EA05DE"/>
    <w:rsid w:val="00EA0ED3"/>
    <w:rsid w:val="00EA1286"/>
    <w:rsid w:val="00EA4676"/>
    <w:rsid w:val="00EA484D"/>
    <w:rsid w:val="00EA5B20"/>
    <w:rsid w:val="00EB2247"/>
    <w:rsid w:val="00EC00E0"/>
    <w:rsid w:val="00EC0A4F"/>
    <w:rsid w:val="00EC5566"/>
    <w:rsid w:val="00EC61B0"/>
    <w:rsid w:val="00EC7DD2"/>
    <w:rsid w:val="00ED13FD"/>
    <w:rsid w:val="00ED473A"/>
    <w:rsid w:val="00ED7A41"/>
    <w:rsid w:val="00EE363E"/>
    <w:rsid w:val="00EE37BA"/>
    <w:rsid w:val="00EE3E2F"/>
    <w:rsid w:val="00EF213A"/>
    <w:rsid w:val="00EF27CF"/>
    <w:rsid w:val="00EF3DED"/>
    <w:rsid w:val="00EF4BDC"/>
    <w:rsid w:val="00EF4C1D"/>
    <w:rsid w:val="00EF4E32"/>
    <w:rsid w:val="00EF5276"/>
    <w:rsid w:val="00EF5C8F"/>
    <w:rsid w:val="00EF736F"/>
    <w:rsid w:val="00EF7A99"/>
    <w:rsid w:val="00EF7CFB"/>
    <w:rsid w:val="00F00E84"/>
    <w:rsid w:val="00F04C5A"/>
    <w:rsid w:val="00F04EF5"/>
    <w:rsid w:val="00F07B56"/>
    <w:rsid w:val="00F1512D"/>
    <w:rsid w:val="00F15398"/>
    <w:rsid w:val="00F1573A"/>
    <w:rsid w:val="00F17749"/>
    <w:rsid w:val="00F23AD9"/>
    <w:rsid w:val="00F30DE7"/>
    <w:rsid w:val="00F329B6"/>
    <w:rsid w:val="00F36430"/>
    <w:rsid w:val="00F41D03"/>
    <w:rsid w:val="00F42EA7"/>
    <w:rsid w:val="00F4354D"/>
    <w:rsid w:val="00F43CFF"/>
    <w:rsid w:val="00F479F1"/>
    <w:rsid w:val="00F47AD4"/>
    <w:rsid w:val="00F47BAE"/>
    <w:rsid w:val="00F550B1"/>
    <w:rsid w:val="00F574F9"/>
    <w:rsid w:val="00F63D23"/>
    <w:rsid w:val="00F70015"/>
    <w:rsid w:val="00F738B1"/>
    <w:rsid w:val="00F74A4F"/>
    <w:rsid w:val="00F74E4B"/>
    <w:rsid w:val="00F767F6"/>
    <w:rsid w:val="00F76CB2"/>
    <w:rsid w:val="00F7756F"/>
    <w:rsid w:val="00F8126F"/>
    <w:rsid w:val="00F83A13"/>
    <w:rsid w:val="00F86070"/>
    <w:rsid w:val="00F87FB8"/>
    <w:rsid w:val="00F92042"/>
    <w:rsid w:val="00FA1773"/>
    <w:rsid w:val="00FA1E2F"/>
    <w:rsid w:val="00FA329A"/>
    <w:rsid w:val="00FA4083"/>
    <w:rsid w:val="00FA6985"/>
    <w:rsid w:val="00FA6DA5"/>
    <w:rsid w:val="00FB2600"/>
    <w:rsid w:val="00FB27DE"/>
    <w:rsid w:val="00FB2DAA"/>
    <w:rsid w:val="00FB48D2"/>
    <w:rsid w:val="00FB49B1"/>
    <w:rsid w:val="00FB7742"/>
    <w:rsid w:val="00FC3DB0"/>
    <w:rsid w:val="00FC6082"/>
    <w:rsid w:val="00FC7953"/>
    <w:rsid w:val="00FD16AF"/>
    <w:rsid w:val="00FD5708"/>
    <w:rsid w:val="00FD633F"/>
    <w:rsid w:val="00FE05BA"/>
    <w:rsid w:val="00FE57F9"/>
    <w:rsid w:val="00FE7233"/>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3F69B"/>
  <w15:docId w15:val="{6F3A39C8-4A10-4C1B-A9CB-AFD8A8760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1Zchn">
    <w:name w:val="Überschrift 1 Zchn"/>
    <w:basedOn w:val="Absatz-Standardschriftart"/>
    <w:link w:val="berschrift1"/>
    <w:uiPriority w:val="1"/>
    <w:rsid w:val="002F1021"/>
    <w:rPr>
      <w:rFonts w:eastAsiaTheme="majorEastAsia" w:cs="Open Sans SemiCondensed SemiCon"/>
      <w:b/>
      <w:bCs/>
      <w:color w:val="000000" w:themeColor="text1"/>
      <w:sz w:val="24"/>
      <w:szCs w:val="32"/>
      <w:lang w:val="de-CH"/>
    </w:rPr>
  </w:style>
  <w:style w:type="table" w:styleId="EinfacheTabelle1">
    <w:name w:val="Plain Table 1"/>
    <w:basedOn w:val="NormaleTabelle"/>
    <w:rsid w:val="007C0A5F"/>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enraster1">
    <w:name w:val="Tabellenraster1"/>
    <w:basedOn w:val="NormaleTabelle"/>
    <w:next w:val="Tabellenraster"/>
    <w:rsid w:val="005660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88360699">
      <w:bodyDiv w:val="1"/>
      <w:marLeft w:val="0"/>
      <w:marRight w:val="0"/>
      <w:marTop w:val="0"/>
      <w:marBottom w:val="0"/>
      <w:divBdr>
        <w:top w:val="none" w:sz="0" w:space="0" w:color="auto"/>
        <w:left w:val="none" w:sz="0" w:space="0" w:color="auto"/>
        <w:bottom w:val="none" w:sz="0" w:space="0" w:color="auto"/>
        <w:right w:val="none" w:sz="0" w:space="0" w:color="auto"/>
      </w:divBdr>
      <w:divsChild>
        <w:div w:id="67264156">
          <w:marLeft w:val="0"/>
          <w:marRight w:val="0"/>
          <w:marTop w:val="0"/>
          <w:marBottom w:val="0"/>
          <w:divBdr>
            <w:top w:val="none" w:sz="0" w:space="0" w:color="auto"/>
            <w:left w:val="none" w:sz="0" w:space="0" w:color="auto"/>
            <w:bottom w:val="none" w:sz="0" w:space="0" w:color="auto"/>
            <w:right w:val="none" w:sz="0" w:space="0" w:color="auto"/>
          </w:divBdr>
          <w:divsChild>
            <w:div w:id="475882643">
              <w:marLeft w:val="0"/>
              <w:marRight w:val="0"/>
              <w:marTop w:val="0"/>
              <w:marBottom w:val="0"/>
              <w:divBdr>
                <w:top w:val="none" w:sz="0" w:space="0" w:color="auto"/>
                <w:left w:val="none" w:sz="0" w:space="0" w:color="auto"/>
                <w:bottom w:val="none" w:sz="0" w:space="0" w:color="auto"/>
                <w:right w:val="none" w:sz="0" w:space="0" w:color="auto"/>
              </w:divBdr>
              <w:divsChild>
                <w:div w:id="166435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729066">
      <w:bodyDiv w:val="1"/>
      <w:marLeft w:val="0"/>
      <w:marRight w:val="0"/>
      <w:marTop w:val="0"/>
      <w:marBottom w:val="0"/>
      <w:divBdr>
        <w:top w:val="none" w:sz="0" w:space="0" w:color="auto"/>
        <w:left w:val="none" w:sz="0" w:space="0" w:color="auto"/>
        <w:bottom w:val="none" w:sz="0" w:space="0" w:color="auto"/>
        <w:right w:val="none" w:sz="0" w:space="0" w:color="auto"/>
      </w:divBdr>
      <w:divsChild>
        <w:div w:id="822697819">
          <w:marLeft w:val="0"/>
          <w:marRight w:val="0"/>
          <w:marTop w:val="0"/>
          <w:marBottom w:val="0"/>
          <w:divBdr>
            <w:top w:val="none" w:sz="0" w:space="0" w:color="auto"/>
            <w:left w:val="none" w:sz="0" w:space="0" w:color="auto"/>
            <w:bottom w:val="none" w:sz="0" w:space="0" w:color="auto"/>
            <w:right w:val="none" w:sz="0" w:space="0" w:color="auto"/>
          </w:divBdr>
          <w:divsChild>
            <w:div w:id="692197042">
              <w:marLeft w:val="0"/>
              <w:marRight w:val="0"/>
              <w:marTop w:val="0"/>
              <w:marBottom w:val="0"/>
              <w:divBdr>
                <w:top w:val="none" w:sz="0" w:space="0" w:color="auto"/>
                <w:left w:val="none" w:sz="0" w:space="0" w:color="auto"/>
                <w:bottom w:val="none" w:sz="0" w:space="0" w:color="auto"/>
                <w:right w:val="none" w:sz="0" w:space="0" w:color="auto"/>
              </w:divBdr>
              <w:divsChild>
                <w:div w:id="193601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271012">
      <w:bodyDiv w:val="1"/>
      <w:marLeft w:val="0"/>
      <w:marRight w:val="0"/>
      <w:marTop w:val="0"/>
      <w:marBottom w:val="0"/>
      <w:divBdr>
        <w:top w:val="none" w:sz="0" w:space="0" w:color="auto"/>
        <w:left w:val="none" w:sz="0" w:space="0" w:color="auto"/>
        <w:bottom w:val="none" w:sz="0" w:space="0" w:color="auto"/>
        <w:right w:val="none" w:sz="0" w:space="0" w:color="auto"/>
      </w:divBdr>
    </w:div>
    <w:div w:id="1437094376">
      <w:bodyDiv w:val="1"/>
      <w:marLeft w:val="0"/>
      <w:marRight w:val="0"/>
      <w:marTop w:val="0"/>
      <w:marBottom w:val="0"/>
      <w:divBdr>
        <w:top w:val="none" w:sz="0" w:space="0" w:color="auto"/>
        <w:left w:val="none" w:sz="0" w:space="0" w:color="auto"/>
        <w:bottom w:val="none" w:sz="0" w:space="0" w:color="auto"/>
        <w:right w:val="none" w:sz="0" w:space="0" w:color="auto"/>
      </w:divBdr>
      <w:divsChild>
        <w:div w:id="1106652068">
          <w:marLeft w:val="480"/>
          <w:marRight w:val="0"/>
          <w:marTop w:val="0"/>
          <w:marBottom w:val="0"/>
          <w:divBdr>
            <w:top w:val="none" w:sz="0" w:space="0" w:color="auto"/>
            <w:left w:val="none" w:sz="0" w:space="0" w:color="auto"/>
            <w:bottom w:val="none" w:sz="0" w:space="0" w:color="auto"/>
            <w:right w:val="none" w:sz="0" w:space="0" w:color="auto"/>
          </w:divBdr>
          <w:divsChild>
            <w:div w:id="112115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809399945">
      <w:bodyDiv w:val="1"/>
      <w:marLeft w:val="0"/>
      <w:marRight w:val="0"/>
      <w:marTop w:val="0"/>
      <w:marBottom w:val="0"/>
      <w:divBdr>
        <w:top w:val="none" w:sz="0" w:space="0" w:color="auto"/>
        <w:left w:val="none" w:sz="0" w:space="0" w:color="auto"/>
        <w:bottom w:val="none" w:sz="0" w:space="0" w:color="auto"/>
        <w:right w:val="none" w:sz="0" w:space="0" w:color="auto"/>
      </w:divBdr>
    </w:div>
    <w:div w:id="1913544820">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63678054">
      <w:bodyDiv w:val="1"/>
      <w:marLeft w:val="0"/>
      <w:marRight w:val="0"/>
      <w:marTop w:val="0"/>
      <w:marBottom w:val="0"/>
      <w:divBdr>
        <w:top w:val="none" w:sz="0" w:space="0" w:color="auto"/>
        <w:left w:val="none" w:sz="0" w:space="0" w:color="auto"/>
        <w:bottom w:val="none" w:sz="0" w:space="0" w:color="auto"/>
        <w:right w:val="none" w:sz="0" w:space="0" w:color="auto"/>
      </w:divBdr>
      <w:divsChild>
        <w:div w:id="825584434">
          <w:marLeft w:val="0"/>
          <w:marRight w:val="0"/>
          <w:marTop w:val="0"/>
          <w:marBottom w:val="0"/>
          <w:divBdr>
            <w:top w:val="none" w:sz="0" w:space="0" w:color="auto"/>
            <w:left w:val="none" w:sz="0" w:space="0" w:color="auto"/>
            <w:bottom w:val="none" w:sz="0" w:space="0" w:color="auto"/>
            <w:right w:val="none" w:sz="0" w:space="0" w:color="auto"/>
          </w:divBdr>
          <w:divsChild>
            <w:div w:id="578104561">
              <w:marLeft w:val="0"/>
              <w:marRight w:val="0"/>
              <w:marTop w:val="0"/>
              <w:marBottom w:val="0"/>
              <w:divBdr>
                <w:top w:val="none" w:sz="0" w:space="0" w:color="auto"/>
                <w:left w:val="none" w:sz="0" w:space="0" w:color="auto"/>
                <w:bottom w:val="none" w:sz="0" w:space="0" w:color="auto"/>
                <w:right w:val="none" w:sz="0" w:space="0" w:color="auto"/>
              </w:divBdr>
              <w:divsChild>
                <w:div w:id="11660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sschnepel@uni-muenster.d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nklusion-online.net/index.php/inklusion-online/article/view/657"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anne.schroeter@ifs.uni-hannover.de" TargetMode="External"/><Relationship Id="rId25" Type="http://schemas.openxmlformats.org/officeDocument/2006/relationships/hyperlink" Target="https://link.springer.com/chapter/10.1007/978-3-531-19043-3_3"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oi.org/10.1007/978-3-658-42158-8_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7-03" TargetMode="External"/><Relationship Id="rId24" Type="http://schemas.openxmlformats.org/officeDocument/2006/relationships/hyperlink" Target="https://doi.org/10.1024/1010-0652/a000291"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dx.doi.org/10.17877/DE290R-22659"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tl.columbia.edu/resources-and-technology/resources/inclusive-teaching-guide/download/"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ast.org" TargetMode="External"/><Relationship Id="rId22" Type="http://schemas.openxmlformats.org/officeDocument/2006/relationships/hyperlink" Target="https://doi.org/10.25656/01:8734"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C022F-C71E-4344-8FFB-0795B5135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3C6E6F5D-8BA0-4AF0-9B5E-1D8AD4D1A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6</Pages>
  <Words>2709</Words>
  <Characters>17070</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Bildungsgerechtigkeit für Schüler:innen mit Lernschwierigkeiten im Unterricht_x000d_</vt:lpstr>
    </vt:vector>
  </TitlesOfParts>
  <Company/>
  <LinksUpToDate>false</LinksUpToDate>
  <CharactersWithSpaces>19740</CharactersWithSpaces>
  <SharedDoc>false</SharedDoc>
  <HLinks>
    <vt:vector size="66" baseType="variant">
      <vt:variant>
        <vt:i4>7143493</vt:i4>
      </vt:variant>
      <vt:variant>
        <vt:i4>30</vt:i4>
      </vt:variant>
      <vt:variant>
        <vt:i4>0</vt:i4>
      </vt:variant>
      <vt:variant>
        <vt:i4>5</vt:i4>
      </vt:variant>
      <vt:variant>
        <vt:lpwstr>https://link.springer.com/chapter/10.1007/978-3-531-19043-3_3</vt:lpwstr>
      </vt:variant>
      <vt:variant>
        <vt:lpwstr/>
      </vt:variant>
      <vt:variant>
        <vt:i4>131092</vt:i4>
      </vt:variant>
      <vt:variant>
        <vt:i4>27</vt:i4>
      </vt:variant>
      <vt:variant>
        <vt:i4>0</vt:i4>
      </vt:variant>
      <vt:variant>
        <vt:i4>5</vt:i4>
      </vt:variant>
      <vt:variant>
        <vt:lpwstr>https://doi.org/10.1024/1010-0652/a000291</vt:lpwstr>
      </vt:variant>
      <vt:variant>
        <vt:lpwstr/>
      </vt:variant>
      <vt:variant>
        <vt:i4>4128878</vt:i4>
      </vt:variant>
      <vt:variant>
        <vt:i4>24</vt:i4>
      </vt:variant>
      <vt:variant>
        <vt:i4>0</vt:i4>
      </vt:variant>
      <vt:variant>
        <vt:i4>5</vt:i4>
      </vt:variant>
      <vt:variant>
        <vt:lpwstr>http://dx.doi.org/10.17877/DE290R-22659</vt:lpwstr>
      </vt:variant>
      <vt:variant>
        <vt:lpwstr/>
      </vt:variant>
      <vt:variant>
        <vt:i4>393295</vt:i4>
      </vt:variant>
      <vt:variant>
        <vt:i4>21</vt:i4>
      </vt:variant>
      <vt:variant>
        <vt:i4>0</vt:i4>
      </vt:variant>
      <vt:variant>
        <vt:i4>5</vt:i4>
      </vt:variant>
      <vt:variant>
        <vt:lpwstr>https://doi.org/10.25656/01:8734</vt:lpwstr>
      </vt:variant>
      <vt:variant>
        <vt:lpwstr/>
      </vt:variant>
      <vt:variant>
        <vt:i4>196624</vt:i4>
      </vt:variant>
      <vt:variant>
        <vt:i4>18</vt:i4>
      </vt:variant>
      <vt:variant>
        <vt:i4>0</vt:i4>
      </vt:variant>
      <vt:variant>
        <vt:i4>5</vt:i4>
      </vt:variant>
      <vt:variant>
        <vt:lpwstr>https://www.inklusion-online.net/index.php/inklusion-online/article/view/657</vt:lpwstr>
      </vt:variant>
      <vt:variant>
        <vt:lpwstr/>
      </vt:variant>
      <vt:variant>
        <vt:i4>4784228</vt:i4>
      </vt:variant>
      <vt:variant>
        <vt:i4>15</vt:i4>
      </vt:variant>
      <vt:variant>
        <vt:i4>0</vt:i4>
      </vt:variant>
      <vt:variant>
        <vt:i4>5</vt:i4>
      </vt:variant>
      <vt:variant>
        <vt:lpwstr>https://doi.org/10.1007/978-3-658-42158-8_3</vt:lpwstr>
      </vt:variant>
      <vt:variant>
        <vt:lpwstr/>
      </vt:variant>
      <vt:variant>
        <vt:i4>3407931</vt:i4>
      </vt:variant>
      <vt:variant>
        <vt:i4>12</vt:i4>
      </vt:variant>
      <vt:variant>
        <vt:i4>0</vt:i4>
      </vt:variant>
      <vt:variant>
        <vt:i4>5</vt:i4>
      </vt:variant>
      <vt:variant>
        <vt:lpwstr>https://ctl.columbia.edu/resources-and-technology/resources/inclusive-teaching-guide/download/</vt:lpwstr>
      </vt:variant>
      <vt:variant>
        <vt:lpwstr/>
      </vt:variant>
      <vt:variant>
        <vt:i4>4784171</vt:i4>
      </vt:variant>
      <vt:variant>
        <vt:i4>9</vt:i4>
      </vt:variant>
      <vt:variant>
        <vt:i4>0</vt:i4>
      </vt:variant>
      <vt:variant>
        <vt:i4>5</vt:i4>
      </vt:variant>
      <vt:variant>
        <vt:lpwstr>mailto:sschnepel@uni-muenster.de</vt:lpwstr>
      </vt:variant>
      <vt:variant>
        <vt:lpwstr/>
      </vt:variant>
      <vt:variant>
        <vt:i4>7733271</vt:i4>
      </vt:variant>
      <vt:variant>
        <vt:i4>6</vt:i4>
      </vt:variant>
      <vt:variant>
        <vt:i4>0</vt:i4>
      </vt:variant>
      <vt:variant>
        <vt:i4>5</vt:i4>
      </vt:variant>
      <vt:variant>
        <vt:lpwstr>mailto:anne.schroeter@ifs.uni-hannover.de</vt:lpwstr>
      </vt:variant>
      <vt:variant>
        <vt:lpwstr/>
      </vt:variant>
      <vt:variant>
        <vt:i4>4718669</vt:i4>
      </vt:variant>
      <vt:variant>
        <vt:i4>3</vt:i4>
      </vt:variant>
      <vt:variant>
        <vt:i4>0</vt:i4>
      </vt:variant>
      <vt:variant>
        <vt:i4>5</vt:i4>
      </vt:variant>
      <vt:variant>
        <vt:lpwstr>http://www.cast.org/</vt:lpwstr>
      </vt:variant>
      <vt:variant>
        <vt:lpwstr/>
      </vt:variant>
      <vt:variant>
        <vt:i4>5767262</vt:i4>
      </vt:variant>
      <vt:variant>
        <vt:i4>0</vt:i4>
      </vt:variant>
      <vt:variant>
        <vt:i4>0</vt:i4>
      </vt:variant>
      <vt:variant>
        <vt:i4>5</vt:i4>
      </vt:variant>
      <vt:variant>
        <vt:lpwstr>https://doi.org/10.57161/z2024-07-03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Bildungsgerechtigkeit für Schüler:innen mit Lernschwierigkeiten im Unterricht_x000d_</dc:title>
  <dc:subject/>
  <dc:creator>Anne Schröter;Susanne Schnepel_x000d_</dc:creator>
  <cp:keywords>Lernschwierigkeit, Bildungsgerechtigkeit, soziale Benachteiligung, Didaktik, Universal Design for Learning (UDL) / difficulté de l’apprentissage, équité dans l'éducation, désavantage social, didactique, conception universelle de l'apprentissage (CUA)</cp:keywords>
  <cp:lastModifiedBy>Edition, Stagiaire</cp:lastModifiedBy>
  <cp:revision>76</cp:revision>
  <cp:lastPrinted>2024-06-22T02:49:00Z</cp:lastPrinted>
  <dcterms:created xsi:type="dcterms:W3CDTF">2024-08-14T08:19:00Z</dcterms:created>
  <dcterms:modified xsi:type="dcterms:W3CDTF">2024-10-08T08:11:00Z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