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DE47" w14:textId="332F855D" w:rsidR="00874492" w:rsidRPr="00A91BBB" w:rsidRDefault="008D3F10" w:rsidP="00FF2E2B">
      <w:pPr>
        <w:pStyle w:val="Titel"/>
      </w:pPr>
      <w:r w:rsidRPr="00A91BBB">
        <w:t>Offene Lernsettings für alle</w:t>
      </w:r>
    </w:p>
    <w:p w14:paraId="1552D105" w14:textId="48E1603F" w:rsidR="001114E2" w:rsidRPr="00A91BBB" w:rsidRDefault="008D3F10" w:rsidP="00B444B9">
      <w:pPr>
        <w:pStyle w:val="Untertitel"/>
      </w:pPr>
      <w:r w:rsidRPr="00A91BBB">
        <w:t xml:space="preserve">Universal Design </w:t>
      </w:r>
      <w:proofErr w:type="spellStart"/>
      <w:r w:rsidRPr="00A91BBB">
        <w:t>for</w:t>
      </w:r>
      <w:proofErr w:type="spellEnd"/>
      <w:r w:rsidRPr="00A91BBB">
        <w:t xml:space="preserve"> Learning und </w:t>
      </w:r>
      <w:proofErr w:type="spellStart"/>
      <w:r w:rsidRPr="00A91BBB">
        <w:t>Diklusion</w:t>
      </w:r>
      <w:proofErr w:type="spellEnd"/>
      <w:r w:rsidRPr="00A91BBB">
        <w:t xml:space="preserve"> als Grundlage für Empowerment</w:t>
      </w:r>
    </w:p>
    <w:p w14:paraId="3E577AD1" w14:textId="0F062D07" w:rsidR="001114E2" w:rsidRPr="00A91BBB" w:rsidRDefault="008D3F10" w:rsidP="006C2B84">
      <w:pPr>
        <w:pStyle w:val="Author"/>
        <w:rPr>
          <w:rFonts w:cs="Open Sans SemiCondensed"/>
          <w:lang w:val="de-CH"/>
        </w:rPr>
      </w:pPr>
      <w:r w:rsidRPr="00A91BBB">
        <w:rPr>
          <w:rFonts w:cs="Open Sans SemiCondensed"/>
          <w:lang w:val="de-CH"/>
        </w:rPr>
        <w:t>Lea Schulz</w:t>
      </w:r>
      <w:r w:rsidR="0049799E" w:rsidRPr="00A91BBB">
        <w:rPr>
          <w:rFonts w:cs="Open Sans SemiCondensed"/>
          <w:lang w:val="de-CH"/>
        </w:rPr>
        <w:t xml:space="preserve"> und</w:t>
      </w:r>
      <w:r w:rsidRPr="00A91BBB">
        <w:rPr>
          <w:rFonts w:cs="Open Sans SemiCondensed"/>
          <w:lang w:val="de-CH"/>
        </w:rPr>
        <w:t xml:space="preserve"> Lukas Fehlings</w:t>
      </w:r>
    </w:p>
    <w:p w14:paraId="3D0F78D2" w14:textId="40C2F9D5" w:rsidR="001114E2" w:rsidRDefault="00985126" w:rsidP="000352CE">
      <w:pPr>
        <w:pStyle w:val="Abstract"/>
        <w:rPr>
          <w:rFonts w:cs="Open Sans SemiCondensed"/>
        </w:rPr>
      </w:pPr>
      <w:r w:rsidRPr="00A91BBB">
        <w:rPr>
          <w:rFonts w:cs="Open Sans SemiCondensed"/>
        </w:rPr>
        <w:t>Zusammenfassung</w:t>
      </w:r>
      <w:r w:rsidR="00E7780E" w:rsidRPr="00A91BBB">
        <w:rPr>
          <w:rFonts w:cs="Open Sans SemiCondensed"/>
        </w:rPr>
        <w:br/>
      </w:r>
      <w:r w:rsidR="008D3F10" w:rsidRPr="00A91BBB">
        <w:rPr>
          <w:rFonts w:cs="Open Sans SemiCondensed"/>
        </w:rPr>
        <w:t>Empowerment gilt als Ziel inklusiver Bildung</w:t>
      </w:r>
      <w:r w:rsidR="004E4EDD" w:rsidRPr="00A91BBB">
        <w:rPr>
          <w:rFonts w:cs="Open Sans SemiCondensed"/>
        </w:rPr>
        <w:t>.</w:t>
      </w:r>
      <w:r w:rsidR="008D3F10" w:rsidRPr="00A91BBB">
        <w:rPr>
          <w:rFonts w:cs="Open Sans SemiCondensed"/>
        </w:rPr>
        <w:t xml:space="preserve"> </w:t>
      </w:r>
      <w:r w:rsidR="00DD24FE">
        <w:rPr>
          <w:rFonts w:cs="Open Sans SemiCondensed"/>
        </w:rPr>
        <w:t>Lernende sollen dazu befähigt werden, selbstbestimmt</w:t>
      </w:r>
      <w:r w:rsidR="009B519C">
        <w:rPr>
          <w:rFonts w:cs="Open Sans SemiCondensed"/>
        </w:rPr>
        <w:t xml:space="preserve"> und eigenverantwortlich zu lernen und </w:t>
      </w:r>
      <w:r w:rsidR="0064299D">
        <w:rPr>
          <w:rFonts w:cs="Open Sans SemiCondensed"/>
        </w:rPr>
        <w:t xml:space="preserve">an Lernprozessen </w:t>
      </w:r>
      <w:r w:rsidR="009B519C">
        <w:rPr>
          <w:rFonts w:cs="Open Sans SemiCondensed"/>
        </w:rPr>
        <w:t xml:space="preserve">teilzuhaben. </w:t>
      </w:r>
      <w:r w:rsidR="00BF1EBB" w:rsidRPr="00A91BBB">
        <w:rPr>
          <w:rFonts w:cs="Open Sans SemiCondensed"/>
        </w:rPr>
        <w:t>D</w:t>
      </w:r>
      <w:r w:rsidR="009F00BD" w:rsidRPr="00A91BBB">
        <w:rPr>
          <w:rFonts w:cs="Open Sans SemiCondensed"/>
        </w:rPr>
        <w:t xml:space="preserve">as </w:t>
      </w:r>
      <w:r w:rsidR="008D3F10" w:rsidRPr="00A91BBB">
        <w:rPr>
          <w:rFonts w:cs="Open Sans SemiCondensed"/>
        </w:rPr>
        <w:t xml:space="preserve">Universal Design </w:t>
      </w:r>
      <w:proofErr w:type="spellStart"/>
      <w:r w:rsidR="008D3F10" w:rsidRPr="00A91BBB">
        <w:rPr>
          <w:rFonts w:cs="Open Sans SemiCondensed"/>
        </w:rPr>
        <w:t>for</w:t>
      </w:r>
      <w:proofErr w:type="spellEnd"/>
      <w:r w:rsidR="008D3F10" w:rsidRPr="00A91BBB">
        <w:rPr>
          <w:rFonts w:cs="Open Sans SemiCondensed"/>
        </w:rPr>
        <w:t xml:space="preserve"> Learning</w:t>
      </w:r>
      <w:r w:rsidR="009F00BD" w:rsidRPr="00A91BBB">
        <w:rPr>
          <w:rFonts w:cs="Open Sans SemiCondensed"/>
        </w:rPr>
        <w:t xml:space="preserve"> (UDL)</w:t>
      </w:r>
      <w:r w:rsidR="008D3F10" w:rsidRPr="00A91BBB">
        <w:rPr>
          <w:rFonts w:cs="Open Sans SemiCondensed"/>
        </w:rPr>
        <w:t xml:space="preserve"> </w:t>
      </w:r>
      <w:r w:rsidR="003F0314" w:rsidRPr="00A91BBB">
        <w:rPr>
          <w:rFonts w:cs="Open Sans SemiCondensed"/>
        </w:rPr>
        <w:t xml:space="preserve">begegnet diesem Ziel, </w:t>
      </w:r>
      <w:r w:rsidR="009B519C">
        <w:rPr>
          <w:rFonts w:cs="Open Sans SemiCondensed"/>
        </w:rPr>
        <w:t>indem</w:t>
      </w:r>
      <w:r w:rsidR="003F0314" w:rsidRPr="00A91BBB">
        <w:rPr>
          <w:rFonts w:cs="Open Sans SemiCondensed"/>
        </w:rPr>
        <w:t xml:space="preserve"> es</w:t>
      </w:r>
      <w:r w:rsidR="00A2426C">
        <w:rPr>
          <w:rFonts w:cs="Open Sans SemiCondensed"/>
        </w:rPr>
        <w:t xml:space="preserve"> </w:t>
      </w:r>
      <w:r w:rsidR="008D3F10" w:rsidRPr="00A91BBB">
        <w:rPr>
          <w:rFonts w:cs="Open Sans SemiCondensed"/>
        </w:rPr>
        <w:t xml:space="preserve">Barrieren im Lernprozess präventiv adressiert und die Learner Agency fördert. </w:t>
      </w:r>
      <w:r w:rsidR="00AF7AC2" w:rsidRPr="00A91BBB">
        <w:rPr>
          <w:rFonts w:cs="Open Sans SemiCondensed"/>
        </w:rPr>
        <w:t>D</w:t>
      </w:r>
      <w:r w:rsidR="008D3F10" w:rsidRPr="00A91BBB">
        <w:rPr>
          <w:rFonts w:cs="Open Sans SemiCondensed"/>
        </w:rPr>
        <w:t xml:space="preserve">as Konzept der </w:t>
      </w:r>
      <w:proofErr w:type="spellStart"/>
      <w:r w:rsidR="008D3F10" w:rsidRPr="00A91BBB">
        <w:rPr>
          <w:rFonts w:cs="Open Sans SemiCondensed"/>
        </w:rPr>
        <w:t>Diklusion</w:t>
      </w:r>
      <w:proofErr w:type="spellEnd"/>
      <w:r w:rsidR="008033A0" w:rsidRPr="00A91BBB">
        <w:rPr>
          <w:rFonts w:cs="Open Sans SemiCondensed"/>
        </w:rPr>
        <w:t xml:space="preserve"> integriert </w:t>
      </w:r>
      <w:r w:rsidR="008D3F10" w:rsidRPr="00A91BBB">
        <w:rPr>
          <w:rFonts w:cs="Open Sans SemiCondensed"/>
        </w:rPr>
        <w:t>digitale Medien als strukturelle Ressource</w:t>
      </w:r>
      <w:r w:rsidR="00A5236A">
        <w:rPr>
          <w:rFonts w:cs="Open Sans SemiCondensed"/>
        </w:rPr>
        <w:t>, um</w:t>
      </w:r>
      <w:r w:rsidR="008D3F10" w:rsidRPr="00A91BBB">
        <w:rPr>
          <w:rFonts w:cs="Open Sans SemiCondensed"/>
        </w:rPr>
        <w:t xml:space="preserve"> Teilhabe und Differenzierung</w:t>
      </w:r>
      <w:r w:rsidR="00A5236A">
        <w:rPr>
          <w:rFonts w:cs="Open Sans SemiCondensed"/>
        </w:rPr>
        <w:t xml:space="preserve"> zu fördern</w:t>
      </w:r>
      <w:r w:rsidR="008033A0" w:rsidRPr="00A91BBB">
        <w:rPr>
          <w:rFonts w:cs="Open Sans SemiCondensed"/>
        </w:rPr>
        <w:t xml:space="preserve">. So </w:t>
      </w:r>
      <w:r w:rsidR="008D3F10" w:rsidRPr="00A91BBB">
        <w:rPr>
          <w:rFonts w:cs="Open Sans SemiCondensed"/>
        </w:rPr>
        <w:t>entstehen Lernumgebungen, die Autonomie und Kooperation gleicherma</w:t>
      </w:r>
      <w:r w:rsidR="00F152A9" w:rsidRPr="00A91BBB">
        <w:rPr>
          <w:rFonts w:cs="Open Sans SemiCondensed"/>
        </w:rPr>
        <w:t>ss</w:t>
      </w:r>
      <w:r w:rsidR="008D3F10" w:rsidRPr="00A91BBB">
        <w:rPr>
          <w:rFonts w:cs="Open Sans SemiCondensed"/>
        </w:rPr>
        <w:t xml:space="preserve">en ermöglichen. </w:t>
      </w:r>
      <w:r w:rsidR="008033A0" w:rsidRPr="00A91BBB">
        <w:rPr>
          <w:rFonts w:cs="Open Sans SemiCondensed"/>
        </w:rPr>
        <w:t>Der Arti</w:t>
      </w:r>
      <w:r w:rsidR="003F296A" w:rsidRPr="00A91BBB">
        <w:rPr>
          <w:rFonts w:cs="Open Sans SemiCondensed"/>
        </w:rPr>
        <w:t xml:space="preserve">kel zeigt, </w:t>
      </w:r>
      <w:r w:rsidR="00662926" w:rsidRPr="00A91BBB">
        <w:rPr>
          <w:rFonts w:cs="Open Sans SemiCondensed"/>
        </w:rPr>
        <w:t xml:space="preserve">warum </w:t>
      </w:r>
      <w:r w:rsidR="003F296A" w:rsidRPr="00A91BBB">
        <w:rPr>
          <w:rFonts w:cs="Open Sans SemiCondensed"/>
        </w:rPr>
        <w:t xml:space="preserve">die </w:t>
      </w:r>
      <w:r w:rsidR="008D3F10" w:rsidRPr="00A91BBB">
        <w:rPr>
          <w:rFonts w:cs="Open Sans SemiCondensed"/>
        </w:rPr>
        <w:t xml:space="preserve">Verbindung von UDL und </w:t>
      </w:r>
      <w:proofErr w:type="spellStart"/>
      <w:r w:rsidR="008D3F10" w:rsidRPr="00A91BBB">
        <w:rPr>
          <w:rFonts w:cs="Open Sans SemiCondensed"/>
        </w:rPr>
        <w:t>Diklusion</w:t>
      </w:r>
      <w:proofErr w:type="spellEnd"/>
      <w:r w:rsidR="008D3F10" w:rsidRPr="00A91BBB">
        <w:rPr>
          <w:rFonts w:cs="Open Sans SemiCondensed"/>
        </w:rPr>
        <w:t xml:space="preserve"> Empowerment in offenen, digital-inklusiven Lernsettings</w:t>
      </w:r>
      <w:r w:rsidR="00AD74B6">
        <w:rPr>
          <w:rFonts w:cs="Open Sans SemiCondensed"/>
        </w:rPr>
        <w:t xml:space="preserve"> ermöglichen kann</w:t>
      </w:r>
      <w:r w:rsidR="008D3F10" w:rsidRPr="00A91BBB">
        <w:rPr>
          <w:rFonts w:cs="Open Sans SemiCondensed"/>
        </w:rPr>
        <w:t>.</w:t>
      </w:r>
    </w:p>
    <w:p w14:paraId="4D58A7CA" w14:textId="5ADF603F" w:rsidR="00E1028F" w:rsidRPr="00E1028F" w:rsidRDefault="00E1028F" w:rsidP="00E1028F">
      <w:pPr>
        <w:pStyle w:val="Abstract"/>
        <w:rPr>
          <w:lang w:val="fr-CH"/>
        </w:rPr>
      </w:pPr>
      <w:r w:rsidRPr="00E1028F">
        <w:rPr>
          <w:lang w:val="fr-CH"/>
        </w:rPr>
        <w:t>Résumé</w:t>
      </w:r>
      <w:r w:rsidRPr="00E1028F">
        <w:rPr>
          <w:lang w:val="fr-CH"/>
        </w:rPr>
        <w:br/>
        <w:t>L’un des objectifs principaux de l’éducation inclusive est l’</w:t>
      </w:r>
      <w:proofErr w:type="spellStart"/>
      <w:r w:rsidR="007734C0">
        <w:rPr>
          <w:lang w:val="fr-CH"/>
        </w:rPr>
        <w:t>e</w:t>
      </w:r>
      <w:r w:rsidRPr="00E1028F">
        <w:rPr>
          <w:lang w:val="fr-CH"/>
        </w:rPr>
        <w:t>mpowerment</w:t>
      </w:r>
      <w:proofErr w:type="spellEnd"/>
      <w:r w:rsidRPr="00E1028F">
        <w:rPr>
          <w:lang w:val="fr-CH"/>
        </w:rPr>
        <w:t xml:space="preserve">. Les élèves doivent être capables d’apprendre de manière autonome et responsable et de participer aux processus d’apprentissage. La conception universelle de l’apprentissage (CUA) répond à cet objectif en écartant de manière préventive les obstacles dans le processus d’apprentissage et en encourageant l’autonomie des apprenantes et apprenants. </w:t>
      </w:r>
      <w:proofErr w:type="spellStart"/>
      <w:r w:rsidRPr="00E1028F">
        <w:rPr>
          <w:lang w:val="fr-CH"/>
        </w:rPr>
        <w:t>Diklusion</w:t>
      </w:r>
      <w:proofErr w:type="spellEnd"/>
      <w:r w:rsidRPr="00E1028F">
        <w:rPr>
          <w:lang w:val="fr-CH"/>
        </w:rPr>
        <w:t xml:space="preserve"> est un concept qui intègre les médias numériques comme ressources structurelle afin de favoriser la participation et la différenciation. Il en résulte des environnements d’apprentissage qui favorisent à la fois l’autonomie et la coopération. Cet article présente comment la combinaison de la CUA et de </w:t>
      </w:r>
      <w:proofErr w:type="spellStart"/>
      <w:r w:rsidRPr="00E1028F">
        <w:rPr>
          <w:lang w:val="fr-CH"/>
        </w:rPr>
        <w:t>Diklusion</w:t>
      </w:r>
      <w:proofErr w:type="spellEnd"/>
      <w:r w:rsidRPr="00E1028F">
        <w:rPr>
          <w:lang w:val="fr-CH"/>
        </w:rPr>
        <w:t xml:space="preserve"> peut favoriser l’</w:t>
      </w:r>
      <w:proofErr w:type="spellStart"/>
      <w:r w:rsidR="007734C0">
        <w:rPr>
          <w:lang w:val="fr-CH"/>
        </w:rPr>
        <w:t>e</w:t>
      </w:r>
      <w:r w:rsidRPr="00E1028F">
        <w:rPr>
          <w:lang w:val="fr-CH"/>
        </w:rPr>
        <w:t>mpowerment</w:t>
      </w:r>
      <w:proofErr w:type="spellEnd"/>
      <w:r w:rsidRPr="00E1028F">
        <w:rPr>
          <w:lang w:val="fr-CH"/>
        </w:rPr>
        <w:t xml:space="preserve"> dans des environnements d’apprentissage ouverts et inclusifs sur le plan numérique.</w:t>
      </w:r>
    </w:p>
    <w:p w14:paraId="159AE26A" w14:textId="22E09320" w:rsidR="00EA4676" w:rsidRPr="00612266" w:rsidRDefault="00EA4676" w:rsidP="000B351E">
      <w:pPr>
        <w:pStyle w:val="Textkrper3"/>
        <w:rPr>
          <w:lang w:val="fr-CH"/>
        </w:rPr>
      </w:pPr>
      <w:proofErr w:type="gramStart"/>
      <w:r w:rsidRPr="00612266">
        <w:rPr>
          <w:rStyle w:val="Fett"/>
          <w:rFonts w:cs="Open Sans SemiCondensed"/>
          <w:lang w:val="fr-CH"/>
        </w:rPr>
        <w:t>Keywords</w:t>
      </w:r>
      <w:r w:rsidRPr="00612266">
        <w:rPr>
          <w:lang w:val="fr-CH"/>
        </w:rPr>
        <w:t>:</w:t>
      </w:r>
      <w:proofErr w:type="gramEnd"/>
      <w:r w:rsidRPr="00612266">
        <w:rPr>
          <w:lang w:val="fr-CH"/>
        </w:rPr>
        <w:t xml:space="preserve"> </w:t>
      </w:r>
      <w:proofErr w:type="spellStart"/>
      <w:r w:rsidR="009748E2" w:rsidRPr="00983B74">
        <w:rPr>
          <w:lang w:val="fr-CH"/>
        </w:rPr>
        <w:t>Inklusion</w:t>
      </w:r>
      <w:proofErr w:type="spellEnd"/>
      <w:r w:rsidR="009748E2" w:rsidRPr="00983B74">
        <w:rPr>
          <w:lang w:val="fr-CH"/>
        </w:rPr>
        <w:t xml:space="preserve">, </w:t>
      </w:r>
      <w:proofErr w:type="spellStart"/>
      <w:r w:rsidR="009748E2" w:rsidRPr="00983B74">
        <w:rPr>
          <w:lang w:val="fr-CH"/>
        </w:rPr>
        <w:t>Digitalisierung</w:t>
      </w:r>
      <w:proofErr w:type="spellEnd"/>
      <w:r w:rsidR="009748E2" w:rsidRPr="00983B74">
        <w:rPr>
          <w:lang w:val="fr-CH"/>
        </w:rPr>
        <w:t xml:space="preserve">, </w:t>
      </w:r>
      <w:proofErr w:type="spellStart"/>
      <w:r w:rsidR="009748E2" w:rsidRPr="00983B74">
        <w:rPr>
          <w:lang w:val="fr-CH"/>
        </w:rPr>
        <w:t>Empowerment</w:t>
      </w:r>
      <w:proofErr w:type="spellEnd"/>
      <w:r w:rsidR="000B351E" w:rsidRPr="00983B74">
        <w:rPr>
          <w:lang w:val="fr-CH"/>
        </w:rPr>
        <w:t>,</w:t>
      </w:r>
      <w:r w:rsidR="009748E2" w:rsidRPr="00983B74">
        <w:rPr>
          <w:lang w:val="fr-CH"/>
        </w:rPr>
        <w:t xml:space="preserve"> </w:t>
      </w:r>
      <w:proofErr w:type="spellStart"/>
      <w:r w:rsidR="009748E2" w:rsidRPr="00983B74">
        <w:rPr>
          <w:lang w:val="fr-CH"/>
        </w:rPr>
        <w:t>Lernprozess</w:t>
      </w:r>
      <w:proofErr w:type="spellEnd"/>
      <w:r w:rsidR="009748E2" w:rsidRPr="00983B74">
        <w:rPr>
          <w:lang w:val="fr-CH"/>
        </w:rPr>
        <w:t xml:space="preserve">, Universal Design for Learning, </w:t>
      </w:r>
      <w:proofErr w:type="spellStart"/>
      <w:r w:rsidR="009748E2" w:rsidRPr="00983B74">
        <w:rPr>
          <w:lang w:val="fr-CH"/>
        </w:rPr>
        <w:t>Barrierefreiheit</w:t>
      </w:r>
      <w:proofErr w:type="spellEnd"/>
      <w:r w:rsidR="009748E2" w:rsidRPr="00983B74">
        <w:rPr>
          <w:lang w:val="fr-CH"/>
        </w:rPr>
        <w:t xml:space="preserve"> /</w:t>
      </w:r>
      <w:r w:rsidR="009748E2" w:rsidRPr="00101535">
        <w:rPr>
          <w:lang w:val="fr-CH"/>
        </w:rPr>
        <w:t xml:space="preserve"> </w:t>
      </w:r>
      <w:r w:rsidR="009748E2" w:rsidRPr="009748E2">
        <w:rPr>
          <w:lang w:val="fr-CH"/>
        </w:rPr>
        <w:t xml:space="preserve">inclusion, numérisation, </w:t>
      </w:r>
      <w:proofErr w:type="spellStart"/>
      <w:r w:rsidR="009748E2" w:rsidRPr="009748E2">
        <w:rPr>
          <w:lang w:val="fr-CH"/>
        </w:rPr>
        <w:t>empowerment</w:t>
      </w:r>
      <w:proofErr w:type="spellEnd"/>
      <w:r w:rsidR="009748E2" w:rsidRPr="009748E2">
        <w:rPr>
          <w:lang w:val="fr-CH"/>
        </w:rPr>
        <w:t>, processus d'apprentissage, conception universelle de l'apprentissage, accessibilité</w:t>
      </w:r>
    </w:p>
    <w:p w14:paraId="71ECB2FA" w14:textId="31F1E223" w:rsidR="001D3BFB" w:rsidRDefault="00EA4676" w:rsidP="000B351E">
      <w:pPr>
        <w:pStyle w:val="Textkrper3"/>
        <w:rPr>
          <w:rStyle w:val="Hyperlink"/>
          <w:bCs w:val="0"/>
          <w:iCs w:val="0"/>
          <w:lang w:val="fr-FR"/>
        </w:rPr>
      </w:pPr>
      <w:proofErr w:type="gramStart"/>
      <w:r w:rsidRPr="008C2678">
        <w:rPr>
          <w:rStyle w:val="Fett"/>
          <w:rFonts w:cs="Open Sans SemiCondensed"/>
          <w:lang w:val="fr-FR"/>
        </w:rPr>
        <w:t>DOI</w:t>
      </w:r>
      <w:r w:rsidRPr="008C2678">
        <w:rPr>
          <w:rFonts w:cs="Open Sans SemiCondensed"/>
          <w:lang w:val="fr-FR"/>
        </w:rPr>
        <w:t>:</w:t>
      </w:r>
      <w:proofErr w:type="gramEnd"/>
      <w:r w:rsidRPr="008C2678">
        <w:rPr>
          <w:rFonts w:cs="Open Sans SemiCondensed"/>
          <w:lang w:val="fr-FR"/>
        </w:rPr>
        <w:t xml:space="preserve"> </w:t>
      </w:r>
      <w:hyperlink r:id="rId11" w:history="1">
        <w:r w:rsidR="003E1F1B" w:rsidRPr="00CF470C">
          <w:rPr>
            <w:rStyle w:val="Hyperlink"/>
            <w:rFonts w:cs="Open Sans SemiCondensed"/>
            <w:lang w:val="fr-FR"/>
          </w:rPr>
          <w:t>https://doi.org/10.57161/z2026-02-</w:t>
        </w:r>
        <w:r w:rsidR="003E1F1B" w:rsidRPr="00CF470C">
          <w:rPr>
            <w:rStyle w:val="Hyperlink"/>
            <w:bCs w:val="0"/>
            <w:iCs w:val="0"/>
            <w:lang w:val="fr-FR"/>
          </w:rPr>
          <w:t>03</w:t>
        </w:r>
      </w:hyperlink>
    </w:p>
    <w:p w14:paraId="209B230C" w14:textId="579F90C5" w:rsidR="001161D6" w:rsidRPr="00A91BBB" w:rsidRDefault="001161D6" w:rsidP="000B351E">
      <w:pPr>
        <w:pStyle w:val="Textkrper3"/>
      </w:pPr>
      <w:r w:rsidRPr="00A91BBB">
        <w:t xml:space="preserve">Schweizerische Zeitschrift für Heilpädagogik, Jg. </w:t>
      </w:r>
      <w:r w:rsidR="00D27C21" w:rsidRPr="00A91BBB">
        <w:t>32</w:t>
      </w:r>
      <w:r w:rsidRPr="00A91BBB">
        <w:t xml:space="preserve">, </w:t>
      </w:r>
      <w:r w:rsidR="00D27C21" w:rsidRPr="00A91BBB">
        <w:t>02</w:t>
      </w:r>
      <w:r w:rsidRPr="00A91BBB">
        <w:t>/</w:t>
      </w:r>
      <w:r w:rsidR="00D27C21" w:rsidRPr="00A91BBB">
        <w:t>2026</w:t>
      </w:r>
    </w:p>
    <w:p w14:paraId="7A9C5182" w14:textId="77777777" w:rsidR="000E6A66" w:rsidRPr="00A91BBB" w:rsidRDefault="000E6A66" w:rsidP="000B351E">
      <w:pPr>
        <w:pStyle w:val="Textkrper3"/>
      </w:pPr>
      <w:r w:rsidRPr="00A91BBB">
        <w:rPr>
          <w:noProof/>
        </w:rPr>
        <w:drawing>
          <wp:inline distT="0" distB="0" distL="0" distR="0" wp14:anchorId="1D184620" wp14:editId="4746FF0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777254B" w14:textId="102B6FB8" w:rsidR="008D3F10" w:rsidRPr="00A91BBB" w:rsidRDefault="008D3F10" w:rsidP="00543BEE">
      <w:pPr>
        <w:pStyle w:val="berschrift1"/>
      </w:pPr>
      <w:bookmarkStart w:id="0" w:name="heading-2"/>
      <w:r w:rsidRPr="00A91BBB">
        <w:t xml:space="preserve">Empowerment </w:t>
      </w:r>
      <w:r w:rsidR="00D56352" w:rsidRPr="00A91BBB">
        <w:t>als Ziel inklusiver Bildung</w:t>
      </w:r>
    </w:p>
    <w:p w14:paraId="05479EC6" w14:textId="158CDE0C" w:rsidR="00A2387A" w:rsidRPr="00A91BBB" w:rsidRDefault="00DB2FFD" w:rsidP="00B37ADA">
      <w:pPr>
        <w:pStyle w:val="Textkrper"/>
        <w:ind w:firstLine="0"/>
      </w:pPr>
      <w:r w:rsidRPr="00A91BBB">
        <w:t>In der</w:t>
      </w:r>
      <w:r w:rsidR="008D3F10" w:rsidRPr="00A91BBB">
        <w:t xml:space="preserve"> Behindertenrechtskonvention (BRK) </w:t>
      </w:r>
      <w:r w:rsidRPr="00A91BBB">
        <w:t>sind</w:t>
      </w:r>
      <w:r w:rsidR="008D3F10" w:rsidRPr="00A91BBB">
        <w:t xml:space="preserve"> Teilhabe, Autonomie und Selbstbestimmung</w:t>
      </w:r>
      <w:r w:rsidRPr="00A91BBB">
        <w:t xml:space="preserve"> </w:t>
      </w:r>
      <w:r w:rsidR="008D3F10" w:rsidRPr="00A91BBB">
        <w:t>als grundsätzliche Menschenrechte für alle Lernenden</w:t>
      </w:r>
      <w:r w:rsidR="003E57C1" w:rsidRPr="00A91BBB">
        <w:t xml:space="preserve"> verankert</w:t>
      </w:r>
      <w:r w:rsidR="008D3F10" w:rsidRPr="00A91BBB">
        <w:t xml:space="preserve">. Die BRK gilt als </w:t>
      </w:r>
      <w:r w:rsidR="00A25A75" w:rsidRPr="00A25A75">
        <w:t>‹</w:t>
      </w:r>
      <w:r w:rsidR="008D3F10" w:rsidRPr="00A91BBB">
        <w:t>Empowerment-Konvention</w:t>
      </w:r>
      <w:r w:rsidR="00A25A75" w:rsidRPr="00A25A75">
        <w:t>›</w:t>
      </w:r>
      <w:r w:rsidR="008D3F10" w:rsidRPr="00A91BBB">
        <w:t xml:space="preserve">, </w:t>
      </w:r>
      <w:r w:rsidR="00315847" w:rsidRPr="00A91BBB">
        <w:t>weil</w:t>
      </w:r>
      <w:r w:rsidR="008D3F10" w:rsidRPr="00A91BBB">
        <w:t xml:space="preserve"> sie den </w:t>
      </w:r>
      <w:r w:rsidR="00315847" w:rsidRPr="00A91BBB">
        <w:t xml:space="preserve">Blick </w:t>
      </w:r>
      <w:r w:rsidR="00EE44ED">
        <w:t xml:space="preserve">weg </w:t>
      </w:r>
      <w:r w:rsidR="00315847" w:rsidRPr="00A91BBB">
        <w:t>von</w:t>
      </w:r>
      <w:r w:rsidR="008D3F10" w:rsidRPr="00A91BBB">
        <w:t xml:space="preserve"> Defizit</w:t>
      </w:r>
      <w:r w:rsidR="00315847" w:rsidRPr="00A91BBB">
        <w:t>en</w:t>
      </w:r>
      <w:r w:rsidR="008D3F10" w:rsidRPr="00A91BBB">
        <w:t xml:space="preserve"> </w:t>
      </w:r>
      <w:r w:rsidR="00EE44ED">
        <w:t xml:space="preserve">und hin </w:t>
      </w:r>
      <w:r w:rsidR="00B95EE7" w:rsidRPr="00A91BBB">
        <w:t xml:space="preserve">auf die </w:t>
      </w:r>
      <w:r w:rsidR="008D3F10" w:rsidRPr="00A91BBB">
        <w:t xml:space="preserve">Handlungskompetenz und Teilhabe </w:t>
      </w:r>
      <w:r w:rsidR="00B95EE7" w:rsidRPr="00A91BBB">
        <w:t>lenkt</w:t>
      </w:r>
      <w:r w:rsidR="008D3F10" w:rsidRPr="00A91BBB">
        <w:t xml:space="preserve"> (Bielefeld</w:t>
      </w:r>
      <w:r w:rsidR="00101535">
        <w:t>t</w:t>
      </w:r>
      <w:r w:rsidR="008D3F10" w:rsidRPr="00A91BBB">
        <w:t>, 200</w:t>
      </w:r>
      <w:r w:rsidR="00990831">
        <w:t>9</w:t>
      </w:r>
      <w:r w:rsidR="008D3F10" w:rsidRPr="00A91BBB">
        <w:t>). Empowerment</w:t>
      </w:r>
      <w:r w:rsidR="00B95EE7" w:rsidRPr="00A91BBB">
        <w:t xml:space="preserve"> </w:t>
      </w:r>
      <w:r w:rsidR="008D3F10" w:rsidRPr="00A91BBB">
        <w:t xml:space="preserve">bedeutet, dass Lernende als aktive Subjekte ihrer Bildung anerkannt werden, </w:t>
      </w:r>
      <w:r w:rsidR="00D944D6">
        <w:t xml:space="preserve">die </w:t>
      </w:r>
      <w:r w:rsidR="008D3F10" w:rsidRPr="00A91BBB">
        <w:t xml:space="preserve">ihre Fähigkeiten erkennen, eigene Kräfte entwickeln und ihre Ressourcen </w:t>
      </w:r>
      <w:r w:rsidR="00960F08">
        <w:t>nutzen, um ihre</w:t>
      </w:r>
      <w:r w:rsidR="008D3F10" w:rsidRPr="00A91BBB">
        <w:t xml:space="preserve"> Bildung und</w:t>
      </w:r>
      <w:r w:rsidR="00960F08">
        <w:t xml:space="preserve"> ihr</w:t>
      </w:r>
      <w:r w:rsidR="008D3F10" w:rsidRPr="00A91BBB">
        <w:t xml:space="preserve"> Leben </w:t>
      </w:r>
      <w:r w:rsidR="00960F08">
        <w:t xml:space="preserve">selbstbestimmt zu gestalten </w:t>
      </w:r>
      <w:r w:rsidR="008D3F10" w:rsidRPr="00A91BBB">
        <w:t xml:space="preserve">(Herriger, 2020). Empowerment als Ziel inklusiver Bildung </w:t>
      </w:r>
      <w:r w:rsidR="00BC7EBE" w:rsidRPr="00A91BBB">
        <w:t xml:space="preserve">steht somit </w:t>
      </w:r>
      <w:r w:rsidR="008D3F10" w:rsidRPr="00A91BBB">
        <w:t>im Einklang mit de</w:t>
      </w:r>
      <w:r w:rsidR="008972EC">
        <w:t>n Forderungen der</w:t>
      </w:r>
      <w:r w:rsidR="008D3F10" w:rsidRPr="00A91BBB">
        <w:t xml:space="preserve"> BRK. </w:t>
      </w:r>
    </w:p>
    <w:p w14:paraId="468501E4" w14:textId="14E51229" w:rsidR="004C4AD8" w:rsidRPr="00A91BBB" w:rsidRDefault="008D3F10" w:rsidP="004C4AD8">
      <w:pPr>
        <w:pStyle w:val="Textkrper"/>
      </w:pPr>
      <w:r w:rsidRPr="00A91BBB">
        <w:t>Die Selbstbestimmungstheorie von Deci und Ryan (2000) benennt drei Grundbedürfnisse</w:t>
      </w:r>
      <w:r w:rsidR="006019E0">
        <w:t xml:space="preserve"> von Lernenden</w:t>
      </w:r>
      <w:r w:rsidR="00972A43" w:rsidRPr="00A91BBB">
        <w:t>:</w:t>
      </w:r>
      <w:r w:rsidRPr="00A91BBB">
        <w:t xml:space="preserve"> Autonomie, Kompetenz und Zugehörigkeit</w:t>
      </w:r>
      <w:r w:rsidR="00972A43" w:rsidRPr="00A91BBB">
        <w:t>.</w:t>
      </w:r>
      <w:r w:rsidRPr="00A91BBB">
        <w:t xml:space="preserve"> </w:t>
      </w:r>
      <w:r w:rsidR="00FD156F">
        <w:t xml:space="preserve">Sind diese erfüllt, </w:t>
      </w:r>
      <w:r w:rsidR="00241E08" w:rsidRPr="00A91BBB">
        <w:t xml:space="preserve">stärkt </w:t>
      </w:r>
      <w:r w:rsidR="009F5A21">
        <w:t xml:space="preserve">dies </w:t>
      </w:r>
      <w:r w:rsidR="006019E0">
        <w:t>deren</w:t>
      </w:r>
      <w:r w:rsidR="00241E08" w:rsidRPr="00A91BBB">
        <w:t xml:space="preserve"> </w:t>
      </w:r>
      <w:r w:rsidRPr="00A91BBB">
        <w:t xml:space="preserve">intrinsische Motivation und Selbststeuerung. Lernen wird </w:t>
      </w:r>
      <w:r w:rsidR="00C2644F">
        <w:t>stärker zu einem</w:t>
      </w:r>
      <w:r w:rsidRPr="00A91BBB">
        <w:t xml:space="preserve"> selbstgesteuerte</w:t>
      </w:r>
      <w:r w:rsidR="00C2644F">
        <w:t>n</w:t>
      </w:r>
      <w:r w:rsidRPr="00A91BBB">
        <w:t xml:space="preserve"> Prozess, wenn Lernende das Gefühl haben, in Entscheidungen eingebunden zu sein und Aufgaben meistern zu können. Diese</w:t>
      </w:r>
      <w:r w:rsidR="001C72C8" w:rsidRPr="00A91BBB">
        <w:t xml:space="preserve"> Theorie </w:t>
      </w:r>
      <w:r w:rsidRPr="00A91BBB">
        <w:t xml:space="preserve">unterstützt das </w:t>
      </w:r>
      <w:r w:rsidR="00CD0636">
        <w:t xml:space="preserve">Ziel des </w:t>
      </w:r>
      <w:r w:rsidRPr="00A91BBB">
        <w:t>Empowerment</w:t>
      </w:r>
      <w:r w:rsidR="00CD0636">
        <w:t>s</w:t>
      </w:r>
      <w:r w:rsidR="00EB2427" w:rsidRPr="00A91BBB">
        <w:t>.</w:t>
      </w:r>
      <w:r w:rsidRPr="00A91BBB">
        <w:t xml:space="preserve"> </w:t>
      </w:r>
      <w:r w:rsidR="00EB2427" w:rsidRPr="00A91BBB">
        <w:t>E</w:t>
      </w:r>
      <w:r w:rsidRPr="00A91BBB">
        <w:t>rleben</w:t>
      </w:r>
      <w:r w:rsidR="00F03C95" w:rsidRPr="00A91BBB">
        <w:t xml:space="preserve"> </w:t>
      </w:r>
      <w:r w:rsidRPr="00A91BBB">
        <w:t xml:space="preserve">Lernende </w:t>
      </w:r>
      <w:r w:rsidR="00F03C95" w:rsidRPr="00A91BBB">
        <w:t xml:space="preserve">Autonomie, entwickeln sie </w:t>
      </w:r>
      <w:r w:rsidRPr="00A91BBB">
        <w:t>mehr Selbstwirksamkeit und übernehmen Verantwortung für ihr Lernen. Entsprechend empfiehlt eine ermächtigende Pädagogik, Lernumgebungen so zu gestalten, dass sie die Bedürfnisse nach Selbstbestimmung und Kompetenz erfüllen (</w:t>
      </w:r>
      <w:r w:rsidR="009F36BD">
        <w:t>ebd.</w:t>
      </w:r>
      <w:r w:rsidRPr="00A91BBB">
        <w:t xml:space="preserve">). </w:t>
      </w:r>
    </w:p>
    <w:p w14:paraId="0713A5E0" w14:textId="12AC0572" w:rsidR="008D3F10" w:rsidRPr="00A91BBB" w:rsidRDefault="008D3F10" w:rsidP="00094747">
      <w:pPr>
        <w:pStyle w:val="Textkrper"/>
        <w:ind w:firstLine="0"/>
      </w:pPr>
      <w:r w:rsidRPr="00A91BBB">
        <w:lastRenderedPageBreak/>
        <w:t xml:space="preserve">Die Einbindung digitaler Medien kann </w:t>
      </w:r>
      <w:r w:rsidR="00C13F33">
        <w:t>Empowerment</w:t>
      </w:r>
      <w:r w:rsidRPr="00A91BBB">
        <w:t xml:space="preserve"> weiter unterstützen. Das Konzept</w:t>
      </w:r>
      <w:r w:rsidR="00094747">
        <w:t xml:space="preserve"> der</w:t>
      </w:r>
      <w:r w:rsidRPr="00A91BBB">
        <w:t xml:space="preserve"> </w:t>
      </w:r>
      <w:proofErr w:type="spellStart"/>
      <w:r w:rsidRPr="00094747">
        <w:t>Diklusion</w:t>
      </w:r>
      <w:proofErr w:type="spellEnd"/>
      <w:r w:rsidRPr="00A91BBB">
        <w:t xml:space="preserve"> (Schulz, 2021) verbindet digitale Medien und Inklusion. </w:t>
      </w:r>
      <w:r w:rsidR="000E40B9" w:rsidRPr="00A91BBB">
        <w:t xml:space="preserve">Das </w:t>
      </w:r>
      <w:r w:rsidRPr="00A91BBB">
        <w:t xml:space="preserve">Ziel </w:t>
      </w:r>
      <w:proofErr w:type="spellStart"/>
      <w:r w:rsidRPr="00A91BBB">
        <w:t>diklusiven</w:t>
      </w:r>
      <w:proofErr w:type="spellEnd"/>
      <w:r w:rsidRPr="00A91BBB">
        <w:t xml:space="preserve"> Unterrichts ist, Lernumgebungen so zu gestalten, dass alle Schüler:innen</w:t>
      </w:r>
      <w:r w:rsidR="000E40B9" w:rsidRPr="00A91BBB">
        <w:t xml:space="preserve"> erfolgreich lernen können,</w:t>
      </w:r>
      <w:r w:rsidRPr="00A91BBB">
        <w:t xml:space="preserve"> unabhängig von individuellen Voraussetzungen. Digitale Werkzeuge unterstützen dabei, Barrieren abzubauen</w:t>
      </w:r>
      <w:r w:rsidR="00154677" w:rsidRPr="00A91BBB">
        <w:t xml:space="preserve">, </w:t>
      </w:r>
      <w:r w:rsidRPr="00A91BBB">
        <w:t>Lernprozesse zu individualisieren</w:t>
      </w:r>
      <w:r w:rsidR="00154677" w:rsidRPr="00A91BBB">
        <w:t xml:space="preserve"> </w:t>
      </w:r>
      <w:r w:rsidRPr="00A91BBB">
        <w:t xml:space="preserve">sowie Kooperation zu ermöglichen. So </w:t>
      </w:r>
      <w:r w:rsidR="005C1D31" w:rsidRPr="00A91BBB">
        <w:t xml:space="preserve">machen </w:t>
      </w:r>
      <w:r w:rsidRPr="00A91BBB">
        <w:t xml:space="preserve">adaptive Lernsoftware, </w:t>
      </w:r>
      <w:r w:rsidR="00D70336" w:rsidRPr="00A91BBB">
        <w:t xml:space="preserve">multimediale Inhalte oder </w:t>
      </w:r>
      <w:proofErr w:type="spellStart"/>
      <w:r w:rsidR="004C3429">
        <w:t>a</w:t>
      </w:r>
      <w:r w:rsidR="000839F4" w:rsidRPr="00A91BBB">
        <w:t>ssistive</w:t>
      </w:r>
      <w:proofErr w:type="spellEnd"/>
      <w:r w:rsidR="000839F4" w:rsidRPr="00A91BBB">
        <w:t xml:space="preserve"> </w:t>
      </w:r>
      <w:r w:rsidRPr="00A91BBB">
        <w:t>Technologien (z.</w:t>
      </w:r>
      <w:r w:rsidR="000839F4">
        <w:rPr>
          <w:rFonts w:ascii="Times New Roman" w:hAnsi="Times New Roman" w:cs="Times New Roman"/>
        </w:rPr>
        <w:t> </w:t>
      </w:r>
      <w:r w:rsidR="000839F4" w:rsidRPr="00A91BBB">
        <w:t>B</w:t>
      </w:r>
      <w:r w:rsidRPr="00A91BBB">
        <w:t>. Screenreader, Übersetzungs-Apps)</w:t>
      </w:r>
      <w:r w:rsidR="00D70336" w:rsidRPr="00A91BBB">
        <w:t>,</w:t>
      </w:r>
      <w:r w:rsidRPr="00A91BBB">
        <w:t xml:space="preserve"> Lerninhalte auf vielfältige Weise zugänglich (Krstoski &amp; Schulz, 2023). Schulz et</w:t>
      </w:r>
      <w:r w:rsidRPr="00A91BBB">
        <w:rPr>
          <w:rFonts w:ascii="Times New Roman" w:hAnsi="Times New Roman" w:cs="Times New Roman"/>
        </w:rPr>
        <w:t> </w:t>
      </w:r>
      <w:r w:rsidRPr="00A91BBB">
        <w:t>al. (2025) zeigen, dass personalisiertes Lernen mit digitalen Medien grö</w:t>
      </w:r>
      <w:r w:rsidR="00250712">
        <w:t>ss</w:t>
      </w:r>
      <w:r w:rsidRPr="00A91BBB">
        <w:t>ere Freiräume und mehr eigenverantwortliches Lernen</w:t>
      </w:r>
      <w:r w:rsidR="000839F4" w:rsidRPr="00A91BBB">
        <w:t xml:space="preserve"> </w:t>
      </w:r>
      <w:r w:rsidRPr="00A91BBB">
        <w:t xml:space="preserve">ermöglicht. Fehlen jedoch beispielsweise Lern- oder Selbstregulationskompetenzen, kann </w:t>
      </w:r>
      <w:r w:rsidR="009A12EB">
        <w:t>dies Lernende überfordern</w:t>
      </w:r>
      <w:r w:rsidRPr="00A91BBB">
        <w:t>.</w:t>
      </w:r>
    </w:p>
    <w:p w14:paraId="17CF3A0D" w14:textId="15E78CF4" w:rsidR="008D3F10" w:rsidRPr="00A91BBB" w:rsidRDefault="00747BC9" w:rsidP="008D3F10">
      <w:pPr>
        <w:pStyle w:val="Textkrper"/>
      </w:pPr>
      <w:r w:rsidRPr="00747BC9">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6F17365E" wp14:editId="3515FFE0">
                <wp:simplePos x="0" y="0"/>
                <wp:positionH relativeFrom="page">
                  <wp:posOffset>0</wp:posOffset>
                </wp:positionH>
                <wp:positionV relativeFrom="paragraph">
                  <wp:posOffset>1021715</wp:posOffset>
                </wp:positionV>
                <wp:extent cx="5248275" cy="492760"/>
                <wp:effectExtent l="0" t="0" r="0" b="2540"/>
                <wp:wrapTopAndBottom/>
                <wp:docPr id="1667753536" name="Textfeld 1667753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92760"/>
                        </a:xfrm>
                        <a:prstGeom prst="rect">
                          <a:avLst/>
                        </a:prstGeom>
                        <a:noFill/>
                        <a:ln w="9525">
                          <a:noFill/>
                          <a:miter lim="800000"/>
                          <a:headEnd/>
                          <a:tailEnd/>
                        </a:ln>
                      </wps:spPr>
                      <wps:txbx>
                        <w:txbxContent>
                          <w:p w14:paraId="23C051BE" w14:textId="624ECA52" w:rsidR="00747BC9" w:rsidRPr="00151FB1" w:rsidRDefault="00A8430C" w:rsidP="00747BC9">
                            <w:pPr>
                              <w:pStyle w:val="Hervorhebung1"/>
                              <w:rPr>
                                <w:lang w:val="de-DE"/>
                              </w:rPr>
                            </w:pPr>
                            <w:r>
                              <w:rPr>
                                <w:lang w:val="de-DE"/>
                              </w:rPr>
                              <w:t xml:space="preserve">Die </w:t>
                            </w:r>
                            <w:r w:rsidRPr="00A8430C">
                              <w:rPr>
                                <w:lang w:val="de-DE"/>
                              </w:rPr>
                              <w:t xml:space="preserve">Lernenden </w:t>
                            </w:r>
                            <w:r>
                              <w:rPr>
                                <w:lang w:val="de-DE"/>
                              </w:rPr>
                              <w:t xml:space="preserve">können </w:t>
                            </w:r>
                            <w:r w:rsidRPr="00A8430C">
                              <w:rPr>
                                <w:lang w:val="de-DE"/>
                              </w:rPr>
                              <w:t xml:space="preserve">das eigene Lernen aktiv steuern, indem sie Raum für eigene Entscheidungen erhalten.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7365E" id="_x0000_t202" coordsize="21600,21600" o:spt="202" path="m,l,21600r21600,l21600,xe">
                <v:stroke joinstyle="miter"/>
                <v:path gradientshapeok="t" o:connecttype="rect"/>
              </v:shapetype>
              <v:shape id="Textfeld 1667753536" o:spid="_x0000_s1026" type="#_x0000_t202" alt="&quot;&quot;" style="position:absolute;left:0;text-align:left;margin-left:0;margin-top:80.45pt;width:413.2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" o:allowoverlap="f" filled="f" stroked="f">
                <v:textbox inset="29mm,,2.5mm">
                  <w:txbxContent>
                    <w:p w14:paraId="23C051BE" w14:textId="624ECA52" w:rsidR="00747BC9" w:rsidRPr="00151FB1" w:rsidRDefault="00A8430C" w:rsidP="00747BC9">
                      <w:pPr>
                        <w:pStyle w:val="Hervorhebung1"/>
                        <w:rPr>
                          <w:lang w:val="de-DE"/>
                        </w:rPr>
                      </w:pPr>
                      <w:r>
                        <w:rPr>
                          <w:lang w:val="de-DE"/>
                        </w:rPr>
                        <w:t xml:space="preserve">Die </w:t>
                      </w:r>
                      <w:r w:rsidRPr="00A8430C">
                        <w:rPr>
                          <w:lang w:val="de-DE"/>
                        </w:rPr>
                        <w:t xml:space="preserve">Lernenden </w:t>
                      </w:r>
                      <w:r>
                        <w:rPr>
                          <w:lang w:val="de-DE"/>
                        </w:rPr>
                        <w:t xml:space="preserve">können </w:t>
                      </w:r>
                      <w:r w:rsidRPr="00A8430C">
                        <w:rPr>
                          <w:lang w:val="de-DE"/>
                        </w:rPr>
                        <w:t xml:space="preserve">das eigene Lernen aktiv steuern, indem sie Raum für eigene Entscheidungen erhalten. </w:t>
                      </w:r>
                    </w:p>
                  </w:txbxContent>
                </v:textbox>
                <w10:wrap type="topAndBottom" anchorx="page"/>
              </v:shape>
            </w:pict>
          </mc:Fallback>
        </mc:AlternateContent>
      </w:r>
      <w:r w:rsidR="00267761">
        <w:t xml:space="preserve">Konzepte des </w:t>
      </w:r>
      <w:r w:rsidR="008D3F10" w:rsidRPr="00C11221">
        <w:rPr>
          <w:i/>
          <w:iCs/>
        </w:rPr>
        <w:t>U</w:t>
      </w:r>
      <w:r w:rsidR="00D4598B" w:rsidRPr="00C11221">
        <w:rPr>
          <w:i/>
          <w:iCs/>
        </w:rPr>
        <w:t xml:space="preserve">niversal Design </w:t>
      </w:r>
      <w:proofErr w:type="spellStart"/>
      <w:r w:rsidR="00D4598B" w:rsidRPr="00C11221">
        <w:rPr>
          <w:i/>
          <w:iCs/>
        </w:rPr>
        <w:t>for</w:t>
      </w:r>
      <w:proofErr w:type="spellEnd"/>
      <w:r w:rsidR="00D4598B" w:rsidRPr="00C11221">
        <w:rPr>
          <w:i/>
          <w:iCs/>
        </w:rPr>
        <w:t xml:space="preserve"> Learning </w:t>
      </w:r>
      <w:r w:rsidR="00FE4D20" w:rsidRPr="00834489">
        <w:t>(U</w:t>
      </w:r>
      <w:r w:rsidR="008D3F10" w:rsidRPr="00834489">
        <w:t>DL</w:t>
      </w:r>
      <w:r w:rsidR="00FE4D20" w:rsidRPr="00834489">
        <w:t>)</w:t>
      </w:r>
      <w:r w:rsidR="008D3F10" w:rsidRPr="00A91BBB">
        <w:t xml:space="preserve"> </w:t>
      </w:r>
      <w:r w:rsidR="00427637">
        <w:t xml:space="preserve">fördern </w:t>
      </w:r>
      <w:r w:rsidR="008D3F10" w:rsidRPr="00A91BBB">
        <w:t xml:space="preserve">gezielt die sogenannte </w:t>
      </w:r>
      <w:r w:rsidR="008D3F10" w:rsidRPr="00A91BBB">
        <w:rPr>
          <w:i/>
          <w:iCs/>
        </w:rPr>
        <w:t>Learner Agency</w:t>
      </w:r>
      <w:r w:rsidR="00D4598B" w:rsidRPr="00A91BBB">
        <w:t>.</w:t>
      </w:r>
      <w:r w:rsidR="008D3F10" w:rsidRPr="00A91BBB">
        <w:t xml:space="preserve"> </w:t>
      </w:r>
      <w:r w:rsidR="00564E27">
        <w:t>Damit ist</w:t>
      </w:r>
      <w:r w:rsidR="008D3F10" w:rsidRPr="00A91BBB">
        <w:t xml:space="preserve"> die Fähigkeit</w:t>
      </w:r>
      <w:r w:rsidR="00564E27">
        <w:t xml:space="preserve"> </w:t>
      </w:r>
      <w:r w:rsidR="009B2A47">
        <w:t xml:space="preserve">von Lernenden </w:t>
      </w:r>
      <w:r w:rsidR="00564E27">
        <w:t>gemeint</w:t>
      </w:r>
      <w:r w:rsidR="008D3F10" w:rsidRPr="00A91BBB">
        <w:t>, das eigene Lernen aktiv zu steuern (CAST</w:t>
      </w:r>
      <w:r w:rsidR="00C225A4" w:rsidRPr="00A91BBB">
        <w:t>,</w:t>
      </w:r>
      <w:r w:rsidR="008D3F10" w:rsidRPr="00A91BBB">
        <w:t xml:space="preserve"> 2024), indem </w:t>
      </w:r>
      <w:r w:rsidR="009B2A47">
        <w:t>sie</w:t>
      </w:r>
      <w:r w:rsidR="008D3F10" w:rsidRPr="00A91BBB">
        <w:t xml:space="preserve"> Raum für eigene Entscheidungen </w:t>
      </w:r>
      <w:r w:rsidR="0083182D" w:rsidRPr="00A91BBB">
        <w:t>erhalten</w:t>
      </w:r>
      <w:r w:rsidR="008D3F10" w:rsidRPr="00A91BBB">
        <w:t xml:space="preserve">. </w:t>
      </w:r>
      <w:r w:rsidR="00153C2C" w:rsidRPr="00A91BBB">
        <w:t>Das Konzept</w:t>
      </w:r>
      <w:r w:rsidR="00153C2C" w:rsidRPr="001706C3">
        <w:t xml:space="preserve"> </w:t>
      </w:r>
      <w:proofErr w:type="spellStart"/>
      <w:r w:rsidR="008D3F10" w:rsidRPr="001706C3">
        <w:t>Diklusion</w:t>
      </w:r>
      <w:proofErr w:type="spellEnd"/>
      <w:r w:rsidR="008D3F10" w:rsidRPr="00A91BBB">
        <w:t xml:space="preserve"> verknüpft diese Prinzipien mit digitalen Möglichkeiten. </w:t>
      </w:r>
      <w:r w:rsidR="00674E7E" w:rsidRPr="00A91BBB">
        <w:t>Wenn</w:t>
      </w:r>
      <w:r w:rsidR="008D3F10" w:rsidRPr="00A91BBB">
        <w:t xml:space="preserve"> Lehrpersonen geeignete Unterstützungssysteme einbauen, führen </w:t>
      </w:r>
      <w:r w:rsidR="001B2847">
        <w:t>digital-inklusiv</w:t>
      </w:r>
      <w:r w:rsidR="008D3F10" w:rsidRPr="00A91BBB">
        <w:t xml:space="preserve"> gestaltete Szenarien dazu, dass Lernende </w:t>
      </w:r>
      <w:r w:rsidR="007204BD">
        <w:t xml:space="preserve">stärker teilhaben und </w:t>
      </w:r>
      <w:r w:rsidR="008D3F10" w:rsidRPr="00A91BBB">
        <w:t>zunehmend selbstbestimmt</w:t>
      </w:r>
      <w:r w:rsidR="007204BD">
        <w:t xml:space="preserve"> </w:t>
      </w:r>
      <w:r w:rsidR="008D3F10" w:rsidRPr="00A91BBB">
        <w:t xml:space="preserve">und </w:t>
      </w:r>
      <w:r w:rsidR="007204BD">
        <w:t>eigen</w:t>
      </w:r>
      <w:r w:rsidR="008D3F10" w:rsidRPr="00A91BBB">
        <w:t>verantwortlich lernen können.</w:t>
      </w:r>
    </w:p>
    <w:p w14:paraId="777D2769" w14:textId="0AC3817B" w:rsidR="008D3F10" w:rsidRPr="00593BAA" w:rsidRDefault="008D3F10" w:rsidP="00543BEE">
      <w:pPr>
        <w:pStyle w:val="berschrift1"/>
        <w:rPr>
          <w:lang w:val="en-US"/>
        </w:rPr>
      </w:pPr>
      <w:r w:rsidRPr="00593BAA">
        <w:rPr>
          <w:lang w:val="en-US"/>
        </w:rPr>
        <w:t xml:space="preserve">Universal Design for Learning und </w:t>
      </w:r>
      <w:proofErr w:type="spellStart"/>
      <w:r w:rsidRPr="00593BAA">
        <w:rPr>
          <w:lang w:val="en-US"/>
        </w:rPr>
        <w:t>Diklusion</w:t>
      </w:r>
      <w:proofErr w:type="spellEnd"/>
    </w:p>
    <w:p w14:paraId="09FE9A51" w14:textId="77777777" w:rsidR="00193A95" w:rsidRDefault="008D3F10" w:rsidP="007C1BF0">
      <w:pPr>
        <w:pStyle w:val="Textkrper"/>
        <w:ind w:firstLine="0"/>
      </w:pPr>
      <w:r w:rsidRPr="00A91BBB">
        <w:t>Das UDL beschreibt einen Gestaltungsrahmen</w:t>
      </w:r>
      <w:r w:rsidR="007D676B" w:rsidRPr="00A91BBB">
        <w:t>. E</w:t>
      </w:r>
      <w:r w:rsidR="000459D1" w:rsidRPr="00A91BBB">
        <w:t>s</w:t>
      </w:r>
      <w:r w:rsidR="007D676B" w:rsidRPr="00A91BBB">
        <w:t xml:space="preserve"> </w:t>
      </w:r>
      <w:r w:rsidR="00FC1C75" w:rsidRPr="00A91BBB">
        <w:t xml:space="preserve">konzipiert </w:t>
      </w:r>
      <w:r w:rsidRPr="00A91BBB">
        <w:t xml:space="preserve">Lernumgebungen von Beginn an so, dass sie allen Lernenden unabhängig von individuellen Voraussetzungen zugänglich sind. Grundlage des Konzepts sind drei zentrale Lernnetzwerke des Gehirns: </w:t>
      </w:r>
    </w:p>
    <w:p w14:paraId="4B0FAFF8" w14:textId="77777777" w:rsidR="00193A95" w:rsidRDefault="008D3F10" w:rsidP="00193A95">
      <w:pPr>
        <w:pStyle w:val="Textkrper"/>
        <w:numPr>
          <w:ilvl w:val="0"/>
          <w:numId w:val="42"/>
        </w:numPr>
      </w:pPr>
      <w:r w:rsidRPr="00A91BBB">
        <w:t xml:space="preserve">das affektive Netzwerk (Warum? Motivation und Engagement), </w:t>
      </w:r>
    </w:p>
    <w:p w14:paraId="7D87BE09" w14:textId="77777777" w:rsidR="00193A95" w:rsidRDefault="008D3F10" w:rsidP="00193A95">
      <w:pPr>
        <w:pStyle w:val="Textkrper"/>
        <w:numPr>
          <w:ilvl w:val="0"/>
          <w:numId w:val="42"/>
        </w:numPr>
      </w:pPr>
      <w:r w:rsidRPr="00A91BBB">
        <w:t xml:space="preserve">das wahrnehmende Netzwerk (Was? Aufnahme und Verarbeitung von Informationen) und </w:t>
      </w:r>
    </w:p>
    <w:p w14:paraId="1917DA20" w14:textId="77777777" w:rsidR="00193A95" w:rsidRDefault="008D3F10" w:rsidP="00193A95">
      <w:pPr>
        <w:pStyle w:val="Textkrper"/>
        <w:numPr>
          <w:ilvl w:val="0"/>
          <w:numId w:val="42"/>
        </w:numPr>
      </w:pPr>
      <w:r w:rsidRPr="00A91BBB">
        <w:t xml:space="preserve">das strategische Netzwerk (Wie? Planung, Handlung und Ausdruck). </w:t>
      </w:r>
    </w:p>
    <w:p w14:paraId="38D9FE77" w14:textId="67EB2046" w:rsidR="001B7AD9" w:rsidRPr="00A91BBB" w:rsidRDefault="008D3F10" w:rsidP="00193A95">
      <w:pPr>
        <w:pStyle w:val="Textkrper"/>
        <w:ind w:firstLine="0"/>
      </w:pPr>
      <w:r w:rsidRPr="00A91BBB">
        <w:t xml:space="preserve">Daraus </w:t>
      </w:r>
      <w:r w:rsidR="00172B58" w:rsidRPr="00A91BBB">
        <w:t xml:space="preserve">werden </w:t>
      </w:r>
      <w:r w:rsidRPr="00A91BBB">
        <w:t>drei Prinzipien ab</w:t>
      </w:r>
      <w:r w:rsidR="00172B58" w:rsidRPr="00A91BBB">
        <w:t>geleitet</w:t>
      </w:r>
      <w:r w:rsidRPr="00A91BBB">
        <w:t>: Engagement, Repräsentation sowie Handlung und Ausdruck (Meyer</w:t>
      </w:r>
      <w:r w:rsidR="006700B7">
        <w:t xml:space="preserve"> et al.</w:t>
      </w:r>
      <w:r w:rsidRPr="00A91BBB">
        <w:t xml:space="preserve">, 2014). </w:t>
      </w:r>
      <w:r w:rsidR="003B308A" w:rsidRPr="003B308A">
        <w:t xml:space="preserve">In diesem Beitrag dienen diese Prinzipien als struktureller Rahmen, um die Potenziale digitaler Lernsettings für Empowerment und </w:t>
      </w:r>
      <w:r w:rsidR="003B308A" w:rsidRPr="00476E9E">
        <w:rPr>
          <w:i/>
          <w:iCs/>
        </w:rPr>
        <w:t>Learner</w:t>
      </w:r>
      <w:r w:rsidR="00B3753E" w:rsidRPr="00476E9E">
        <w:rPr>
          <w:i/>
          <w:iCs/>
        </w:rPr>
        <w:t xml:space="preserve"> </w:t>
      </w:r>
      <w:r w:rsidR="003B308A" w:rsidRPr="00476E9E">
        <w:rPr>
          <w:i/>
          <w:iCs/>
        </w:rPr>
        <w:t>Agency</w:t>
      </w:r>
      <w:r w:rsidR="003B308A" w:rsidRPr="003B308A">
        <w:t xml:space="preserve"> in inklusiven Lernumgebungen zu analysieren. </w:t>
      </w:r>
      <w:r w:rsidRPr="00A91BBB">
        <w:t xml:space="preserve">UDL versteht Lernen als variabel, da Menschen sich in Zugängen, Interessen und Ausdrucksformen unterscheiden. Ziel ist es, Barrieren präventiv zu vermeiden, </w:t>
      </w:r>
      <w:r w:rsidR="00DE04D5">
        <w:t>«</w:t>
      </w:r>
      <w:r w:rsidRPr="00A91BBB">
        <w:t>da sie nicht in den Lernenden selbst, sondern in der Gestaltung der Lernumgebung liegen</w:t>
      </w:r>
      <w:r w:rsidR="008D5E1B">
        <w:t>»</w:t>
      </w:r>
      <w:r w:rsidRPr="00A91BBB">
        <w:t xml:space="preserve"> (Nelson, 2020</w:t>
      </w:r>
      <w:r w:rsidR="008475BA" w:rsidRPr="00A91BBB">
        <w:t>, S.</w:t>
      </w:r>
      <w:r w:rsidR="002250CE">
        <w:t> </w:t>
      </w:r>
      <w:r w:rsidR="00A4234B">
        <w:t>3</w:t>
      </w:r>
      <w:r w:rsidR="001B2847">
        <w:t>)</w:t>
      </w:r>
      <w:r w:rsidRPr="00A91BBB">
        <w:t xml:space="preserve">. </w:t>
      </w:r>
      <w:r w:rsidR="008805BA" w:rsidRPr="00A91BBB">
        <w:t xml:space="preserve">Wenn </w:t>
      </w:r>
      <w:r w:rsidRPr="00A91BBB">
        <w:t>Vielfalt als Normalität menschlichen Lernens</w:t>
      </w:r>
      <w:r w:rsidR="008805BA" w:rsidRPr="00A91BBB">
        <w:t xml:space="preserve"> </w:t>
      </w:r>
      <w:r w:rsidR="0041611C">
        <w:t>verstanden wird</w:t>
      </w:r>
      <w:r w:rsidRPr="00A91BBB">
        <w:t xml:space="preserve">, </w:t>
      </w:r>
      <w:r w:rsidR="00D32D0B" w:rsidRPr="00A91BBB">
        <w:t>vermeidet d</w:t>
      </w:r>
      <w:r w:rsidR="009247DE" w:rsidRPr="00A91BBB">
        <w:t>ies</w:t>
      </w:r>
      <w:r w:rsidR="00D32D0B" w:rsidRPr="00A91BBB">
        <w:t xml:space="preserve"> </w:t>
      </w:r>
      <w:r w:rsidRPr="00A91BBB">
        <w:t>Stigmatisierungen</w:t>
      </w:r>
      <w:r w:rsidR="00E97829">
        <w:t>.</w:t>
      </w:r>
    </w:p>
    <w:p w14:paraId="2DFAED6B" w14:textId="2B6F2305" w:rsidR="006717E0" w:rsidRDefault="008D3F10" w:rsidP="001B7AD9">
      <w:pPr>
        <w:pStyle w:val="Textkrper"/>
      </w:pPr>
      <w:r w:rsidRPr="00A91BBB">
        <w:t xml:space="preserve">Didaktisch bedeutet UDL, gemeinsame Lernziele mit vielfältigen Zugangswegen zu verbinden (Novak, 2022). Lernende verfolgen gemeinsame </w:t>
      </w:r>
      <w:r w:rsidR="00227028">
        <w:t>Z</w:t>
      </w:r>
      <w:r w:rsidR="00227028" w:rsidRPr="00A91BBB">
        <w:t>iele</w:t>
      </w:r>
      <w:r w:rsidR="009247DE" w:rsidRPr="00A91BBB">
        <w:t>. Sie</w:t>
      </w:r>
      <w:r w:rsidRPr="00A91BBB">
        <w:t xml:space="preserve"> wählen aber unterschiedliche Materialien, Ausdrucksformen und Unterstützungsstrukturen, um diese zu erreichen. Novak (2022</w:t>
      </w:r>
      <w:r w:rsidR="00197552">
        <w:t xml:space="preserve">) </w:t>
      </w:r>
      <w:r w:rsidRPr="00A91BBB">
        <w:t xml:space="preserve">fasst dieses Prinzip prägnant </w:t>
      </w:r>
      <w:r w:rsidR="00712460">
        <w:t xml:space="preserve">zusammen </w:t>
      </w:r>
      <w:r w:rsidRPr="00A91BBB">
        <w:t xml:space="preserve">als </w:t>
      </w:r>
      <w:r w:rsidR="007A6325">
        <w:t>«</w:t>
      </w:r>
      <w:r w:rsidRPr="00A91BBB">
        <w:t>feste Ziele und flexible Wege</w:t>
      </w:r>
      <w:r w:rsidR="007A6325">
        <w:t>»</w:t>
      </w:r>
      <w:r w:rsidR="00197552" w:rsidRPr="00197552">
        <w:t xml:space="preserve"> </w:t>
      </w:r>
      <w:r w:rsidR="00197552">
        <w:t>(</w:t>
      </w:r>
      <w:r w:rsidR="00197552" w:rsidRPr="00A91BBB">
        <w:t>S.</w:t>
      </w:r>
      <w:r w:rsidR="00197552">
        <w:t> 9)</w:t>
      </w:r>
      <w:r w:rsidRPr="00A91BBB">
        <w:t xml:space="preserve">. UDL fördert die Entwicklung von </w:t>
      </w:r>
      <w:r w:rsidRPr="0087061D">
        <w:rPr>
          <w:i/>
          <w:iCs/>
        </w:rPr>
        <w:t>Learner Agency</w:t>
      </w:r>
      <w:r w:rsidRPr="00A91BBB">
        <w:t xml:space="preserve"> und schafft dafür Räume der Wahl (</w:t>
      </w:r>
      <w:r w:rsidRPr="0087061D">
        <w:rPr>
          <w:i/>
          <w:iCs/>
        </w:rPr>
        <w:t>Choice</w:t>
      </w:r>
      <w:r w:rsidRPr="00A91BBB">
        <w:t>) und Mitbestimmung (</w:t>
      </w:r>
      <w:r w:rsidRPr="0087061D">
        <w:rPr>
          <w:i/>
          <w:iCs/>
        </w:rPr>
        <w:t>Voice</w:t>
      </w:r>
      <w:r w:rsidRPr="00A91BBB">
        <w:t>) (</w:t>
      </w:r>
      <w:r w:rsidR="00447125">
        <w:t>ebd.</w:t>
      </w:r>
      <w:r w:rsidRPr="00A91BBB">
        <w:t>).</w:t>
      </w:r>
      <w:r w:rsidR="003B308A">
        <w:t xml:space="preserve"> </w:t>
      </w:r>
    </w:p>
    <w:p w14:paraId="01B0DE35" w14:textId="587649C4" w:rsidR="003B308A" w:rsidRDefault="006717E0" w:rsidP="001B7AD9">
      <w:pPr>
        <w:pStyle w:val="Textkrper"/>
      </w:pPr>
      <w:r>
        <w:t>Die</w:t>
      </w:r>
      <w:r w:rsidRPr="00A91BBB">
        <w:t xml:space="preserve"> neuen UDL-Leitlinien (vgl. Abb. 1) rück</w:t>
      </w:r>
      <w:r>
        <w:t>en</w:t>
      </w:r>
      <w:r w:rsidRPr="00A91BBB">
        <w:t xml:space="preserve"> die Aktivität der Lernenden stärker in den Fokus. </w:t>
      </w:r>
      <w:r w:rsidR="003B308A" w:rsidRPr="003B308A">
        <w:t>Sie zeigen, wie die drei UDL</w:t>
      </w:r>
      <w:r w:rsidR="003B308A" w:rsidRPr="003B308A">
        <w:noBreakHyphen/>
        <w:t xml:space="preserve">Prinzipien jeweils in die Ebenen </w:t>
      </w:r>
      <w:r w:rsidR="003B308A" w:rsidRPr="00FA5B4F">
        <w:rPr>
          <w:i/>
          <w:iCs/>
        </w:rPr>
        <w:t>Access, Support</w:t>
      </w:r>
      <w:r w:rsidR="003B308A" w:rsidRPr="003B308A">
        <w:t xml:space="preserve"> und </w:t>
      </w:r>
      <w:r w:rsidR="003B308A" w:rsidRPr="00FA5B4F">
        <w:rPr>
          <w:i/>
          <w:iCs/>
        </w:rPr>
        <w:t xml:space="preserve">Executive </w:t>
      </w:r>
      <w:proofErr w:type="spellStart"/>
      <w:r w:rsidR="003B308A" w:rsidRPr="00FA5B4F">
        <w:rPr>
          <w:i/>
          <w:iCs/>
        </w:rPr>
        <w:t>Function</w:t>
      </w:r>
      <w:proofErr w:type="spellEnd"/>
      <w:r w:rsidR="003B308A" w:rsidRPr="003B308A">
        <w:t xml:space="preserve"> unterteilt sind. Diese Ebenen verdeutlichen, wi</w:t>
      </w:r>
      <w:r w:rsidR="00335846">
        <w:t>e</w:t>
      </w:r>
      <w:r w:rsidR="003B308A" w:rsidRPr="003B308A">
        <w:t xml:space="preserve"> Lerne</w:t>
      </w:r>
      <w:r w:rsidR="00897E27">
        <w:t>nde</w:t>
      </w:r>
      <w:r w:rsidR="003B308A" w:rsidRPr="003B308A">
        <w:t xml:space="preserve"> Zugang erhalten, dann gezielt unterstützt werden und schliesslich exekutive Funktionen wie Planung und Selbststeuerung übernehmen.</w:t>
      </w:r>
      <w:r w:rsidR="00335846">
        <w:t xml:space="preserve"> Sie können von Lehrkräften als Ideengeber und Planungsgrundlage für inklusive Lernumgebungen genutzt werden.</w:t>
      </w:r>
    </w:p>
    <w:p w14:paraId="1EE064FC" w14:textId="223CB2C5" w:rsidR="008D3F10" w:rsidRPr="00A91BBB" w:rsidRDefault="008D3F10" w:rsidP="001B7AD9">
      <w:pPr>
        <w:pStyle w:val="Textkrper"/>
      </w:pPr>
      <w:r w:rsidRPr="00A91BBB">
        <w:t xml:space="preserve">Lernende werden </w:t>
      </w:r>
      <w:r w:rsidR="00335846">
        <w:t>durch die UDL-Umgebung</w:t>
      </w:r>
      <w:r w:rsidRPr="00A91BBB">
        <w:t xml:space="preserve"> zu </w:t>
      </w:r>
      <w:proofErr w:type="spellStart"/>
      <w:r w:rsidRPr="00A91BBB">
        <w:t>Expert:innen</w:t>
      </w:r>
      <w:proofErr w:type="spellEnd"/>
      <w:r w:rsidRPr="00A91BBB">
        <w:t xml:space="preserve"> ihres eigenen Lernens</w:t>
      </w:r>
      <w:r w:rsidR="00A52F53" w:rsidRPr="00A91BBB">
        <w:t>. Sie</w:t>
      </w:r>
      <w:r w:rsidRPr="00A91BBB">
        <w:t xml:space="preserve"> </w:t>
      </w:r>
      <w:r w:rsidR="00A52F53" w:rsidRPr="00A91BBB">
        <w:t>treffen</w:t>
      </w:r>
      <w:r w:rsidRPr="00A91BBB">
        <w:t xml:space="preserve"> Entscheidungen, reflektieren und</w:t>
      </w:r>
      <w:r w:rsidR="00A52F53" w:rsidRPr="00A91BBB">
        <w:t xml:space="preserve"> übernehmen</w:t>
      </w:r>
      <w:r w:rsidRPr="00A91BBB">
        <w:t xml:space="preserve"> Verantwortung. UDL</w:t>
      </w:r>
      <w:r w:rsidR="00120BB9" w:rsidRPr="00A91BBB">
        <w:t xml:space="preserve"> stellt das</w:t>
      </w:r>
      <w:r w:rsidRPr="00A91BBB">
        <w:t xml:space="preserve"> Empowerment </w:t>
      </w:r>
      <w:r w:rsidR="00120BB9" w:rsidRPr="00A91BBB">
        <w:t>der Lernenden sicher</w:t>
      </w:r>
      <w:r w:rsidRPr="00A91BBB">
        <w:t xml:space="preserve">, indem </w:t>
      </w:r>
      <w:r w:rsidR="00120BB9" w:rsidRPr="00A91BBB">
        <w:t>diese</w:t>
      </w:r>
      <w:r w:rsidRPr="00A91BBB">
        <w:t xml:space="preserve"> sich als handlungsfähig erleben und Lernprozesse aktiv mitgestalten. UDL lässt sich somit als pädagogisches </w:t>
      </w:r>
      <w:r w:rsidR="00A17546" w:rsidRPr="00A91BBB">
        <w:t>Gestaltungs</w:t>
      </w:r>
      <w:r w:rsidRPr="00A91BBB">
        <w:t xml:space="preserve">prinzip begreifen, das Barrierefreiheit, </w:t>
      </w:r>
      <w:r w:rsidR="00F817A6" w:rsidRPr="00F817A6">
        <w:rPr>
          <w:i/>
          <w:iCs/>
        </w:rPr>
        <w:t xml:space="preserve">Learner </w:t>
      </w:r>
      <w:r w:rsidRPr="00F817A6">
        <w:rPr>
          <w:i/>
          <w:iCs/>
        </w:rPr>
        <w:t>Agency</w:t>
      </w:r>
      <w:r w:rsidRPr="00A91BBB">
        <w:t xml:space="preserve"> und Empowerment systematisch miteinander verknüpft.</w:t>
      </w:r>
    </w:p>
    <w:p w14:paraId="72E080B4" w14:textId="3CB11191" w:rsidR="008D3F10" w:rsidRDefault="008D3F10" w:rsidP="00834489">
      <w:pPr>
        <w:pStyle w:val="AbbildungBeschriftung"/>
        <w:rPr>
          <w:lang w:val="de-CH"/>
        </w:rPr>
      </w:pPr>
      <w:r w:rsidRPr="0087061D">
        <w:rPr>
          <w:lang w:val="de-CH"/>
        </w:rPr>
        <w:lastRenderedPageBreak/>
        <w:t>Abb</w:t>
      </w:r>
      <w:r w:rsidR="00F817A6">
        <w:rPr>
          <w:lang w:val="de-CH"/>
        </w:rPr>
        <w:t>ildung</w:t>
      </w:r>
      <w:r w:rsidRPr="0087061D">
        <w:rPr>
          <w:lang w:val="de-CH"/>
        </w:rPr>
        <w:t xml:space="preserve"> 1: </w:t>
      </w:r>
      <w:r w:rsidR="00651187">
        <w:rPr>
          <w:lang w:val="de-CH"/>
        </w:rPr>
        <w:t>G</w:t>
      </w:r>
      <w:r w:rsidRPr="0087061D">
        <w:rPr>
          <w:lang w:val="de-CH"/>
        </w:rPr>
        <w:t xml:space="preserve">rafische Übersicht </w:t>
      </w:r>
      <w:r w:rsidR="00651187">
        <w:rPr>
          <w:lang w:val="de-CH"/>
        </w:rPr>
        <w:t xml:space="preserve">über die UDL-Leitlinien </w:t>
      </w:r>
      <w:r w:rsidR="00AC4C6D">
        <w:rPr>
          <w:lang w:val="de-CH"/>
        </w:rPr>
        <w:t xml:space="preserve">mit </w:t>
      </w:r>
      <w:r w:rsidRPr="0087061D">
        <w:rPr>
          <w:lang w:val="de-CH"/>
        </w:rPr>
        <w:t>de</w:t>
      </w:r>
      <w:r w:rsidR="00AC4C6D">
        <w:rPr>
          <w:lang w:val="de-CH"/>
        </w:rPr>
        <w:t>n</w:t>
      </w:r>
      <w:r w:rsidRPr="0087061D">
        <w:rPr>
          <w:lang w:val="de-CH"/>
        </w:rPr>
        <w:t xml:space="preserve"> drei Prinzipien Access, Support, Executive </w:t>
      </w:r>
      <w:proofErr w:type="spellStart"/>
      <w:r w:rsidRPr="0087061D">
        <w:rPr>
          <w:lang w:val="de-CH"/>
        </w:rPr>
        <w:t>Function</w:t>
      </w:r>
      <w:proofErr w:type="spellEnd"/>
      <w:r w:rsidR="000C562F">
        <w:rPr>
          <w:lang w:val="de-CH"/>
        </w:rPr>
        <w:t xml:space="preserve"> (CAST, 2024)</w:t>
      </w:r>
    </w:p>
    <w:p w14:paraId="783EAFA2" w14:textId="74A3688F" w:rsidR="004250BC" w:rsidRPr="0087061D" w:rsidRDefault="00616449" w:rsidP="00834489">
      <w:pPr>
        <w:pStyle w:val="AbbildungBeschriftung"/>
        <w:rPr>
          <w:lang w:val="de-CH"/>
        </w:rPr>
      </w:pPr>
      <w:r>
        <w:rPr>
          <w:noProof/>
        </w:rPr>
        <w:drawing>
          <wp:inline distT="0" distB="0" distL="0" distR="0" wp14:anchorId="204E35DC" wp14:editId="43519C22">
            <wp:extent cx="5760085" cy="4319905"/>
            <wp:effectExtent l="0" t="0" r="0" b="4445"/>
            <wp:docPr id="91013638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760085" cy="4319905"/>
                    </a:xfrm>
                    <a:prstGeom prst="rect">
                      <a:avLst/>
                    </a:prstGeom>
                    <a:noFill/>
                    <a:ln>
                      <a:noFill/>
                    </a:ln>
                  </pic:spPr>
                </pic:pic>
              </a:graphicData>
            </a:graphic>
          </wp:inline>
        </w:drawing>
      </w:r>
    </w:p>
    <w:p w14:paraId="2DB83CFE" w14:textId="4329E3B5" w:rsidR="008D3F10" w:rsidRPr="00A91BBB" w:rsidRDefault="008D3F10" w:rsidP="00834489">
      <w:pPr>
        <w:pStyle w:val="Textkrper"/>
        <w:ind w:firstLine="0"/>
      </w:pPr>
      <w:r w:rsidRPr="00A91BBB">
        <w:t>Während das UDL den Rahmen für barrierefreie, lernendenzentrierte Lernumgebungen bietet, er</w:t>
      </w:r>
      <w:r w:rsidR="00E95212" w:rsidRPr="00A91BBB">
        <w:t>gänzt</w:t>
      </w:r>
      <w:r w:rsidRPr="00A91BBB">
        <w:t xml:space="preserve"> das Konzept der </w:t>
      </w:r>
      <w:proofErr w:type="spellStart"/>
      <w:r w:rsidRPr="00A91BBB">
        <w:t>Diklusion</w:t>
      </w:r>
      <w:proofErr w:type="spellEnd"/>
      <w:r w:rsidRPr="00A91BBB">
        <w:t xml:space="preserve"> (Schulz, 2018) diesen Ansatz </w:t>
      </w:r>
      <w:r w:rsidR="00E95212" w:rsidRPr="00A91BBB">
        <w:t>mit digitalen Aspekten</w:t>
      </w:r>
      <w:r w:rsidRPr="00A91BBB">
        <w:t xml:space="preserve">. Digitale Medien sind dabei integraler Bestandteil </w:t>
      </w:r>
      <w:r w:rsidR="00557D9B">
        <w:t>von</w:t>
      </w:r>
      <w:r w:rsidR="00557D9B" w:rsidRPr="00A91BBB">
        <w:t xml:space="preserve"> </w:t>
      </w:r>
      <w:r w:rsidRPr="00A91BBB">
        <w:t>inklusive</w:t>
      </w:r>
      <w:r w:rsidR="00557D9B">
        <w:t>m</w:t>
      </w:r>
      <w:r w:rsidRPr="00A91BBB">
        <w:t xml:space="preserve"> </w:t>
      </w:r>
      <w:r w:rsidR="00557D9B">
        <w:t>Unterricht</w:t>
      </w:r>
      <w:r w:rsidRPr="00A91BBB">
        <w:t xml:space="preserve">, </w:t>
      </w:r>
      <w:r w:rsidR="00117340">
        <w:t>der differenziert und zugänglich ist</w:t>
      </w:r>
      <w:r w:rsidRPr="00A91BBB">
        <w:t xml:space="preserve">. </w:t>
      </w:r>
      <w:r w:rsidR="006918B8" w:rsidRPr="00A91BBB">
        <w:t>D</w:t>
      </w:r>
      <w:r w:rsidR="006918B8">
        <w:t>er Ansatz</w:t>
      </w:r>
      <w:r w:rsidR="006918B8" w:rsidRPr="00A91BBB">
        <w:t xml:space="preserve"> </w:t>
      </w:r>
      <w:r w:rsidRPr="00584C45">
        <w:rPr>
          <w:i/>
          <w:iCs/>
        </w:rPr>
        <w:t xml:space="preserve">UDL </w:t>
      </w:r>
      <w:proofErr w:type="spellStart"/>
      <w:r w:rsidRPr="00584C45">
        <w:rPr>
          <w:i/>
          <w:iCs/>
        </w:rPr>
        <w:t>diklusiv</w:t>
      </w:r>
      <w:proofErr w:type="spellEnd"/>
      <w:r w:rsidRPr="00A91BBB">
        <w:t xml:space="preserve"> (Böttinger &amp; Schulz, 2021</w:t>
      </w:r>
      <w:r w:rsidR="008B6B95" w:rsidRPr="00A91BBB">
        <w:t>;</w:t>
      </w:r>
      <w:r w:rsidRPr="00A91BBB">
        <w:t xml:space="preserve"> 2023) überträgt die drei Prinzipien des UDL auf digital gestützte Unterrichtskontexte</w:t>
      </w:r>
      <w:r w:rsidR="004B40FA">
        <w:t>.</w:t>
      </w:r>
      <w:r w:rsidRPr="00A91BBB">
        <w:t xml:space="preserve"> </w:t>
      </w:r>
      <w:r w:rsidR="004B40FA" w:rsidRPr="004B40FA">
        <w:t xml:space="preserve">Dabei werden die Potenziale digitaler Medien systematisch genutzt, um Barrieren abzubauen und inklusiven Unterricht zu fördern. Der Ansatz verbindet die UDL-Prinzipien mit den Chancen digitaler Medien, indem er individuelle Lernbedürfnisse, flexible Zugänge und </w:t>
      </w:r>
      <w:proofErr w:type="spellStart"/>
      <w:r w:rsidR="004B40FA" w:rsidRPr="004B40FA">
        <w:t>assistive</w:t>
      </w:r>
      <w:proofErr w:type="spellEnd"/>
      <w:r w:rsidR="004B40FA" w:rsidRPr="004B40FA">
        <w:t xml:space="preserve"> Technologien integriert (vgl. Abb. 2)</w:t>
      </w:r>
      <w:r w:rsidRPr="00A91BBB">
        <w:t xml:space="preserve">. Im Zentrum steht das </w:t>
      </w:r>
      <w:r w:rsidRPr="00BB341C">
        <w:t xml:space="preserve">Fünf-Ebenen-Modell der </w:t>
      </w:r>
      <w:proofErr w:type="spellStart"/>
      <w:r w:rsidRPr="00BB341C">
        <w:t>Diklusion</w:t>
      </w:r>
      <w:proofErr w:type="spellEnd"/>
      <w:r w:rsidRPr="00A91BBB">
        <w:t xml:space="preserve"> (Schulz, 2021)</w:t>
      </w:r>
      <w:r w:rsidR="00365E02" w:rsidRPr="00A91BBB">
        <w:t xml:space="preserve">. </w:t>
      </w:r>
      <w:r w:rsidR="00BC5DD3" w:rsidRPr="00BC5DD3">
        <w:t xml:space="preserve">Dieses Modell beschreibt Lernen </w:t>
      </w:r>
      <w:r w:rsidR="00BC5DD3" w:rsidRPr="00BC5DD3">
        <w:rPr>
          <w:i/>
          <w:iCs/>
        </w:rPr>
        <w:t>durch</w:t>
      </w:r>
      <w:r w:rsidR="00BC5DD3" w:rsidRPr="00BC5DD3">
        <w:t xml:space="preserve">, </w:t>
      </w:r>
      <w:r w:rsidR="00BC5DD3" w:rsidRPr="00BC5DD3">
        <w:rPr>
          <w:i/>
          <w:iCs/>
        </w:rPr>
        <w:t>mit</w:t>
      </w:r>
      <w:r w:rsidR="00BC5DD3" w:rsidRPr="00BC5DD3">
        <w:t xml:space="preserve"> und </w:t>
      </w:r>
      <w:r w:rsidR="00BC5DD3" w:rsidRPr="00BC5DD3">
        <w:rPr>
          <w:i/>
          <w:iCs/>
        </w:rPr>
        <w:t>über</w:t>
      </w:r>
      <w:r w:rsidR="00BC5DD3" w:rsidRPr="00BC5DD3">
        <w:t xml:space="preserve"> Medien als mehrdimensionale Prozesse, die sich auf individueller, organisationaler und gesellschaftlicher Ebene entfalten. </w:t>
      </w:r>
      <w:proofErr w:type="spellStart"/>
      <w:r w:rsidR="00BC5DD3" w:rsidRPr="00BC5DD3">
        <w:t>Diklusion</w:t>
      </w:r>
      <w:proofErr w:type="spellEnd"/>
      <w:r w:rsidR="00BC5DD3" w:rsidRPr="00BC5DD3">
        <w:t xml:space="preserve"> zielt darauf ab, digitale Teilhabe zu ermöglichen und Empowerment als zentrales pädagogisches und strukturelles Leitmotiv inklusiver Bildung zu verankern.</w:t>
      </w:r>
      <w:r w:rsidR="00BC5DD3">
        <w:t xml:space="preserve"> </w:t>
      </w:r>
    </w:p>
    <w:p w14:paraId="3D7AD455" w14:textId="049295F7" w:rsidR="008D3F10" w:rsidRDefault="008D3F10" w:rsidP="00834489">
      <w:pPr>
        <w:pStyle w:val="AbbildungBeschriftung"/>
        <w:rPr>
          <w:lang w:val="de-CH"/>
        </w:rPr>
      </w:pPr>
      <w:r w:rsidRPr="00834489">
        <w:rPr>
          <w:lang w:val="de-CH"/>
        </w:rPr>
        <w:lastRenderedPageBreak/>
        <w:t>Abb</w:t>
      </w:r>
      <w:r w:rsidR="00107A98">
        <w:rPr>
          <w:lang w:val="de-CH"/>
        </w:rPr>
        <w:t>ildung</w:t>
      </w:r>
      <w:r w:rsidRPr="00834489">
        <w:rPr>
          <w:lang w:val="de-CH"/>
        </w:rPr>
        <w:t xml:space="preserve"> 2: Fünf-</w:t>
      </w:r>
      <w:proofErr w:type="spellStart"/>
      <w:r w:rsidRPr="00834489">
        <w:rPr>
          <w:lang w:val="de-CH"/>
        </w:rPr>
        <w:t>Ebenenmodell</w:t>
      </w:r>
      <w:proofErr w:type="spellEnd"/>
      <w:r w:rsidRPr="00834489">
        <w:rPr>
          <w:lang w:val="de-CH"/>
        </w:rPr>
        <w:t xml:space="preserve"> (cc-</w:t>
      </w:r>
      <w:proofErr w:type="spellStart"/>
      <w:r w:rsidRPr="00834489">
        <w:rPr>
          <w:lang w:val="de-CH"/>
        </w:rPr>
        <w:t>by</w:t>
      </w:r>
      <w:proofErr w:type="spellEnd"/>
      <w:r w:rsidRPr="00834489">
        <w:rPr>
          <w:lang w:val="de-CH"/>
        </w:rPr>
        <w:t xml:space="preserve"> </w:t>
      </w:r>
      <w:proofErr w:type="spellStart"/>
      <w:r w:rsidRPr="00834489">
        <w:rPr>
          <w:lang w:val="de-CH"/>
        </w:rPr>
        <w:t>inklusiv.digital</w:t>
      </w:r>
      <w:proofErr w:type="spellEnd"/>
      <w:r w:rsidRPr="00834489">
        <w:rPr>
          <w:lang w:val="de-CH"/>
        </w:rPr>
        <w:t>; nach Schulz</w:t>
      </w:r>
      <w:r w:rsidR="00D9439C" w:rsidRPr="00834489">
        <w:rPr>
          <w:lang w:val="de-CH"/>
        </w:rPr>
        <w:t>,</w:t>
      </w:r>
      <w:r w:rsidRPr="00834489">
        <w:rPr>
          <w:lang w:val="de-CH"/>
        </w:rPr>
        <w:t xml:space="preserve"> 2018)</w:t>
      </w:r>
    </w:p>
    <w:p w14:paraId="78B2CDDC" w14:textId="77777777" w:rsidR="00B1176F" w:rsidRDefault="007B3982" w:rsidP="00B1176F">
      <w:pPr>
        <w:pStyle w:val="Textkrper"/>
      </w:pPr>
      <w:r>
        <w:rPr>
          <w:noProof/>
        </w:rPr>
        <w:drawing>
          <wp:inline distT="0" distB="0" distL="0" distR="0" wp14:anchorId="58192E47" wp14:editId="23A7E543">
            <wp:extent cx="5760085" cy="6287770"/>
            <wp:effectExtent l="0" t="0" r="0" b="0"/>
            <wp:docPr id="1303705180" name="Grafik 3" descr="Das Fünf-Ebenenmodell beschreibt, dass Lernen durch, mit und über Medien auf den folgenden fünf Ebenen stattfindet: Gesellschaft/Umwelt, Organisation, Lerngruppe, Lernebene und Individ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05180" name="Grafik 3" descr="Das Fünf-Ebenenmodell beschreibt, dass Lernen durch, mit und über Medien auf den folgenden fünf Ebenen stattfindet: Gesellschaft/Umwelt, Organisation, Lerngruppe, Lernebene und Individuum."/>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760085" cy="6287770"/>
                    </a:xfrm>
                    <a:prstGeom prst="rect">
                      <a:avLst/>
                    </a:prstGeom>
                    <a:noFill/>
                    <a:ln>
                      <a:noFill/>
                    </a:ln>
                  </pic:spPr>
                </pic:pic>
              </a:graphicData>
            </a:graphic>
          </wp:inline>
        </w:drawing>
      </w:r>
    </w:p>
    <w:p w14:paraId="5FA12F79" w14:textId="3B0CE4D0" w:rsidR="008D3F10" w:rsidRPr="00B1176F" w:rsidRDefault="008D3F10" w:rsidP="00B1176F">
      <w:pPr>
        <w:pStyle w:val="Textkrper"/>
        <w:ind w:firstLine="0"/>
      </w:pPr>
      <w:r w:rsidRPr="00B1176F">
        <w:t xml:space="preserve">Als exemplarisches Beispiel für die praktische Umsetzung der UDL-Prinzipien wird </w:t>
      </w:r>
      <w:r w:rsidR="002F36A3" w:rsidRPr="00B1176F">
        <w:t>nachfolgend</w:t>
      </w:r>
      <w:r w:rsidRPr="00B1176F">
        <w:t xml:space="preserve"> das </w:t>
      </w:r>
      <w:proofErr w:type="spellStart"/>
      <w:r w:rsidRPr="00B1176F">
        <w:rPr>
          <w:i/>
          <w:iCs/>
        </w:rPr>
        <w:t>Choiceboard</w:t>
      </w:r>
      <w:proofErr w:type="spellEnd"/>
      <w:r w:rsidRPr="00B1176F">
        <w:t xml:space="preserve"> (Novak</w:t>
      </w:r>
      <w:r w:rsidR="00C5505C" w:rsidRPr="00B1176F">
        <w:t>,</w:t>
      </w:r>
      <w:r w:rsidRPr="00B1176F">
        <w:t xml:space="preserve"> 2022; Tucker</w:t>
      </w:r>
      <w:r w:rsidR="008C6CC9" w:rsidRPr="00B1176F">
        <w:t xml:space="preserve"> &amp; Novak</w:t>
      </w:r>
      <w:r w:rsidR="00BF6A76" w:rsidRPr="00B1176F">
        <w:t>,</w:t>
      </w:r>
      <w:r w:rsidRPr="00B1176F">
        <w:t xml:space="preserve"> 2021; Tucker</w:t>
      </w:r>
      <w:r w:rsidR="00C5505C" w:rsidRPr="00B1176F">
        <w:t>,</w:t>
      </w:r>
      <w:r w:rsidRPr="00B1176F">
        <w:t xml:space="preserve"> 2018) vorgestellt.</w:t>
      </w:r>
      <w:r w:rsidR="00AA1D82" w:rsidRPr="00B1176F">
        <w:t xml:space="preserve"> </w:t>
      </w:r>
      <w:proofErr w:type="spellStart"/>
      <w:r w:rsidR="00AA1D82" w:rsidRPr="00B1176F">
        <w:rPr>
          <w:i/>
          <w:iCs/>
        </w:rPr>
        <w:t>Choiceboards</w:t>
      </w:r>
      <w:proofErr w:type="spellEnd"/>
      <w:r w:rsidR="00AA1D82" w:rsidRPr="00B1176F">
        <w:rPr>
          <w:i/>
          <w:iCs/>
        </w:rPr>
        <w:t xml:space="preserve"> </w:t>
      </w:r>
      <w:r w:rsidR="00AA1D82" w:rsidRPr="00B1176F">
        <w:t>können analog (z.</w:t>
      </w:r>
      <w:r w:rsidR="00AA1D82" w:rsidRPr="00B1176F">
        <w:rPr>
          <w:rFonts w:ascii="Times New Roman" w:hAnsi="Times New Roman" w:cs="Times New Roman"/>
        </w:rPr>
        <w:t> </w:t>
      </w:r>
      <w:r w:rsidR="00AA1D82" w:rsidRPr="00B1176F">
        <w:t>B. als Karte oder Plakat) oder digital (z.</w:t>
      </w:r>
      <w:r w:rsidR="00AA1D82" w:rsidRPr="00B1176F">
        <w:rPr>
          <w:rFonts w:ascii="Times New Roman" w:hAnsi="Times New Roman" w:cs="Times New Roman"/>
        </w:rPr>
        <w:t> </w:t>
      </w:r>
      <w:r w:rsidR="00AA1D82" w:rsidRPr="00B1176F">
        <w:t xml:space="preserve">B. </w:t>
      </w:r>
      <w:r w:rsidR="00F843C6" w:rsidRPr="00B1176F">
        <w:t>üb</w:t>
      </w:r>
      <w:r w:rsidR="00AA1D82" w:rsidRPr="00B1176F">
        <w:t>er Lernplattformen) gestaltet werden</w:t>
      </w:r>
      <w:r w:rsidR="00557B93" w:rsidRPr="00B1176F">
        <w:t>. I</w:t>
      </w:r>
      <w:r w:rsidR="00AA1D82" w:rsidRPr="00B1176F">
        <w:t>m vorliegenden Zusammenhang betrachten wir die digitale Variante, weil sie die UDL</w:t>
      </w:r>
      <w:r w:rsidR="00AA1D82" w:rsidRPr="00B1176F">
        <w:noBreakHyphen/>
        <w:t>Prinzipien des Wahlrechts, der multimodalen Repr</w:t>
      </w:r>
      <w:r w:rsidR="008231B4" w:rsidRPr="00B1176F">
        <w:t>äs</w:t>
      </w:r>
      <w:r w:rsidR="00AA1D82" w:rsidRPr="00B1176F">
        <w:t>entation und der handlungsunterst</w:t>
      </w:r>
      <w:r w:rsidR="008231B4" w:rsidRPr="00B1176F">
        <w:t>ü</w:t>
      </w:r>
      <w:r w:rsidR="00AA1D82" w:rsidRPr="00B1176F">
        <w:t>tzenden Tools besonders greifbar macht.</w:t>
      </w:r>
    </w:p>
    <w:p w14:paraId="11D2DFCA" w14:textId="5357EE57" w:rsidR="008D3F10" w:rsidRPr="00543BEE" w:rsidRDefault="008D3F10" w:rsidP="00543BEE">
      <w:pPr>
        <w:pStyle w:val="berschrift1"/>
      </w:pPr>
      <w:r w:rsidRPr="00543BEE">
        <w:t>Praxisbeispiel</w:t>
      </w:r>
      <w:r w:rsidR="00F1208D" w:rsidRPr="00543BEE">
        <w:t xml:space="preserve">: </w:t>
      </w:r>
      <w:proofErr w:type="spellStart"/>
      <w:r w:rsidRPr="00543BEE">
        <w:t>Choiceboard</w:t>
      </w:r>
      <w:proofErr w:type="spellEnd"/>
    </w:p>
    <w:p w14:paraId="2120CBB9" w14:textId="2872EF3E" w:rsidR="00052A0F" w:rsidRPr="00A91BBB" w:rsidRDefault="0048642D" w:rsidP="0048642D">
      <w:pPr>
        <w:pStyle w:val="Textkrper"/>
        <w:ind w:firstLine="0"/>
      </w:pPr>
      <w:proofErr w:type="spellStart"/>
      <w:r w:rsidRPr="007C57FD">
        <w:rPr>
          <w:i/>
          <w:iCs/>
        </w:rPr>
        <w:t>Choiceboards</w:t>
      </w:r>
      <w:proofErr w:type="spellEnd"/>
      <w:r w:rsidRPr="007C57FD">
        <w:rPr>
          <w:i/>
          <w:iCs/>
        </w:rPr>
        <w:t xml:space="preserve"> </w:t>
      </w:r>
      <w:r w:rsidRPr="00A91BBB">
        <w:t xml:space="preserve">übertragen die Prinzipien des UDL in die Unterrichtspraxis, indem sie feste Lernziele mit flexiblen Wegen verbinden (Novak, 2022). </w:t>
      </w:r>
      <w:r w:rsidR="008B6929" w:rsidRPr="00A91BBB">
        <w:t>Bei einem</w:t>
      </w:r>
      <w:r w:rsidRPr="00A91BBB">
        <w:t xml:space="preserve"> </w:t>
      </w:r>
      <w:proofErr w:type="spellStart"/>
      <w:r w:rsidRPr="007C57FD">
        <w:rPr>
          <w:i/>
          <w:iCs/>
        </w:rPr>
        <w:t>Choiceboard</w:t>
      </w:r>
      <w:proofErr w:type="spellEnd"/>
      <w:r w:rsidRPr="00A91BBB">
        <w:t xml:space="preserve"> </w:t>
      </w:r>
      <w:r w:rsidR="00FB1C26" w:rsidRPr="00A91BBB">
        <w:t>wählen</w:t>
      </w:r>
      <w:r w:rsidRPr="00A91BBB">
        <w:t xml:space="preserve"> Lernende zwischen gleichwertigen Aufgaben, Medien oder Zugängen </w:t>
      </w:r>
      <w:r w:rsidR="00FB1C26" w:rsidRPr="00A91BBB">
        <w:t>aus</w:t>
      </w:r>
      <w:r w:rsidR="003B7CF9">
        <w:t>.</w:t>
      </w:r>
      <w:r w:rsidR="00FB1C26" w:rsidRPr="00A91BBB">
        <w:t xml:space="preserve"> </w:t>
      </w:r>
      <w:r w:rsidRPr="00A91BBB">
        <w:t xml:space="preserve">Wahlfreiheit </w:t>
      </w:r>
      <w:r w:rsidR="003B7CF9">
        <w:t xml:space="preserve">wird </w:t>
      </w:r>
      <w:r w:rsidRPr="00A91BBB">
        <w:t>mit klaren Lernzielen</w:t>
      </w:r>
      <w:r w:rsidR="003B7CF9">
        <w:t xml:space="preserve"> verbunden</w:t>
      </w:r>
      <w:r w:rsidRPr="00A91BBB">
        <w:t xml:space="preserve">, um </w:t>
      </w:r>
      <w:r w:rsidR="003B7CF9">
        <w:t xml:space="preserve">die </w:t>
      </w:r>
      <w:r w:rsidRPr="00A91BBB">
        <w:t xml:space="preserve">Selbststeuerung und Motivation </w:t>
      </w:r>
      <w:r w:rsidR="003B7CF9">
        <w:t xml:space="preserve">der Lernenden </w:t>
      </w:r>
      <w:r w:rsidRPr="00A91BBB">
        <w:t xml:space="preserve">zu fördern. </w:t>
      </w:r>
    </w:p>
    <w:p w14:paraId="60B851B8" w14:textId="0A685420" w:rsidR="00615911" w:rsidRPr="00A91BBB" w:rsidRDefault="008D3F10" w:rsidP="00D9439C">
      <w:pPr>
        <w:pStyle w:val="AbbildungBeschriftung"/>
        <w:rPr>
          <w:lang w:val="de-CH"/>
        </w:rPr>
      </w:pPr>
      <w:r w:rsidRPr="00A91BBB">
        <w:rPr>
          <w:lang w:val="de-CH"/>
        </w:rPr>
        <w:lastRenderedPageBreak/>
        <w:t>Abb</w:t>
      </w:r>
      <w:r w:rsidR="007A527C">
        <w:rPr>
          <w:lang w:val="de-CH"/>
        </w:rPr>
        <w:t>ildung</w:t>
      </w:r>
      <w:r w:rsidRPr="00A91BBB">
        <w:rPr>
          <w:lang w:val="de-CH"/>
        </w:rPr>
        <w:t xml:space="preserve"> 3: </w:t>
      </w:r>
      <w:proofErr w:type="spellStart"/>
      <w:r w:rsidRPr="00A91BBB">
        <w:rPr>
          <w:lang w:val="de-CH"/>
        </w:rPr>
        <w:t>Choiceboard</w:t>
      </w:r>
      <w:proofErr w:type="spellEnd"/>
      <w:r w:rsidRPr="00A91BBB">
        <w:rPr>
          <w:lang w:val="de-CH"/>
        </w:rPr>
        <w:t>-Beispie</w:t>
      </w:r>
      <w:r w:rsidR="003776C0" w:rsidRPr="00A91BBB">
        <w:rPr>
          <w:lang w:val="de-CH"/>
        </w:rPr>
        <w:t>l</w:t>
      </w:r>
    </w:p>
    <w:p w14:paraId="75ACC4CF" w14:textId="39547603" w:rsidR="008D3F10" w:rsidRPr="00A91BBB" w:rsidRDefault="008D3F10" w:rsidP="00C7180C">
      <w:pPr>
        <w:pStyle w:val="Textkrper"/>
        <w:ind w:firstLine="0"/>
      </w:pPr>
      <w:r w:rsidRPr="00A91BBB">
        <w:rPr>
          <w:noProof/>
          <w:bdr w:val="none" w:sz="0" w:space="0" w:color="auto" w:frame="1"/>
        </w:rPr>
        <w:drawing>
          <wp:inline distT="0" distB="0" distL="0" distR="0" wp14:anchorId="0105DF46" wp14:editId="4C1D85EE">
            <wp:extent cx="5619750" cy="5619750"/>
            <wp:effectExtent l="0" t="0" r="0" b="0"/>
            <wp:docPr id="108338838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88380" name="Grafik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640748" cy="5640748"/>
                    </a:xfrm>
                    <a:prstGeom prst="rect">
                      <a:avLst/>
                    </a:prstGeom>
                    <a:noFill/>
                    <a:ln>
                      <a:noFill/>
                    </a:ln>
                  </pic:spPr>
                </pic:pic>
              </a:graphicData>
            </a:graphic>
          </wp:inline>
        </w:drawing>
      </w:r>
    </w:p>
    <w:p w14:paraId="4E48C47B" w14:textId="4CB13184" w:rsidR="002F36A3" w:rsidRPr="00637E84" w:rsidRDefault="002F36A3" w:rsidP="002F36A3">
      <w:pPr>
        <w:pStyle w:val="Funotentext"/>
      </w:pPr>
      <w:r w:rsidRPr="00637E84">
        <w:rPr>
          <w:sz w:val="16"/>
        </w:rPr>
        <w:t xml:space="preserve">Quelle: </w:t>
      </w:r>
      <w:hyperlink r:id="rId17" w:history="1">
        <w:r w:rsidRPr="00637E84">
          <w:rPr>
            <w:rStyle w:val="Hyperlink"/>
            <w:sz w:val="16"/>
          </w:rPr>
          <w:t>https://www.novakeducation.com/blog/strategies-to-make-choice-boards-more-efficient-aka-little-prep-time</w:t>
        </w:r>
      </w:hyperlink>
    </w:p>
    <w:p w14:paraId="1B206861" w14:textId="47F7D82C" w:rsidR="008D3F10" w:rsidRPr="00A91BBB" w:rsidRDefault="008D3F10" w:rsidP="00834489">
      <w:pPr>
        <w:pStyle w:val="Textkrper"/>
        <w:ind w:firstLine="0"/>
      </w:pPr>
      <w:proofErr w:type="spellStart"/>
      <w:r w:rsidRPr="007A527C">
        <w:rPr>
          <w:i/>
          <w:iCs/>
        </w:rPr>
        <w:t>Choiceboards</w:t>
      </w:r>
      <w:proofErr w:type="spellEnd"/>
      <w:r w:rsidRPr="007A527C">
        <w:rPr>
          <w:i/>
          <w:iCs/>
        </w:rPr>
        <w:t xml:space="preserve"> </w:t>
      </w:r>
      <w:r w:rsidRPr="00A91BBB">
        <w:t>können in unterschiedlichen Unterrichtsphasen eingesetzt werden, zum Beispiel</w:t>
      </w:r>
      <w:r w:rsidR="001377D5" w:rsidRPr="00A91BBB">
        <w:t xml:space="preserve"> (</w:t>
      </w:r>
      <w:proofErr w:type="spellStart"/>
      <w:r w:rsidR="001377D5">
        <w:t>u</w:t>
      </w:r>
      <w:r w:rsidR="001377D5" w:rsidRPr="00A91BBB">
        <w:t>nterrichten.digital</w:t>
      </w:r>
      <w:proofErr w:type="spellEnd"/>
      <w:r w:rsidR="001377D5" w:rsidRPr="00A91BBB">
        <w:t>, 2024; Tucker &amp; Novak, 2021; Novak, 2022)</w:t>
      </w:r>
      <w:r w:rsidRPr="00A91BBB">
        <w:t>:</w:t>
      </w:r>
    </w:p>
    <w:p w14:paraId="45511BB8" w14:textId="0F1A41D3" w:rsidR="008D3F10" w:rsidRPr="00A91BBB" w:rsidRDefault="008D3F10" w:rsidP="007B621F">
      <w:pPr>
        <w:pStyle w:val="Liste"/>
      </w:pPr>
      <w:r w:rsidRPr="00A91BBB">
        <w:t>als Einstieg in ein Thema mit verschiedenen Zugängen (Video, Text, Bild, Experiment),</w:t>
      </w:r>
    </w:p>
    <w:p w14:paraId="53A12A73" w14:textId="08EBDECA" w:rsidR="008D3F10" w:rsidRPr="00A91BBB" w:rsidRDefault="008D3F10" w:rsidP="007B621F">
      <w:pPr>
        <w:pStyle w:val="Liste"/>
      </w:pPr>
      <w:r w:rsidRPr="00A91BBB">
        <w:t>zur Erarbeitung von Inhalten durch Wahl von Methoden oder Materialien,</w:t>
      </w:r>
    </w:p>
    <w:p w14:paraId="68E657FD" w14:textId="46479FF2" w:rsidR="008D3F10" w:rsidRPr="00A91BBB" w:rsidRDefault="008D3F10" w:rsidP="007B621F">
      <w:pPr>
        <w:pStyle w:val="Liste"/>
      </w:pPr>
      <w:r w:rsidRPr="00A91BBB">
        <w:t>für Übungs- oder Hausaufgabenphasen, angepasst an Interessen oder Kompetenzniveaus,</w:t>
      </w:r>
    </w:p>
    <w:p w14:paraId="67CA796C" w14:textId="0A2CF272" w:rsidR="008D3F10" w:rsidRPr="00A91BBB" w:rsidRDefault="0045386C" w:rsidP="007B621F">
      <w:pPr>
        <w:pStyle w:val="Liste"/>
      </w:pPr>
      <w:r>
        <w:t>um</w:t>
      </w:r>
      <w:r w:rsidR="008D3F10" w:rsidRPr="00A91BBB">
        <w:t xml:space="preserve"> Ergebnis</w:t>
      </w:r>
      <w:r>
        <w:t>se</w:t>
      </w:r>
      <w:r w:rsidR="008D3F10" w:rsidRPr="00A91BBB">
        <w:t xml:space="preserve"> in Form von Plakat</w:t>
      </w:r>
      <w:r>
        <w:t>en</w:t>
      </w:r>
      <w:r w:rsidR="008D3F10" w:rsidRPr="00A91BBB">
        <w:t>, Präsentation</w:t>
      </w:r>
      <w:r>
        <w:t>en</w:t>
      </w:r>
      <w:r w:rsidR="008D3F10" w:rsidRPr="00A91BBB">
        <w:t>, Video</w:t>
      </w:r>
      <w:r>
        <w:t>s</w:t>
      </w:r>
      <w:r w:rsidR="008D3F10" w:rsidRPr="00A91BBB">
        <w:t xml:space="preserve"> oder Podcast</w:t>
      </w:r>
      <w:r>
        <w:t>s zu präsentieren</w:t>
      </w:r>
      <w:r w:rsidR="001377D5">
        <w:t>.</w:t>
      </w:r>
    </w:p>
    <w:p w14:paraId="5DA10F61" w14:textId="2B7805C1" w:rsidR="008D3F10" w:rsidRPr="00A91BBB" w:rsidRDefault="008D3F10" w:rsidP="00834489">
      <w:pPr>
        <w:pStyle w:val="Textkrper"/>
        <w:ind w:firstLine="0"/>
      </w:pPr>
      <w:proofErr w:type="spellStart"/>
      <w:r w:rsidRPr="00DC0E21">
        <w:rPr>
          <w:i/>
          <w:iCs/>
        </w:rPr>
        <w:t>Choiceboards</w:t>
      </w:r>
      <w:proofErr w:type="spellEnd"/>
      <w:r w:rsidRPr="00DC0E21">
        <w:rPr>
          <w:i/>
          <w:iCs/>
        </w:rPr>
        <w:t xml:space="preserve"> </w:t>
      </w:r>
      <w:r w:rsidRPr="00A91BBB">
        <w:t>adressieren alle drei UDL-Prinzipien: Engagement durch Wahlfreiheit, Repräsentation durch vielfältige Zugänge sowie Handlung und Ausdruck durch unterschiedliche Präsentationsformen. Die Lehrperson oder das multiprofessionelle Team entscheide</w:t>
      </w:r>
      <w:r w:rsidR="00724A68">
        <w:t>t</w:t>
      </w:r>
      <w:r w:rsidRPr="00A91BBB">
        <w:t xml:space="preserve">, </w:t>
      </w:r>
      <w:r w:rsidR="00A5326A" w:rsidRPr="00A91BBB">
        <w:t>w</w:t>
      </w:r>
      <w:r w:rsidR="00DC0E21">
        <w:t>ann</w:t>
      </w:r>
      <w:r w:rsidR="00A5326A" w:rsidRPr="00A91BBB">
        <w:t xml:space="preserve"> </w:t>
      </w:r>
      <w:r w:rsidRPr="00A91BBB">
        <w:t>Lernende Freiräume erhalten und w</w:t>
      </w:r>
      <w:r w:rsidR="00DC0E21">
        <w:t>ann</w:t>
      </w:r>
      <w:r w:rsidRPr="00A91BBB">
        <w:t xml:space="preserve"> gezielte Vorgaben notwendig sind. So werden Lernwege im Sinne des </w:t>
      </w:r>
      <w:proofErr w:type="spellStart"/>
      <w:r w:rsidRPr="007B621F">
        <w:rPr>
          <w:i/>
          <w:iCs/>
        </w:rPr>
        <w:t>Scaffolding</w:t>
      </w:r>
      <w:r w:rsidR="00027A78">
        <w:rPr>
          <w:i/>
          <w:iCs/>
        </w:rPr>
        <w:t>s</w:t>
      </w:r>
      <w:proofErr w:type="spellEnd"/>
      <w:r w:rsidRPr="00A91BBB">
        <w:t xml:space="preserve"> </w:t>
      </w:r>
      <w:r w:rsidR="00102D1C">
        <w:t>unterstützt</w:t>
      </w:r>
      <w:r w:rsidR="00F11E4F">
        <w:t xml:space="preserve">: </w:t>
      </w:r>
      <w:r w:rsidR="009819AD">
        <w:t xml:space="preserve">Ein </w:t>
      </w:r>
      <w:r w:rsidR="00AA1D82" w:rsidRPr="00C60CF9">
        <w:t>kompetente</w:t>
      </w:r>
      <w:r w:rsidR="004A5744">
        <w:t>s</w:t>
      </w:r>
      <w:r w:rsidR="00AA1D82" w:rsidRPr="00C60CF9">
        <w:t xml:space="preserve"> Gegenüber </w:t>
      </w:r>
      <w:r w:rsidR="004A5744">
        <w:t xml:space="preserve">befähigt </w:t>
      </w:r>
      <w:r w:rsidR="00AA1D82" w:rsidRPr="00C60CF9">
        <w:t>Lernende</w:t>
      </w:r>
      <w:r w:rsidR="002D753D">
        <w:t xml:space="preserve">, </w:t>
      </w:r>
      <w:r w:rsidR="00AA1D82" w:rsidRPr="00C60CF9">
        <w:t>Anforderungen zunehmend selbstständig zu bewältigen</w:t>
      </w:r>
      <w:r w:rsidR="00AB3BC1">
        <w:t xml:space="preserve">. </w:t>
      </w:r>
      <w:r w:rsidR="00BA06D1">
        <w:t xml:space="preserve">Sie geben Inhalte </w:t>
      </w:r>
      <w:r w:rsidRPr="00A91BBB">
        <w:t>schrittweise</w:t>
      </w:r>
      <w:r w:rsidR="009A5EC3">
        <w:t xml:space="preserve"> im Sinne der Zone der nächsten Entwicklung (</w:t>
      </w:r>
      <w:proofErr w:type="spellStart"/>
      <w:r w:rsidR="009A5EC3">
        <w:t>Vygotsky</w:t>
      </w:r>
      <w:proofErr w:type="spellEnd"/>
      <w:r w:rsidR="009A5EC3">
        <w:t>, 1978)</w:t>
      </w:r>
      <w:r w:rsidRPr="00A91BBB">
        <w:t xml:space="preserve"> frei, während die übergeordneten Lernziele klar definiert bleiben (Novak, 2022; Tucker &amp; Novak, 2021; CAST, 2024). Lernende können daraus eigene Teilziele ableiten</w:t>
      </w:r>
      <w:r w:rsidR="00A5326A" w:rsidRPr="00A91BBB">
        <w:t>.</w:t>
      </w:r>
      <w:r w:rsidRPr="00A91BBB">
        <w:t xml:space="preserve"> </w:t>
      </w:r>
      <w:r w:rsidR="00A5326A" w:rsidRPr="00A91BBB">
        <w:t>Dies</w:t>
      </w:r>
      <w:r w:rsidR="00234FCF" w:rsidRPr="00A91BBB">
        <w:t xml:space="preserve"> </w:t>
      </w:r>
      <w:proofErr w:type="gramStart"/>
      <w:r w:rsidR="00234FCF" w:rsidRPr="00A91BBB">
        <w:t>stärkt</w:t>
      </w:r>
      <w:proofErr w:type="gramEnd"/>
      <w:r w:rsidRPr="00A91BBB">
        <w:t xml:space="preserve"> </w:t>
      </w:r>
      <w:r w:rsidR="00234FCF" w:rsidRPr="00A91BBB">
        <w:t>die</w:t>
      </w:r>
      <w:r w:rsidRPr="00A91BBB">
        <w:t xml:space="preserve"> Selbststeuerung und Zielreflexion (Zimmerman, 2002).</w:t>
      </w:r>
    </w:p>
    <w:p w14:paraId="4CB34BC3" w14:textId="4E5F146C" w:rsidR="008D3F10" w:rsidRPr="00A91BBB" w:rsidRDefault="008D3F10" w:rsidP="00394BBA">
      <w:pPr>
        <w:pStyle w:val="Textkrper"/>
        <w:ind w:firstLine="0"/>
      </w:pPr>
      <w:r w:rsidRPr="00A91BBB">
        <w:lastRenderedPageBreak/>
        <w:t>Digitale Tools</w:t>
      </w:r>
      <w:r w:rsidR="00335846">
        <w:t xml:space="preserve"> wie beispielsweise digitale E-Books (z.</w:t>
      </w:r>
      <w:r w:rsidR="00066AFB">
        <w:t> </w:t>
      </w:r>
      <w:r w:rsidR="00335846">
        <w:t xml:space="preserve">B. </w:t>
      </w:r>
      <w:proofErr w:type="spellStart"/>
      <w:r w:rsidR="00335846" w:rsidRPr="00066AFB">
        <w:rPr>
          <w:i/>
          <w:iCs/>
        </w:rPr>
        <w:t>Bookcreator</w:t>
      </w:r>
      <w:proofErr w:type="spellEnd"/>
      <w:r w:rsidR="00335846">
        <w:t>) oder digitale Pinnwände (z.</w:t>
      </w:r>
      <w:r w:rsidR="00066AFB">
        <w:t> </w:t>
      </w:r>
      <w:r w:rsidR="00335846">
        <w:t xml:space="preserve">B. </w:t>
      </w:r>
      <w:r w:rsidR="00335846" w:rsidRPr="00066AFB">
        <w:rPr>
          <w:i/>
          <w:iCs/>
        </w:rPr>
        <w:t>Taskcards</w:t>
      </w:r>
      <w:r w:rsidR="00335846">
        <w:t>)</w:t>
      </w:r>
      <w:r w:rsidRPr="00A91BBB">
        <w:t xml:space="preserve"> erweitern das Potenzial von </w:t>
      </w:r>
      <w:proofErr w:type="spellStart"/>
      <w:r w:rsidRPr="00066AFB">
        <w:rPr>
          <w:i/>
          <w:iCs/>
        </w:rPr>
        <w:t>Choiceboards</w:t>
      </w:r>
      <w:proofErr w:type="spellEnd"/>
      <w:r w:rsidRPr="00066AFB">
        <w:rPr>
          <w:i/>
          <w:iCs/>
        </w:rPr>
        <w:t>.</w:t>
      </w:r>
      <w:r w:rsidRPr="00A91BBB">
        <w:t xml:space="preserve"> Im Sinne der </w:t>
      </w:r>
      <w:proofErr w:type="spellStart"/>
      <w:r w:rsidRPr="00A91BBB">
        <w:t>Diklusion</w:t>
      </w:r>
      <w:proofErr w:type="spellEnd"/>
      <w:r w:rsidRPr="00A91BBB">
        <w:t xml:space="preserve"> tragen sie dazu bei, Zugänge zu öffnen, Barrieren zu verringern und Partizipation zu erleichtern. Reflexion hilft Lernenden, Entscheidungen bewusst zu machen und Verantwortung für ihren Lernprozess zu übernehmen. So wird </w:t>
      </w:r>
      <w:r w:rsidR="004E6A58" w:rsidRPr="00A91BBB">
        <w:t xml:space="preserve">die </w:t>
      </w:r>
      <w:r w:rsidRPr="00A91BBB">
        <w:t>Wahl zum Ausgangspunkt für Partizipation und Empowerment.</w:t>
      </w:r>
    </w:p>
    <w:p w14:paraId="446E4FD0" w14:textId="09257E85" w:rsidR="008D3F10" w:rsidRPr="00543BEE" w:rsidRDefault="00CE5C90" w:rsidP="00543BEE">
      <w:pPr>
        <w:pStyle w:val="berschrift1"/>
      </w:pPr>
      <w:r w:rsidRPr="00543BEE">
        <w:t xml:space="preserve">Fazit: </w:t>
      </w:r>
      <w:r w:rsidR="008D3F10" w:rsidRPr="00543BEE">
        <w:t xml:space="preserve">Herausforderungen und Gelingensbedingungen </w:t>
      </w:r>
      <w:r w:rsidR="007750BF" w:rsidRPr="00543BEE">
        <w:t>von offenen Lernsettings</w:t>
      </w:r>
    </w:p>
    <w:p w14:paraId="51FF4AA1" w14:textId="6BB8F8B7" w:rsidR="00E0042C" w:rsidRDefault="008D3F10" w:rsidP="00264C14">
      <w:pPr>
        <w:pStyle w:val="Textkrper"/>
        <w:ind w:firstLine="0"/>
      </w:pPr>
      <w:r w:rsidRPr="00A91BBB">
        <w:t xml:space="preserve">Offene, </w:t>
      </w:r>
      <w:proofErr w:type="spellStart"/>
      <w:r w:rsidRPr="00A91BBB">
        <w:t>diklusive</w:t>
      </w:r>
      <w:proofErr w:type="spellEnd"/>
      <w:r w:rsidRPr="00A91BBB">
        <w:t xml:space="preserve"> Lernsettings eröffnen vielfältige Chancen für Selbstbestimmung, Kooperation und individuelle Förderung. Zugleich zeigen sich strukturelle, didaktische und organisationale Grenzen, die eine reflektierte Implementierung erfordern. </w:t>
      </w:r>
      <w:r w:rsidR="00335846">
        <w:t xml:space="preserve">Dazu </w:t>
      </w:r>
      <w:r w:rsidR="00FF67A5">
        <w:t>gehört</w:t>
      </w:r>
      <w:r w:rsidR="00335846">
        <w:t xml:space="preserve"> beispielsweise eine fehlende Infrastruktur, unzureichende Professionalisierung der Lehrkräfte oder auch unzureichende Barrierefreiheit der Tools. Auch die traditionelle didaktische Unterrichtsgestaltung kann der Umsetzung des UDL </w:t>
      </w:r>
      <w:proofErr w:type="spellStart"/>
      <w:r w:rsidR="00335846">
        <w:t>diklusiv</w:t>
      </w:r>
      <w:proofErr w:type="spellEnd"/>
      <w:r w:rsidR="00134DF3">
        <w:t xml:space="preserve"> entgegenwirken,</w:t>
      </w:r>
      <w:r w:rsidR="00335846">
        <w:t xml:space="preserve"> aufgrund von äu</w:t>
      </w:r>
      <w:r w:rsidR="00134DF3">
        <w:t>ss</w:t>
      </w:r>
      <w:r w:rsidR="00335846">
        <w:t xml:space="preserve">eren Vorgaben (45 Min-Stunden, Fächer, festes Curriculum). </w:t>
      </w:r>
      <w:r w:rsidR="004A50AF" w:rsidRPr="00A91BBB">
        <w:t xml:space="preserve">Die </w:t>
      </w:r>
      <w:r w:rsidRPr="00A91BBB">
        <w:t xml:space="preserve">Digitalisierung </w:t>
      </w:r>
      <w:r w:rsidR="00C41180" w:rsidRPr="00A91BBB">
        <w:t>macht</w:t>
      </w:r>
      <w:r w:rsidRPr="00A91BBB">
        <w:t xml:space="preserve"> </w:t>
      </w:r>
      <w:r w:rsidR="008A446D" w:rsidRPr="00A91BBB">
        <w:t xml:space="preserve">die Schule komplexer, gerade </w:t>
      </w:r>
      <w:r w:rsidRPr="00A91BBB">
        <w:t>im Zusammenspiel mit anderen Reformfeldern wie Inklusion und Kompetenzorientierung. Schulen müssen pädagogische, technologische und strukturelle Veränderungen zugleich bewältigen (Syring</w:t>
      </w:r>
      <w:r w:rsidR="007C633C">
        <w:t xml:space="preserve"> et al.</w:t>
      </w:r>
      <w:r w:rsidRPr="00A91BBB">
        <w:t xml:space="preserve">, 2022). </w:t>
      </w:r>
    </w:p>
    <w:p w14:paraId="48D7907C" w14:textId="1379A037" w:rsidR="00AF118D" w:rsidRPr="00A91BBB" w:rsidRDefault="00E0042C" w:rsidP="00E0042C">
      <w:pPr>
        <w:pStyle w:val="Textkrper"/>
      </w:pPr>
      <w:r w:rsidRPr="00A91BBB">
        <w:t xml:space="preserve">Empowerment in offenen Lernsettings ist doppelt zu denken: als Befähigung der Lernenden und der Lehrkräfte. </w:t>
      </w:r>
      <w:r w:rsidR="008D3F10" w:rsidRPr="00E0042C">
        <w:t>Überforderung</w:t>
      </w:r>
      <w:r w:rsidR="003A28EE" w:rsidRPr="00E0042C">
        <w:t xml:space="preserve"> bei den Lehr- und Fachpersonen</w:t>
      </w:r>
      <w:r w:rsidR="008D3F10" w:rsidRPr="00E0042C">
        <w:t xml:space="preserve"> entsteht </w:t>
      </w:r>
      <w:r w:rsidR="008A446D" w:rsidRPr="00E0042C">
        <w:t>nicht</w:t>
      </w:r>
      <w:r w:rsidR="008D3F10" w:rsidRPr="00E0042C">
        <w:t xml:space="preserve"> aus fehlender Bereitschaft</w:t>
      </w:r>
      <w:r w:rsidR="008A446D" w:rsidRPr="00E0042C">
        <w:t>,</w:t>
      </w:r>
      <w:r w:rsidR="008D3F10" w:rsidRPr="00E0042C">
        <w:t xml:space="preserve"> </w:t>
      </w:r>
      <w:r w:rsidR="008A446D" w:rsidRPr="00E0042C">
        <w:t>sondern</w:t>
      </w:r>
      <w:r w:rsidR="00732DF3" w:rsidRPr="00E0042C">
        <w:t xml:space="preserve"> weil </w:t>
      </w:r>
      <w:r w:rsidR="008D3F10" w:rsidRPr="00E0042C">
        <w:t>hohe pädagogische Ansprüche und begrenzte zeitliche wie strukturelle Ressourcen</w:t>
      </w:r>
      <w:r w:rsidR="00732DF3" w:rsidRPr="00E0042C">
        <w:t xml:space="preserve"> </w:t>
      </w:r>
      <w:r w:rsidR="00B8355E" w:rsidRPr="00E0042C">
        <w:t>aufeinandertreffen</w:t>
      </w:r>
      <w:r w:rsidR="008D3F10" w:rsidRPr="00E0042C">
        <w:t xml:space="preserve"> (Schulz &amp; Achilles, 2023). </w:t>
      </w:r>
      <w:r w:rsidR="00567F65">
        <w:t>Offene Lernsettings können dann erfolgreich umgesetzt werden</w:t>
      </w:r>
      <w:r w:rsidR="008D3F10" w:rsidRPr="00A91BBB">
        <w:t xml:space="preserve">, wenn personale, didaktische und strukturelle Bedingungen kohärent aufeinander abgestimmt werden. Auf personaler Ebene sind Empowerment-Prozesse für Lehrkräfte zentral. Professionalisierung, kollegiale Kooperation und reflektierte Mediennutzung fördern Handlungssicherheit und Selbstwirksamkeit (Fullan, 2021). Auf didaktischer Ebene bietet das UDL einen Rahmen, der klare Lernziele mit flexiblen Zugängen verbindet. Strukturell braucht es Zeit für Planung, digitale Infrastruktur und eine innovationsfördernde Schulleitung (Böttinger &amp; Schulz, 2023). </w:t>
      </w:r>
    </w:p>
    <w:p w14:paraId="7FE328CC" w14:textId="06C03279" w:rsidR="008D3F10" w:rsidRPr="00A91BBB" w:rsidRDefault="008D3F10" w:rsidP="008D3F10">
      <w:pPr>
        <w:pStyle w:val="Textkrper"/>
      </w:pPr>
      <w:r w:rsidRPr="00A91BBB">
        <w:t xml:space="preserve">Ob </w:t>
      </w:r>
      <w:r w:rsidR="004A7744">
        <w:t>offene Lernformen</w:t>
      </w:r>
      <w:r w:rsidR="00D97394" w:rsidRPr="00A91BBB">
        <w:t xml:space="preserve"> </w:t>
      </w:r>
      <w:r w:rsidR="00000F95">
        <w:t xml:space="preserve">die </w:t>
      </w:r>
      <w:r w:rsidRPr="00A91BBB">
        <w:t xml:space="preserve">Motivation und Selbststeuerung </w:t>
      </w:r>
      <w:r w:rsidR="00000F95">
        <w:t xml:space="preserve">von Lernenden </w:t>
      </w:r>
      <w:r w:rsidRPr="00A91BBB">
        <w:t>stärken, hängt ma</w:t>
      </w:r>
      <w:r w:rsidR="00D97394" w:rsidRPr="00A91BBB">
        <w:t>ss</w:t>
      </w:r>
      <w:r w:rsidRPr="00A91BBB">
        <w:t xml:space="preserve">geblich </w:t>
      </w:r>
      <w:r w:rsidR="00000F95">
        <w:t>da</w:t>
      </w:r>
      <w:r w:rsidRPr="00A91BBB">
        <w:t xml:space="preserve">von </w:t>
      </w:r>
      <w:r w:rsidR="00000F95">
        <w:t xml:space="preserve">ab, </w:t>
      </w:r>
      <w:r w:rsidR="00382E4D">
        <w:t xml:space="preserve">ob sie </w:t>
      </w:r>
      <w:r w:rsidRPr="00A91BBB">
        <w:t xml:space="preserve">klare Ziele </w:t>
      </w:r>
      <w:r w:rsidR="004A7744">
        <w:t xml:space="preserve">erhalten </w:t>
      </w:r>
      <w:r w:rsidRPr="00A91BBB">
        <w:t xml:space="preserve">und verlässlich </w:t>
      </w:r>
      <w:r w:rsidR="004A7744">
        <w:t>begleitet werden</w:t>
      </w:r>
      <w:r w:rsidR="00D97394" w:rsidRPr="00A91BBB">
        <w:t>.</w:t>
      </w:r>
      <w:r w:rsidRPr="00A91BBB">
        <w:t xml:space="preserve"> </w:t>
      </w:r>
      <w:r w:rsidR="00D97394" w:rsidRPr="00A91BBB">
        <w:t>F</w:t>
      </w:r>
      <w:r w:rsidRPr="00A91BBB">
        <w:t>ehlen diese, besteht die Gefahr von Überforderung und ungleichen Beteiligungsmöglichkeiten (</w:t>
      </w:r>
      <w:proofErr w:type="spellStart"/>
      <w:r w:rsidRPr="00A91BBB">
        <w:t>Ackermans</w:t>
      </w:r>
      <w:proofErr w:type="spellEnd"/>
      <w:r w:rsidRPr="00A91BBB">
        <w:t xml:space="preserve"> et al., 2025). Digitale Medien </w:t>
      </w:r>
      <w:r w:rsidR="00F27057" w:rsidRPr="00A91BBB">
        <w:t xml:space="preserve">liefern </w:t>
      </w:r>
      <w:r w:rsidRPr="00A91BBB">
        <w:t xml:space="preserve">vielfältige Ausdrucksformen und </w:t>
      </w:r>
      <w:proofErr w:type="spellStart"/>
      <w:r w:rsidRPr="00A91BBB">
        <w:t>assistive</w:t>
      </w:r>
      <w:proofErr w:type="spellEnd"/>
      <w:r w:rsidRPr="00A91BBB">
        <w:t xml:space="preserve"> Unterstützung, die Lernende mit unterschiedlichen Bedürfnissen einbeziehen.</w:t>
      </w:r>
    </w:p>
    <w:p w14:paraId="585F59B1" w14:textId="23DFCDD6" w:rsidR="006E260B" w:rsidRPr="00A91BBB" w:rsidRDefault="008D3F10" w:rsidP="002B5DAF">
      <w:pPr>
        <w:pStyle w:val="Textkrper"/>
      </w:pPr>
      <w:r w:rsidRPr="00A91BBB">
        <w:t>W</w:t>
      </w:r>
      <w:r w:rsidR="005E38D0">
        <w:t>enn</w:t>
      </w:r>
      <w:r w:rsidRPr="00A91BBB">
        <w:t xml:space="preserve"> UDL-basierte Planung, digitale Zugänge und kooperative Strukturen ineinandergreifen, entstehen Lernräume, die Teilhabe, Verantwortung und Selbststeuerung gleicherma</w:t>
      </w:r>
      <w:r w:rsidR="00C67A10" w:rsidRPr="00A91BBB">
        <w:t>ss</w:t>
      </w:r>
      <w:r w:rsidRPr="00A91BBB">
        <w:t xml:space="preserve">en fördern. </w:t>
      </w:r>
      <w:r w:rsidR="00466C36" w:rsidRPr="00A91BBB">
        <w:t xml:space="preserve">Die Verbindung von UDL und </w:t>
      </w:r>
      <w:proofErr w:type="spellStart"/>
      <w:r w:rsidRPr="00A91BBB">
        <w:t>Diklusion</w:t>
      </w:r>
      <w:proofErr w:type="spellEnd"/>
      <w:r w:rsidRPr="00A91BBB">
        <w:t xml:space="preserve"> kann in diesem Sinne als </w:t>
      </w:r>
      <w:r w:rsidR="00466C36" w:rsidRPr="00A91BBB">
        <w:t>Gestaltung</w:t>
      </w:r>
      <w:r w:rsidRPr="00A91BBB">
        <w:t xml:space="preserve">sprinzip verstanden werden, das </w:t>
      </w:r>
      <w:r w:rsidR="00AF7A98" w:rsidRPr="00A91BBB">
        <w:t xml:space="preserve">die </w:t>
      </w:r>
      <w:r w:rsidRPr="00A91BBB">
        <w:t>Schule nicht nur methodisch, sondern kulturell verändert. Es verbindet die individuelle Ebene der Lernenden mit der kollektiven Ebene des Systems</w:t>
      </w:r>
      <w:r w:rsidR="00AF7A98" w:rsidRPr="00A91BBB">
        <w:t>. Zudem</w:t>
      </w:r>
      <w:r w:rsidRPr="00A91BBB">
        <w:t xml:space="preserve"> macht </w:t>
      </w:r>
      <w:r w:rsidR="00AF7A98" w:rsidRPr="00A91BBB">
        <w:t>es d</w:t>
      </w:r>
      <w:r w:rsidRPr="00A91BBB">
        <w:t>eutlich, dass Teilhabe und Selbstbestimmung nur dann gelingen, wenn auch diejenigen befähigt werden, die Lernprozesse gestalten.</w:t>
      </w:r>
      <w:bookmarkEnd w:id="0"/>
    </w:p>
    <w:tbl>
      <w:tblPr>
        <w:tblStyle w:val="Tabellenraster"/>
        <w:tblW w:w="40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3682"/>
      </w:tblGrid>
      <w:tr w:rsidR="009E5AB3" w:rsidRPr="00A91BBB" w14:paraId="058A2970" w14:textId="77777777" w:rsidTr="002B5DAF">
        <w:tc>
          <w:tcPr>
            <w:tcW w:w="2501" w:type="pct"/>
            <w:vAlign w:val="center"/>
          </w:tcPr>
          <w:p w14:paraId="5D00CE50" w14:textId="06006AA5" w:rsidR="00052A0F" w:rsidRPr="00A91BBB" w:rsidRDefault="00D54978" w:rsidP="00FF2BDE">
            <w:pPr>
              <w:pStyle w:val="Textkrper"/>
              <w:ind w:firstLine="0"/>
            </w:pPr>
            <w:r w:rsidRPr="00A91BBB">
              <w:rPr>
                <w:noProof/>
              </w:rPr>
              <w:drawing>
                <wp:inline distT="0" distB="0" distL="0" distR="0" wp14:anchorId="5907DC9C" wp14:editId="497C999A">
                  <wp:extent cx="931158" cy="972326"/>
                  <wp:effectExtent l="0" t="0" r="2540" b="0"/>
                  <wp:docPr id="3237161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16123" name="Grafik 2"/>
                          <pic:cNvPicPr/>
                        </pic:nvPicPr>
                        <pic:blipFill>
                          <a:blip r:embed="rId18" cstate="print">
                            <a:extLst>
                              <a:ext uri="{28A0092B-C50C-407E-A947-70E740481C1C}">
                                <a14:useLocalDpi xmlns:a14="http://schemas.microsoft.com/office/drawing/2010/main"/>
                              </a:ext>
                            </a:extLst>
                          </a:blip>
                          <a:stretch>
                            <a:fillRect/>
                          </a:stretch>
                        </pic:blipFill>
                        <pic:spPr>
                          <a:xfrm>
                            <a:off x="0" y="0"/>
                            <a:ext cx="931158" cy="972326"/>
                          </a:xfrm>
                          <a:prstGeom prst="rect">
                            <a:avLst/>
                          </a:prstGeom>
                        </pic:spPr>
                      </pic:pic>
                    </a:graphicData>
                  </a:graphic>
                </wp:inline>
              </w:drawing>
            </w:r>
          </w:p>
        </w:tc>
        <w:tc>
          <w:tcPr>
            <w:tcW w:w="2499" w:type="pct"/>
            <w:vAlign w:val="center"/>
          </w:tcPr>
          <w:p w14:paraId="02F7CC4D" w14:textId="46DF3E2A" w:rsidR="00052A0F" w:rsidRPr="00A91BBB" w:rsidRDefault="00052A0F" w:rsidP="00FF2BDE">
            <w:pPr>
              <w:pStyle w:val="Textkrper"/>
              <w:ind w:firstLine="0"/>
              <w:rPr>
                <w:noProof/>
              </w:rPr>
            </w:pPr>
            <w:r w:rsidRPr="00A91BBB">
              <w:rPr>
                <w:noProof/>
              </w:rPr>
              <w:drawing>
                <wp:inline distT="0" distB="0" distL="0" distR="0" wp14:anchorId="7D60B13D" wp14:editId="6A9DF994">
                  <wp:extent cx="1104900" cy="1104900"/>
                  <wp:effectExtent l="0" t="0" r="0" b="0"/>
                  <wp:docPr id="1099209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09498" name="Grafik 1"/>
                          <pic:cNvPicPr/>
                        </pic:nvPicPr>
                        <pic:blipFill>
                          <a:blip r:embed="rId19" cstate="print">
                            <a:extLst>
                              <a:ext uri="{28A0092B-C50C-407E-A947-70E740481C1C}">
                                <a14:useLocalDpi xmlns:a14="http://schemas.microsoft.com/office/drawing/2010/main"/>
                              </a:ext>
                            </a:extLst>
                          </a:blip>
                          <a:stretch>
                            <a:fillRect/>
                          </a:stretch>
                        </pic:blipFill>
                        <pic:spPr>
                          <a:xfrm>
                            <a:off x="0" y="0"/>
                            <a:ext cx="1105608" cy="1105608"/>
                          </a:xfrm>
                          <a:prstGeom prst="rect">
                            <a:avLst/>
                          </a:prstGeom>
                        </pic:spPr>
                      </pic:pic>
                    </a:graphicData>
                  </a:graphic>
                </wp:inline>
              </w:drawing>
            </w:r>
          </w:p>
        </w:tc>
      </w:tr>
      <w:tr w:rsidR="009E5AB3" w:rsidRPr="00A91BBB" w14:paraId="02D87558" w14:textId="77777777" w:rsidTr="002B5DAF">
        <w:trPr>
          <w:trHeight w:val="960"/>
        </w:trPr>
        <w:tc>
          <w:tcPr>
            <w:tcW w:w="2501" w:type="pct"/>
          </w:tcPr>
          <w:p w14:paraId="20647027" w14:textId="189FB69C" w:rsidR="00052A0F" w:rsidRPr="00A91BBB" w:rsidRDefault="00D54978" w:rsidP="00EC344A">
            <w:pPr>
              <w:pStyle w:val="Textkrper3"/>
              <w:jc w:val="left"/>
            </w:pPr>
            <w:r w:rsidRPr="00A91BBB">
              <w:t>Dr. Lea Schulz</w:t>
            </w:r>
            <w:r w:rsidR="00052A0F" w:rsidRPr="00A91BBB">
              <w:br/>
            </w:r>
            <w:r w:rsidRPr="00A91BBB">
              <w:t>Educational Engineer</w:t>
            </w:r>
            <w:r w:rsidR="00052A0F" w:rsidRPr="00A91BBB">
              <w:t xml:space="preserve"> </w:t>
            </w:r>
          </w:p>
          <w:p w14:paraId="482F4010" w14:textId="058D9817" w:rsidR="00052A0F" w:rsidRPr="00A91BBB" w:rsidRDefault="00D54978" w:rsidP="00EC344A">
            <w:pPr>
              <w:pStyle w:val="Textkrper3"/>
              <w:jc w:val="left"/>
            </w:pPr>
            <w:r w:rsidRPr="00A91BBB">
              <w:t>Europa-Universität Flensburg/ IQSH</w:t>
            </w:r>
          </w:p>
          <w:p w14:paraId="57B992FB" w14:textId="1AE4ABBF" w:rsidR="00052A0F" w:rsidRPr="00A91BBB" w:rsidRDefault="00A918B6" w:rsidP="00EC344A">
            <w:pPr>
              <w:pStyle w:val="Textkrper3"/>
              <w:jc w:val="left"/>
            </w:pPr>
            <w:hyperlink r:id="rId20" w:history="1">
              <w:r w:rsidRPr="00A91BBB">
                <w:rPr>
                  <w:rStyle w:val="Hyperlink"/>
                </w:rPr>
                <w:t>lea.schulz@uni-flensburg.de</w:t>
              </w:r>
            </w:hyperlink>
            <w:r w:rsidRPr="00A91BBB">
              <w:t xml:space="preserve"> </w:t>
            </w:r>
          </w:p>
        </w:tc>
        <w:tc>
          <w:tcPr>
            <w:tcW w:w="2499" w:type="pct"/>
          </w:tcPr>
          <w:p w14:paraId="054899FA" w14:textId="563813B7" w:rsidR="00052A0F" w:rsidRPr="00A91BBB" w:rsidRDefault="00052A0F" w:rsidP="00EC344A">
            <w:pPr>
              <w:pStyle w:val="Textkrper3"/>
              <w:jc w:val="left"/>
            </w:pPr>
            <w:r w:rsidRPr="00A91BBB">
              <w:t xml:space="preserve">Lukas Fehlings </w:t>
            </w:r>
            <w:r w:rsidRPr="00A91BBB">
              <w:br/>
              <w:t xml:space="preserve">Fachbeauftragter </w:t>
            </w:r>
            <w:r w:rsidR="00A6393B">
              <w:t>S</w:t>
            </w:r>
            <w:r w:rsidRPr="00A91BBB">
              <w:t>chulische Heilpädagogik Basel-Stadt</w:t>
            </w:r>
          </w:p>
          <w:p w14:paraId="5615062D" w14:textId="02630D48" w:rsidR="00052A0F" w:rsidRPr="00A91BBB" w:rsidRDefault="00C60293" w:rsidP="00EC344A">
            <w:pPr>
              <w:pStyle w:val="Textkrper3"/>
              <w:jc w:val="left"/>
            </w:pPr>
            <w:hyperlink r:id="rId21" w:history="1">
              <w:r w:rsidRPr="00A91BBB">
                <w:rPr>
                  <w:rStyle w:val="Hyperlink"/>
                </w:rPr>
                <w:t>lukas.fehlings@web.de</w:t>
              </w:r>
            </w:hyperlink>
            <w:r w:rsidR="00A918B6" w:rsidRPr="00A91BBB">
              <w:t xml:space="preserve"> </w:t>
            </w:r>
          </w:p>
        </w:tc>
      </w:tr>
    </w:tbl>
    <w:p w14:paraId="451A6C2A" w14:textId="37D7DF5D" w:rsidR="00D232F1" w:rsidRPr="00543BEE" w:rsidRDefault="00D232F1" w:rsidP="00543BEE">
      <w:pPr>
        <w:pStyle w:val="berschrift1"/>
      </w:pPr>
      <w:r w:rsidRPr="00543BEE">
        <w:lastRenderedPageBreak/>
        <w:t>Literatur</w:t>
      </w:r>
    </w:p>
    <w:p w14:paraId="0904324F" w14:textId="6CFCC1ED" w:rsidR="00052A0F" w:rsidRDefault="00052A0F" w:rsidP="00052A0F">
      <w:pPr>
        <w:pStyle w:val="Literaturverzeichnis"/>
      </w:pPr>
      <w:proofErr w:type="spellStart"/>
      <w:r w:rsidRPr="00C60CF9">
        <w:rPr>
          <w:lang w:val="en-US"/>
        </w:rPr>
        <w:t>Ackermans</w:t>
      </w:r>
      <w:proofErr w:type="spellEnd"/>
      <w:r w:rsidRPr="00C60CF9">
        <w:rPr>
          <w:lang w:val="en-US"/>
        </w:rPr>
        <w:t xml:space="preserve">, K., Bakker, M., van Loon, A.-M., Kral, M. &amp; Camp, G. (2025). Young learners’ motivation, self-regulation and performance in personalized learning. </w:t>
      </w:r>
      <w:r w:rsidRPr="00241208">
        <w:rPr>
          <w:i/>
          <w:iCs/>
        </w:rPr>
        <w:t>Computers &amp; Education</w:t>
      </w:r>
      <w:r w:rsidRPr="00A91BBB">
        <w:t xml:space="preserve">, 226, 105208. </w:t>
      </w:r>
      <w:hyperlink r:id="rId22" w:history="1">
        <w:r w:rsidRPr="00A91BBB">
          <w:rPr>
            <w:rStyle w:val="Hyperlink"/>
          </w:rPr>
          <w:t>https://doi.org/10.1016/j.compedu.2024.105208</w:t>
        </w:r>
      </w:hyperlink>
    </w:p>
    <w:p w14:paraId="18BC987B" w14:textId="3F228EB8" w:rsidR="00FA2D10" w:rsidRPr="00A91BBB" w:rsidRDefault="00FA2D10" w:rsidP="00052A0F">
      <w:pPr>
        <w:pStyle w:val="Literaturverzeichnis"/>
      </w:pPr>
      <w:r w:rsidRPr="00FA2D10">
        <w:t xml:space="preserve">Bielefeldt, H. (2009). </w:t>
      </w:r>
      <w:r w:rsidRPr="00FA2D10">
        <w:rPr>
          <w:i/>
          <w:iCs/>
        </w:rPr>
        <w:t>Zum Innovationspotenzial der UN-Behindertenrechtskonvention</w:t>
      </w:r>
      <w:r w:rsidRPr="00FA2D10">
        <w:t xml:space="preserve"> (3., aktual</w:t>
      </w:r>
      <w:r w:rsidR="00FF50A0">
        <w:t>.</w:t>
      </w:r>
      <w:r w:rsidRPr="00FA2D10">
        <w:t xml:space="preserve"> und </w:t>
      </w:r>
      <w:proofErr w:type="spellStart"/>
      <w:r w:rsidRPr="00FA2D10">
        <w:t>erw</w:t>
      </w:r>
      <w:proofErr w:type="spellEnd"/>
      <w:r w:rsidR="00FF50A0">
        <w:t>.</w:t>
      </w:r>
      <w:r w:rsidRPr="00FA2D10">
        <w:t xml:space="preserve"> Aufl</w:t>
      </w:r>
      <w:r w:rsidR="0010110C">
        <w:t>.</w:t>
      </w:r>
      <w:r w:rsidRPr="00FA2D10">
        <w:t xml:space="preserve">). Deutsches Institut für Menschenrechte. </w:t>
      </w:r>
      <w:hyperlink r:id="rId23" w:tgtFrame="_new" w:history="1">
        <w:r w:rsidRPr="00FA2D10">
          <w:rPr>
            <w:rStyle w:val="Hyperlink"/>
          </w:rPr>
          <w:t>https://www.institut-fuer-menschenrechte.de/fileadmin/user_upload/Publikationen/Essay/essay_zum_innovationspotenzial_der_un_behindertenrechtskonvention_auflage3.pdf</w:t>
        </w:r>
      </w:hyperlink>
    </w:p>
    <w:p w14:paraId="51D04110" w14:textId="6D1003F5" w:rsidR="00052A0F" w:rsidRPr="00A91BBB" w:rsidRDefault="00052A0F" w:rsidP="00D54978">
      <w:pPr>
        <w:pStyle w:val="Literaturverzeichnis"/>
      </w:pPr>
      <w:r w:rsidRPr="00A91BBB">
        <w:t>Böttinger, T. &amp; Schulz, L. (2021)</w:t>
      </w:r>
      <w:r w:rsidRPr="005C7C9F">
        <w:t xml:space="preserve">. </w:t>
      </w:r>
      <w:proofErr w:type="spellStart"/>
      <w:r w:rsidRPr="005C7C9F">
        <w:t>Diklusive</w:t>
      </w:r>
      <w:proofErr w:type="spellEnd"/>
      <w:r w:rsidRPr="005C7C9F">
        <w:t xml:space="preserve"> Lernhilfen – Digital-inklusiver Unterricht im Rahmen des Universal Design </w:t>
      </w:r>
      <w:proofErr w:type="spellStart"/>
      <w:r w:rsidRPr="005C7C9F">
        <w:t>for</w:t>
      </w:r>
      <w:proofErr w:type="spellEnd"/>
      <w:r w:rsidRPr="005C7C9F">
        <w:t xml:space="preserve"> Learning.</w:t>
      </w:r>
      <w:r w:rsidRPr="00A91BBB">
        <w:t xml:space="preserve"> </w:t>
      </w:r>
      <w:r w:rsidRPr="00A91BBB">
        <w:rPr>
          <w:i/>
          <w:iCs/>
        </w:rPr>
        <w:t>Zeitschrift für Heilpädagogik</w:t>
      </w:r>
      <w:r w:rsidRPr="00A91BBB">
        <w:t xml:space="preserve">, </w:t>
      </w:r>
      <w:r w:rsidR="0097108E" w:rsidRPr="00A91BBB">
        <w:rPr>
          <w:i/>
          <w:iCs/>
        </w:rPr>
        <w:t>27</w:t>
      </w:r>
      <w:r w:rsidR="00F53B4D" w:rsidRPr="00A91BBB">
        <w:rPr>
          <w:i/>
          <w:iCs/>
        </w:rPr>
        <w:t> </w:t>
      </w:r>
      <w:r w:rsidRPr="00A91BBB">
        <w:t>(9), 436–450</w:t>
      </w:r>
      <w:r w:rsidR="008C5740" w:rsidRPr="00A91BBB">
        <w:t>.</w:t>
      </w:r>
    </w:p>
    <w:p w14:paraId="2D36939A" w14:textId="5B5BE4C5" w:rsidR="00052A0F" w:rsidRPr="00CE4695" w:rsidRDefault="00052A0F" w:rsidP="00052A0F">
      <w:pPr>
        <w:pStyle w:val="Literaturverzeichnis"/>
        <w:rPr>
          <w:lang w:val="en-US"/>
        </w:rPr>
      </w:pPr>
      <w:r w:rsidRPr="00A91BBB">
        <w:t xml:space="preserve">Böttinger, T. &amp; Schulz, L. (2023). Teilhabe an digital-inklusiven Bildungsprozessen – Das Universal Design </w:t>
      </w:r>
      <w:proofErr w:type="spellStart"/>
      <w:r w:rsidRPr="00A91BBB">
        <w:t>for</w:t>
      </w:r>
      <w:proofErr w:type="spellEnd"/>
      <w:r w:rsidRPr="00A91BBB">
        <w:t xml:space="preserve"> Learning </w:t>
      </w:r>
      <w:proofErr w:type="spellStart"/>
      <w:r w:rsidRPr="00A91BBB">
        <w:t>diklusiv</w:t>
      </w:r>
      <w:proofErr w:type="spellEnd"/>
      <w:r w:rsidRPr="00A91BBB">
        <w:t xml:space="preserve"> als methodisch-didaktischer Unterrichtsrahmen. </w:t>
      </w:r>
      <w:proofErr w:type="spellStart"/>
      <w:r w:rsidRPr="00CE4695">
        <w:rPr>
          <w:i/>
          <w:iCs/>
          <w:lang w:val="en-US"/>
        </w:rPr>
        <w:t>QfI</w:t>
      </w:r>
      <w:proofErr w:type="spellEnd"/>
      <w:r w:rsidRPr="00CE4695">
        <w:rPr>
          <w:i/>
          <w:iCs/>
          <w:lang w:val="en-US"/>
        </w:rPr>
        <w:t xml:space="preserve"> – </w:t>
      </w:r>
      <w:proofErr w:type="spellStart"/>
      <w:r w:rsidRPr="00CE4695">
        <w:rPr>
          <w:i/>
          <w:iCs/>
          <w:lang w:val="en-US"/>
        </w:rPr>
        <w:t>Qualifizierung</w:t>
      </w:r>
      <w:proofErr w:type="spellEnd"/>
      <w:r w:rsidRPr="00CE4695">
        <w:rPr>
          <w:i/>
          <w:iCs/>
          <w:lang w:val="en-US"/>
        </w:rPr>
        <w:t xml:space="preserve"> für </w:t>
      </w:r>
      <w:proofErr w:type="spellStart"/>
      <w:r w:rsidRPr="00CE4695">
        <w:rPr>
          <w:i/>
          <w:iCs/>
          <w:lang w:val="en-US"/>
        </w:rPr>
        <w:t>Inklusion</w:t>
      </w:r>
      <w:proofErr w:type="spellEnd"/>
      <w:r w:rsidRPr="00CE4695">
        <w:rPr>
          <w:lang w:val="en-US"/>
        </w:rPr>
        <w:t xml:space="preserve">, </w:t>
      </w:r>
      <w:r w:rsidRPr="00CE4695">
        <w:rPr>
          <w:i/>
          <w:iCs/>
          <w:lang w:val="en-US"/>
        </w:rPr>
        <w:t>5</w:t>
      </w:r>
      <w:r w:rsidR="00925658" w:rsidRPr="00CE4695">
        <w:rPr>
          <w:i/>
          <w:iCs/>
          <w:lang w:val="en-US"/>
        </w:rPr>
        <w:t> </w:t>
      </w:r>
      <w:r w:rsidRPr="00CE4695">
        <w:rPr>
          <w:lang w:val="en-US"/>
        </w:rPr>
        <w:t>(2), 1–19.</w:t>
      </w:r>
    </w:p>
    <w:p w14:paraId="19E949AF" w14:textId="415F69A6" w:rsidR="00642DF1" w:rsidRPr="00637E84" w:rsidRDefault="00052A0F" w:rsidP="00136523">
      <w:pPr>
        <w:pStyle w:val="Literaturverzeichnis"/>
        <w:rPr>
          <w:lang w:val="fr-CH"/>
        </w:rPr>
      </w:pPr>
      <w:r w:rsidRPr="00CE4695">
        <w:rPr>
          <w:lang w:val="en-US"/>
        </w:rPr>
        <w:t xml:space="preserve">CAST (2024). </w:t>
      </w:r>
      <w:r w:rsidRPr="00635B8A">
        <w:rPr>
          <w:i/>
          <w:iCs/>
          <w:lang w:val="en-US"/>
        </w:rPr>
        <w:t>Universal Design for Learning Guidelines 3.0.</w:t>
      </w:r>
      <w:r w:rsidRPr="00CE4695">
        <w:rPr>
          <w:lang w:val="en-US"/>
        </w:rPr>
        <w:t xml:space="preserve"> CAST.</w:t>
      </w:r>
      <w:r w:rsidR="00635B8A">
        <w:rPr>
          <w:lang w:val="en-US"/>
        </w:rPr>
        <w:t xml:space="preserve"> </w:t>
      </w:r>
      <w:r w:rsidR="0010110C">
        <w:rPr>
          <w:lang w:val="en-US"/>
        </w:rPr>
        <w:br/>
      </w:r>
      <w:r w:rsidR="0010110C">
        <w:fldChar w:fldCharType="begin"/>
      </w:r>
      <w:r w:rsidR="0010110C" w:rsidRPr="00983B74">
        <w:rPr>
          <w:lang w:val="en-US"/>
        </w:rPr>
        <w:instrText>HYPERLINK "https://udlguidelines.cast.org/more/about-guidelines-3-0"</w:instrText>
      </w:r>
      <w:r w:rsidR="0010110C">
        <w:fldChar w:fldCharType="separate"/>
      </w:r>
      <w:r w:rsidR="0010110C" w:rsidRPr="009C7F49">
        <w:rPr>
          <w:rStyle w:val="Hyperlink"/>
          <w:lang w:val="fr-CH"/>
        </w:rPr>
        <w:t>https://udlguidelines.cast.org/more/about-guidelines-3-0</w:t>
      </w:r>
      <w:r w:rsidR="0010110C">
        <w:fldChar w:fldCharType="end"/>
      </w:r>
    </w:p>
    <w:p w14:paraId="185EB255" w14:textId="3F2C327D" w:rsidR="00052A0F" w:rsidRPr="00635B8A" w:rsidRDefault="00052A0F" w:rsidP="00136523">
      <w:pPr>
        <w:pStyle w:val="Literaturverzeichnis"/>
        <w:rPr>
          <w:lang w:val="en-GB"/>
        </w:rPr>
      </w:pPr>
      <w:proofErr w:type="spellStart"/>
      <w:r w:rsidRPr="00637E84">
        <w:rPr>
          <w:lang w:val="fr-CH"/>
        </w:rPr>
        <w:t>Deci</w:t>
      </w:r>
      <w:proofErr w:type="spellEnd"/>
      <w:r w:rsidRPr="00637E84">
        <w:rPr>
          <w:lang w:val="fr-CH"/>
        </w:rPr>
        <w:t>, E.</w:t>
      </w:r>
      <w:r w:rsidR="00635B8A" w:rsidRPr="00637E84">
        <w:rPr>
          <w:rFonts w:ascii="Times New Roman" w:hAnsi="Times New Roman" w:cs="Times New Roman"/>
          <w:lang w:val="fr-CH"/>
        </w:rPr>
        <w:t> </w:t>
      </w:r>
      <w:r w:rsidRPr="00637E84">
        <w:rPr>
          <w:lang w:val="fr-CH"/>
        </w:rPr>
        <w:t>L. &amp; Ryan, R.</w:t>
      </w:r>
      <w:r w:rsidR="00635B8A" w:rsidRPr="00637E84">
        <w:rPr>
          <w:lang w:val="fr-CH"/>
        </w:rPr>
        <w:t> </w:t>
      </w:r>
      <w:r w:rsidRPr="00637E84">
        <w:rPr>
          <w:lang w:val="fr-CH"/>
        </w:rPr>
        <w:t xml:space="preserve">M. (2000). </w:t>
      </w:r>
      <w:r w:rsidRPr="00635B8A">
        <w:rPr>
          <w:lang w:val="en-GB"/>
        </w:rPr>
        <w:t xml:space="preserve">The </w:t>
      </w:r>
      <w:r w:rsidR="00635B8A" w:rsidRPr="00635B8A">
        <w:rPr>
          <w:lang w:val="en-GB"/>
        </w:rPr>
        <w:t>«</w:t>
      </w:r>
      <w:r w:rsidRPr="00635B8A">
        <w:rPr>
          <w:lang w:val="en-GB"/>
        </w:rPr>
        <w:t>what</w:t>
      </w:r>
      <w:r w:rsidR="00635B8A" w:rsidRPr="00635B8A">
        <w:rPr>
          <w:lang w:val="en-GB"/>
        </w:rPr>
        <w:t>»</w:t>
      </w:r>
      <w:r w:rsidRPr="00635B8A">
        <w:rPr>
          <w:lang w:val="en-GB"/>
        </w:rPr>
        <w:t xml:space="preserve"> and </w:t>
      </w:r>
      <w:r w:rsidR="00635B8A" w:rsidRPr="00635B8A">
        <w:rPr>
          <w:lang w:val="en-GB"/>
        </w:rPr>
        <w:t>«</w:t>
      </w:r>
      <w:r w:rsidRPr="00635B8A">
        <w:rPr>
          <w:lang w:val="en-GB"/>
        </w:rPr>
        <w:t>why</w:t>
      </w:r>
      <w:r w:rsidR="00635B8A" w:rsidRPr="00635B8A">
        <w:rPr>
          <w:lang w:val="en-GB"/>
        </w:rPr>
        <w:t>»</w:t>
      </w:r>
      <w:r w:rsidRPr="00635B8A">
        <w:rPr>
          <w:lang w:val="en-GB"/>
        </w:rPr>
        <w:t xml:space="preserve"> of goal pursuits: Human needs and the self-determination of </w:t>
      </w:r>
      <w:proofErr w:type="spellStart"/>
      <w:r w:rsidRPr="00635B8A">
        <w:rPr>
          <w:lang w:val="en-GB"/>
        </w:rPr>
        <w:t>behavior</w:t>
      </w:r>
      <w:proofErr w:type="spellEnd"/>
      <w:r w:rsidRPr="00635B8A">
        <w:rPr>
          <w:lang w:val="en-GB"/>
        </w:rPr>
        <w:t xml:space="preserve">. </w:t>
      </w:r>
      <w:r w:rsidRPr="00635B8A">
        <w:rPr>
          <w:i/>
          <w:iCs/>
          <w:lang w:val="en-GB"/>
        </w:rPr>
        <w:t>Psychological Inquiry, 11</w:t>
      </w:r>
      <w:r w:rsidR="007739F8" w:rsidRPr="00635B8A">
        <w:rPr>
          <w:lang w:val="en-GB"/>
        </w:rPr>
        <w:t> </w:t>
      </w:r>
      <w:r w:rsidRPr="00635B8A">
        <w:rPr>
          <w:lang w:val="en-GB"/>
        </w:rPr>
        <w:t>(4), 227–268.</w:t>
      </w:r>
    </w:p>
    <w:p w14:paraId="03EC1B2F" w14:textId="77777777" w:rsidR="00052A0F" w:rsidRPr="00CE4695" w:rsidRDefault="00052A0F" w:rsidP="00136523">
      <w:pPr>
        <w:pStyle w:val="Literaturverzeichnis"/>
        <w:rPr>
          <w:lang w:val="en-US"/>
        </w:rPr>
      </w:pPr>
      <w:r w:rsidRPr="00CE4695">
        <w:rPr>
          <w:lang w:val="en-US"/>
        </w:rPr>
        <w:t xml:space="preserve">Fullan, M. (2021). </w:t>
      </w:r>
      <w:r w:rsidRPr="00635B8A">
        <w:rPr>
          <w:i/>
          <w:iCs/>
          <w:lang w:val="en-US"/>
        </w:rPr>
        <w:t xml:space="preserve">The right drivers for whole </w:t>
      </w:r>
      <w:proofErr w:type="gramStart"/>
      <w:r w:rsidRPr="00635B8A">
        <w:rPr>
          <w:i/>
          <w:iCs/>
          <w:lang w:val="en-US"/>
        </w:rPr>
        <w:t>system</w:t>
      </w:r>
      <w:proofErr w:type="gramEnd"/>
      <w:r w:rsidRPr="00635B8A">
        <w:rPr>
          <w:i/>
          <w:iCs/>
          <w:lang w:val="en-US"/>
        </w:rPr>
        <w:t xml:space="preserve"> success.</w:t>
      </w:r>
      <w:r w:rsidRPr="00CE4695">
        <w:rPr>
          <w:lang w:val="en-US"/>
        </w:rPr>
        <w:t xml:space="preserve"> Centre for Strategic Education.</w:t>
      </w:r>
    </w:p>
    <w:p w14:paraId="13DB8550" w14:textId="2AB7D84C" w:rsidR="00052A0F" w:rsidRPr="00A91BBB" w:rsidRDefault="00052A0F" w:rsidP="00136523">
      <w:pPr>
        <w:pStyle w:val="Literaturverzeichnis"/>
      </w:pPr>
      <w:proofErr w:type="spellStart"/>
      <w:r w:rsidRPr="00CE4695">
        <w:rPr>
          <w:lang w:val="en-US"/>
        </w:rPr>
        <w:t>Herriger</w:t>
      </w:r>
      <w:proofErr w:type="spellEnd"/>
      <w:r w:rsidRPr="00CE4695">
        <w:rPr>
          <w:lang w:val="en-US"/>
        </w:rPr>
        <w:t xml:space="preserve">, N. (2020). </w:t>
      </w:r>
      <w:r w:rsidRPr="00635B8A">
        <w:rPr>
          <w:i/>
          <w:iCs/>
        </w:rPr>
        <w:t>Empowerment in der Sozialen Arbeit. Eine Einführung.</w:t>
      </w:r>
      <w:r w:rsidRPr="00A91BBB">
        <w:t xml:space="preserve"> Beltz.</w:t>
      </w:r>
    </w:p>
    <w:p w14:paraId="6795FA1E" w14:textId="49BAD73D" w:rsidR="00052A0F" w:rsidRPr="00A91BBB" w:rsidRDefault="00052A0F" w:rsidP="00052A0F">
      <w:pPr>
        <w:pStyle w:val="Literaturverzeichnis"/>
      </w:pPr>
      <w:r w:rsidRPr="00A91BBB">
        <w:t xml:space="preserve">Krstoski, I. &amp; Schulz, L. (2023). Was Technologien ermöglichen könnten – Zur Bedeutung </w:t>
      </w:r>
      <w:proofErr w:type="spellStart"/>
      <w:r w:rsidRPr="00A91BBB">
        <w:t>Assistiver</w:t>
      </w:r>
      <w:proofErr w:type="spellEnd"/>
      <w:r w:rsidRPr="00A91BBB">
        <w:t xml:space="preserve"> Technologien für die </w:t>
      </w:r>
      <w:proofErr w:type="spellStart"/>
      <w:r w:rsidRPr="00A91BBB">
        <w:t>Lehrer:innenbildung</w:t>
      </w:r>
      <w:proofErr w:type="spellEnd"/>
      <w:r w:rsidRPr="00A91BBB">
        <w:t xml:space="preserve">. </w:t>
      </w:r>
      <w:proofErr w:type="spellStart"/>
      <w:r w:rsidRPr="00A91BBB">
        <w:rPr>
          <w:i/>
          <w:iCs/>
        </w:rPr>
        <w:t>QfI</w:t>
      </w:r>
      <w:proofErr w:type="spellEnd"/>
      <w:r w:rsidRPr="00A91BBB">
        <w:rPr>
          <w:i/>
          <w:iCs/>
        </w:rPr>
        <w:t xml:space="preserve"> </w:t>
      </w:r>
      <w:r w:rsidR="00AA5D81">
        <w:rPr>
          <w:i/>
          <w:iCs/>
        </w:rPr>
        <w:t>–</w:t>
      </w:r>
      <w:r w:rsidRPr="00A91BBB">
        <w:rPr>
          <w:i/>
          <w:iCs/>
        </w:rPr>
        <w:t xml:space="preserve"> Qualifizierung für Inklusion</w:t>
      </w:r>
      <w:r w:rsidRPr="00A91BBB">
        <w:t xml:space="preserve">, </w:t>
      </w:r>
      <w:r w:rsidRPr="00165A5F">
        <w:rPr>
          <w:i/>
          <w:iCs/>
        </w:rPr>
        <w:t>5</w:t>
      </w:r>
      <w:r w:rsidR="00D04C68" w:rsidRPr="00A91BBB">
        <w:rPr>
          <w:i/>
          <w:iCs/>
        </w:rPr>
        <w:t> </w:t>
      </w:r>
      <w:r w:rsidRPr="00A91BBB">
        <w:t xml:space="preserve">(2). </w:t>
      </w:r>
      <w:hyperlink r:id="rId24" w:history="1">
        <w:r w:rsidRPr="00A91BBB">
          <w:rPr>
            <w:rStyle w:val="Hyperlink"/>
          </w:rPr>
          <w:t>https://doi.org/10.21248/qfi.120</w:t>
        </w:r>
      </w:hyperlink>
    </w:p>
    <w:p w14:paraId="7FA9499B" w14:textId="23391CC5" w:rsidR="00052A0F" w:rsidRPr="00C60CF9" w:rsidRDefault="00052A0F" w:rsidP="00052A0F">
      <w:pPr>
        <w:pStyle w:val="Literaturverzeichnis"/>
        <w:rPr>
          <w:lang w:val="en-US"/>
        </w:rPr>
      </w:pPr>
      <w:r w:rsidRPr="00C60CF9">
        <w:t>Meyer, A., Rose, D.</w:t>
      </w:r>
      <w:r w:rsidR="0045788B">
        <w:t> </w:t>
      </w:r>
      <w:r w:rsidRPr="00C60CF9">
        <w:t xml:space="preserve">H. &amp; Gordon, D. (2014). </w:t>
      </w:r>
      <w:r w:rsidRPr="00C60CF9">
        <w:rPr>
          <w:i/>
          <w:iCs/>
          <w:lang w:val="en-US"/>
        </w:rPr>
        <w:t>Universal Design for Learning: Theory and practice.</w:t>
      </w:r>
      <w:r w:rsidRPr="00C60CF9">
        <w:rPr>
          <w:lang w:val="en-US"/>
        </w:rPr>
        <w:t xml:space="preserve"> CAST.</w:t>
      </w:r>
    </w:p>
    <w:p w14:paraId="038A0F60" w14:textId="27A3C2E5" w:rsidR="00052A0F" w:rsidRPr="00C60CF9" w:rsidRDefault="00052A0F" w:rsidP="00052A0F">
      <w:pPr>
        <w:pStyle w:val="Literaturverzeichnis"/>
        <w:rPr>
          <w:lang w:val="en-US"/>
        </w:rPr>
      </w:pPr>
      <w:r w:rsidRPr="00C60CF9">
        <w:rPr>
          <w:lang w:val="en-US"/>
        </w:rPr>
        <w:t>Nelson, L.</w:t>
      </w:r>
      <w:r w:rsidR="0045788B">
        <w:rPr>
          <w:lang w:val="en-US"/>
        </w:rPr>
        <w:t> </w:t>
      </w:r>
      <w:r w:rsidRPr="00C60CF9">
        <w:rPr>
          <w:lang w:val="en-US"/>
        </w:rPr>
        <w:t xml:space="preserve">L. (2020). </w:t>
      </w:r>
      <w:r w:rsidRPr="00C60CF9">
        <w:rPr>
          <w:i/>
          <w:iCs/>
          <w:lang w:val="en-US"/>
        </w:rPr>
        <w:t xml:space="preserve">Design and </w:t>
      </w:r>
      <w:proofErr w:type="gramStart"/>
      <w:r w:rsidRPr="00C60CF9">
        <w:rPr>
          <w:i/>
          <w:iCs/>
          <w:lang w:val="en-US"/>
        </w:rPr>
        <w:t>deliver</w:t>
      </w:r>
      <w:proofErr w:type="gramEnd"/>
      <w:r w:rsidRPr="00C60CF9">
        <w:rPr>
          <w:i/>
          <w:iCs/>
          <w:lang w:val="en-US"/>
        </w:rPr>
        <w:t>: Planning and teaching using Universal Design for Learning</w:t>
      </w:r>
      <w:r w:rsidRPr="00C60CF9">
        <w:rPr>
          <w:lang w:val="en-US"/>
        </w:rPr>
        <w:t xml:space="preserve"> (2</w:t>
      </w:r>
      <w:r w:rsidRPr="00553101">
        <w:rPr>
          <w:vertAlign w:val="superscript"/>
          <w:lang w:val="en-US"/>
        </w:rPr>
        <w:t>nd</w:t>
      </w:r>
      <w:r w:rsidRPr="00C60CF9">
        <w:rPr>
          <w:lang w:val="en-US"/>
        </w:rPr>
        <w:t xml:space="preserve"> ed.). Brookes.</w:t>
      </w:r>
    </w:p>
    <w:p w14:paraId="627C8C92" w14:textId="742E91E7" w:rsidR="00052A0F" w:rsidRDefault="00052A0F" w:rsidP="00052A0F">
      <w:pPr>
        <w:pStyle w:val="Literaturverzeichnis"/>
      </w:pPr>
      <w:r w:rsidRPr="00C60CF9">
        <w:rPr>
          <w:lang w:val="en-US"/>
        </w:rPr>
        <w:t xml:space="preserve">Novak, K. (2022). </w:t>
      </w:r>
      <w:r w:rsidRPr="00C60CF9">
        <w:rPr>
          <w:i/>
          <w:iCs/>
          <w:lang w:val="en-US"/>
        </w:rPr>
        <w:t>UDL Now! A Teacher’s Guide to Applying Universal Design for Learning in Today’s Classrooms</w:t>
      </w:r>
      <w:r w:rsidRPr="00C60CF9">
        <w:rPr>
          <w:lang w:val="en-US"/>
        </w:rPr>
        <w:t xml:space="preserve"> (3</w:t>
      </w:r>
      <w:r w:rsidRPr="00553101">
        <w:rPr>
          <w:vertAlign w:val="superscript"/>
          <w:lang w:val="en-US"/>
        </w:rPr>
        <w:t xml:space="preserve">rd </w:t>
      </w:r>
      <w:r w:rsidRPr="00C60CF9">
        <w:rPr>
          <w:lang w:val="en-US"/>
        </w:rPr>
        <w:t xml:space="preserve">ed.). </w:t>
      </w:r>
      <w:r w:rsidRPr="00165A5F">
        <w:t>CAST.</w:t>
      </w:r>
    </w:p>
    <w:p w14:paraId="6C69DD66" w14:textId="0C61FDBC" w:rsidR="00990831" w:rsidRPr="00165A5F" w:rsidRDefault="00990831" w:rsidP="00052A0F">
      <w:pPr>
        <w:pStyle w:val="Literaturverzeichnis"/>
      </w:pPr>
      <w:r>
        <w:t xml:space="preserve">Schulz, L. (2018). </w:t>
      </w:r>
      <w:r w:rsidRPr="00990831">
        <w:rPr>
          <w:lang w:val="de-DE"/>
        </w:rPr>
        <w:t>Digitale Medien im Bereich Inklusion. In B. Lütje-Klose, T. Riecke-</w:t>
      </w:r>
      <w:proofErr w:type="spellStart"/>
      <w:r w:rsidRPr="00990831">
        <w:rPr>
          <w:lang w:val="de-DE"/>
        </w:rPr>
        <w:t>Baulecke</w:t>
      </w:r>
      <w:proofErr w:type="spellEnd"/>
      <w:r w:rsidRPr="00990831">
        <w:rPr>
          <w:lang w:val="de-DE"/>
        </w:rPr>
        <w:t xml:space="preserve"> &amp; R. Werning (Hrsg.), </w:t>
      </w:r>
      <w:r w:rsidRPr="00990831">
        <w:rPr>
          <w:i/>
          <w:iCs/>
          <w:lang w:val="de-DE"/>
        </w:rPr>
        <w:t>Basiswissen Lehrerbildung: Inklusion in Schule und Unterricht, Grundlagen in der Sonderpädagogik</w:t>
      </w:r>
      <w:r w:rsidRPr="00990831">
        <w:rPr>
          <w:lang w:val="de-DE"/>
        </w:rPr>
        <w:t xml:space="preserve"> (S.</w:t>
      </w:r>
      <w:r w:rsidR="00271468">
        <w:rPr>
          <w:lang w:val="de-DE"/>
        </w:rPr>
        <w:t> </w:t>
      </w:r>
      <w:r w:rsidRPr="00990831">
        <w:rPr>
          <w:lang w:val="de-DE"/>
        </w:rPr>
        <w:t>344–367). Klett/Kallmeyer</w:t>
      </w:r>
      <w:r>
        <w:rPr>
          <w:lang w:val="de-DE"/>
        </w:rPr>
        <w:t>.</w:t>
      </w:r>
    </w:p>
    <w:p w14:paraId="08E9B315" w14:textId="0FD44E52" w:rsidR="00052A0F" w:rsidRPr="00A91BBB" w:rsidRDefault="00052A0F" w:rsidP="00052A0F">
      <w:pPr>
        <w:pStyle w:val="Literaturverzeichnis"/>
      </w:pPr>
      <w:r w:rsidRPr="00A91BBB">
        <w:t xml:space="preserve">Schulz, L. (2021). Kultur der </w:t>
      </w:r>
      <w:proofErr w:type="spellStart"/>
      <w:r w:rsidRPr="00A91BBB">
        <w:t>Diklusivität</w:t>
      </w:r>
      <w:proofErr w:type="spellEnd"/>
      <w:r w:rsidRPr="00A91BBB">
        <w:t xml:space="preserve">: Auf dem Weg zu einer digital-inklusiven Schulgemeinschaft. </w:t>
      </w:r>
      <w:r w:rsidRPr="00844241">
        <w:rPr>
          <w:i/>
          <w:iCs/>
        </w:rPr>
        <w:t>schule verantworten</w:t>
      </w:r>
      <w:r w:rsidRPr="00A91BBB">
        <w:t>, 2, 64</w:t>
      </w:r>
      <w:r w:rsidR="00370EB7" w:rsidRPr="00A91BBB">
        <w:t>–</w:t>
      </w:r>
      <w:r w:rsidRPr="00A91BBB">
        <w:t xml:space="preserve">71. </w:t>
      </w:r>
      <w:hyperlink r:id="rId25" w:history="1">
        <w:r w:rsidR="00945365" w:rsidRPr="00A91BBB">
          <w:rPr>
            <w:rStyle w:val="Hyperlink"/>
          </w:rPr>
          <w:t>https://doi.org/10.53349/sv.2021.i2.a104</w:t>
        </w:r>
      </w:hyperlink>
      <w:r w:rsidR="00945365" w:rsidRPr="00A91BBB">
        <w:t xml:space="preserve"> </w:t>
      </w:r>
    </w:p>
    <w:p w14:paraId="0887D40B" w14:textId="759E8A7A" w:rsidR="00052A0F" w:rsidRPr="00CE4695" w:rsidRDefault="00052A0F" w:rsidP="00052A0F">
      <w:pPr>
        <w:pStyle w:val="Literaturverzeichnis"/>
        <w:rPr>
          <w:lang w:val="en-US"/>
        </w:rPr>
      </w:pPr>
      <w:r w:rsidRPr="00A91BBB">
        <w:t xml:space="preserve">Schulz, L. &amp; Achilles, E. (2023). </w:t>
      </w:r>
      <w:r w:rsidRPr="00844241">
        <w:rPr>
          <w:i/>
          <w:iCs/>
        </w:rPr>
        <w:t xml:space="preserve">Erfolgreich lernen </w:t>
      </w:r>
      <w:r w:rsidR="00AA5D81">
        <w:rPr>
          <w:i/>
          <w:iCs/>
        </w:rPr>
        <w:t>–</w:t>
      </w:r>
      <w:r w:rsidRPr="00844241">
        <w:rPr>
          <w:i/>
          <w:iCs/>
        </w:rPr>
        <w:t xml:space="preserve"> digital und inklusiv: Praxisbeispiele zum Einsatz digitaler Tools für individualisiertes Lernen</w:t>
      </w:r>
      <w:r w:rsidRPr="00A91BBB">
        <w:t xml:space="preserve">. </w:t>
      </w:r>
      <w:r w:rsidRPr="00CE4695">
        <w:rPr>
          <w:lang w:val="en-US"/>
        </w:rPr>
        <w:t>P</w:t>
      </w:r>
      <w:r w:rsidR="00F35904">
        <w:rPr>
          <w:lang w:val="en-US"/>
        </w:rPr>
        <w:t>ersen</w:t>
      </w:r>
      <w:r w:rsidRPr="00CE4695">
        <w:rPr>
          <w:lang w:val="en-US"/>
        </w:rPr>
        <w:t>.</w:t>
      </w:r>
    </w:p>
    <w:p w14:paraId="3A18F25D" w14:textId="58AA999E" w:rsidR="00553101" w:rsidRPr="00CE4695" w:rsidRDefault="001B2847" w:rsidP="001B2847">
      <w:pPr>
        <w:pStyle w:val="Literaturverzeichnis"/>
        <w:rPr>
          <w:lang w:val="en-US"/>
        </w:rPr>
      </w:pPr>
      <w:r w:rsidRPr="00CE4695">
        <w:rPr>
          <w:lang w:val="en-US"/>
        </w:rPr>
        <w:t xml:space="preserve">Schulz, L., </w:t>
      </w:r>
      <w:proofErr w:type="spellStart"/>
      <w:r w:rsidRPr="00CE4695">
        <w:rPr>
          <w:lang w:val="en-US"/>
        </w:rPr>
        <w:t>Kürzinger</w:t>
      </w:r>
      <w:proofErr w:type="spellEnd"/>
      <w:r w:rsidRPr="00CE4695">
        <w:rPr>
          <w:lang w:val="en-US"/>
        </w:rPr>
        <w:t xml:space="preserve">, A. &amp; Böttinger, T. (2025). </w:t>
      </w:r>
      <w:r w:rsidRPr="009E5AB3">
        <w:rPr>
          <w:i/>
          <w:iCs/>
          <w:lang w:val="en-US"/>
        </w:rPr>
        <w:t xml:space="preserve">Communication and Collaboration in digital learning environments in elementary schools: findings from a videographic research project. Learning Environments Research. </w:t>
      </w:r>
      <w:r w:rsidR="004A19E2">
        <w:rPr>
          <w:lang w:val="en-US"/>
        </w:rPr>
        <w:t xml:space="preserve">Springer Nature Link. </w:t>
      </w:r>
      <w:r w:rsidR="00E55021">
        <w:fldChar w:fldCharType="begin"/>
      </w:r>
      <w:r w:rsidR="00E55021" w:rsidRPr="00983B74">
        <w:rPr>
          <w:lang w:val="en-US"/>
        </w:rPr>
        <w:instrText>HYPERLINK "https://doi.org/10.1007/s10984-025-09537-0"</w:instrText>
      </w:r>
      <w:r w:rsidR="00E55021">
        <w:fldChar w:fldCharType="separate"/>
      </w:r>
      <w:r w:rsidR="00E55021" w:rsidRPr="00F1093B">
        <w:rPr>
          <w:rStyle w:val="Hyperlink"/>
          <w:lang w:val="en-US"/>
        </w:rPr>
        <w:t>https://doi.org/10.1007/s10984-025-09537-0</w:t>
      </w:r>
      <w:r w:rsidR="00E55021">
        <w:fldChar w:fldCharType="end"/>
      </w:r>
    </w:p>
    <w:p w14:paraId="5DDE724D" w14:textId="3B709477" w:rsidR="00052A0F" w:rsidRPr="00A91BBB" w:rsidRDefault="00052A0F" w:rsidP="00052A0F">
      <w:pPr>
        <w:pStyle w:val="Literaturverzeichnis"/>
      </w:pPr>
      <w:r w:rsidRPr="00637E84">
        <w:t xml:space="preserve">Syring, M., Bohl, T. &amp; Lachner, A. (2022). </w:t>
      </w:r>
      <w:r w:rsidRPr="00A91BBB">
        <w:t xml:space="preserve">Digitalisierung in der Schule: Vorschlag eines systematisierenden Rahmenmodells aus schulpädagogischer Perspektive. </w:t>
      </w:r>
      <w:r w:rsidRPr="00844241">
        <w:rPr>
          <w:i/>
          <w:iCs/>
        </w:rPr>
        <w:t>Zeitschrift für Bildungsforschung</w:t>
      </w:r>
      <w:r w:rsidRPr="00A91BBB">
        <w:t xml:space="preserve">, </w:t>
      </w:r>
      <w:r w:rsidRPr="00844241">
        <w:rPr>
          <w:i/>
          <w:iCs/>
        </w:rPr>
        <w:t>12</w:t>
      </w:r>
      <w:r w:rsidR="00FE2DE6" w:rsidRPr="00A91BBB">
        <w:rPr>
          <w:i/>
          <w:iCs/>
        </w:rPr>
        <w:t> </w:t>
      </w:r>
      <w:r w:rsidRPr="00A91BBB">
        <w:t xml:space="preserve">(4), 615–630. </w:t>
      </w:r>
      <w:hyperlink r:id="rId26" w:history="1">
        <w:r w:rsidR="00254D0B" w:rsidRPr="00A91BBB">
          <w:rPr>
            <w:rStyle w:val="Hyperlink"/>
          </w:rPr>
          <w:t>https://doi.org/10.1007/s35834-022-00340-y</w:t>
        </w:r>
      </w:hyperlink>
      <w:r w:rsidR="00254D0B" w:rsidRPr="00A91BBB">
        <w:t xml:space="preserve"> </w:t>
      </w:r>
    </w:p>
    <w:p w14:paraId="39D3D8AD" w14:textId="77777777" w:rsidR="00052A0F" w:rsidRPr="00C60CF9" w:rsidRDefault="00052A0F" w:rsidP="00052A0F">
      <w:pPr>
        <w:pStyle w:val="Literaturverzeichnis"/>
        <w:rPr>
          <w:lang w:val="en-US"/>
        </w:rPr>
      </w:pPr>
      <w:r w:rsidRPr="000B351E">
        <w:t xml:space="preserve">Tucker, C. (2018). </w:t>
      </w:r>
      <w:r w:rsidRPr="00C60CF9">
        <w:rPr>
          <w:i/>
          <w:iCs/>
          <w:lang w:val="en-US"/>
        </w:rPr>
        <w:t>Power Up Blended Learning: The Teacher’s Guide to Leveraging Technology.</w:t>
      </w:r>
      <w:r w:rsidRPr="00C60CF9">
        <w:rPr>
          <w:lang w:val="en-US"/>
        </w:rPr>
        <w:t xml:space="preserve"> Corwin.</w:t>
      </w:r>
    </w:p>
    <w:p w14:paraId="0F2C437C" w14:textId="3B2B7861" w:rsidR="00052A0F" w:rsidRPr="00A91BBB" w:rsidRDefault="00052A0F" w:rsidP="00052A0F">
      <w:pPr>
        <w:pStyle w:val="Literaturverzeichnis"/>
      </w:pPr>
      <w:r w:rsidRPr="00C60CF9">
        <w:rPr>
          <w:lang w:val="en-US"/>
        </w:rPr>
        <w:t xml:space="preserve">Tucker, C. &amp; Novak, K. (2021). </w:t>
      </w:r>
      <w:r w:rsidRPr="00C60CF9">
        <w:rPr>
          <w:i/>
          <w:iCs/>
          <w:lang w:val="en-US"/>
        </w:rPr>
        <w:t>UDL and Blended Learning: Thriving in Flexible Learning Landscapes.</w:t>
      </w:r>
      <w:r w:rsidRPr="00C60CF9">
        <w:rPr>
          <w:lang w:val="en-US"/>
        </w:rPr>
        <w:t xml:space="preserve"> </w:t>
      </w:r>
      <w:r w:rsidRPr="00A91BBB">
        <w:t>CAST.</w:t>
      </w:r>
    </w:p>
    <w:p w14:paraId="7E0854E1" w14:textId="42F3A363" w:rsidR="00F651E1" w:rsidRPr="00A91BBB" w:rsidRDefault="00F651E1" w:rsidP="00F651E1">
      <w:pPr>
        <w:pStyle w:val="Literaturverzeichnis"/>
      </w:pPr>
      <w:r w:rsidRPr="00A91BBB">
        <w:t>Übereinkommen über die Rechte von Menschen mit Behinderungen (Behindertenrechtskonvention, BRK) vom 13. Dezember 2006, durch die Schweiz ratifiziert am 15. April 2014, in Kraft seit dem 15. Mai 2014, SR 0.109.</w:t>
      </w:r>
    </w:p>
    <w:p w14:paraId="3025AF55" w14:textId="12720BEF" w:rsidR="00052A0F" w:rsidRPr="00844241" w:rsidRDefault="004E5C98" w:rsidP="00052A0F">
      <w:pPr>
        <w:pStyle w:val="Literaturverzeichnis"/>
      </w:pPr>
      <w:proofErr w:type="spellStart"/>
      <w:r>
        <w:t>u</w:t>
      </w:r>
      <w:r w:rsidR="00052A0F" w:rsidRPr="00A91BBB">
        <w:t>nterrichten.digital</w:t>
      </w:r>
      <w:proofErr w:type="spellEnd"/>
      <w:r w:rsidR="00052A0F" w:rsidRPr="00A91BBB">
        <w:t xml:space="preserve"> (2024). </w:t>
      </w:r>
      <w:r w:rsidR="00052A0F" w:rsidRPr="00A91BBB">
        <w:rPr>
          <w:i/>
          <w:iCs/>
        </w:rPr>
        <w:t>Choice Boards im Unterricht – Lernpfade gestalten.</w:t>
      </w:r>
      <w:hyperlink r:id="rId27" w:history="1">
        <w:r w:rsidR="00052A0F" w:rsidRPr="00A91BBB">
          <w:rPr>
            <w:rStyle w:val="Hyperlink"/>
          </w:rPr>
          <w:t xml:space="preserve"> </w:t>
        </w:r>
      </w:hyperlink>
      <w:hyperlink r:id="rId28" w:history="1">
        <w:r w:rsidR="00052A0F" w:rsidRPr="00844241">
          <w:rPr>
            <w:rStyle w:val="Hyperlink"/>
          </w:rPr>
          <w:t>https://unterrichten.digital/2024/03/17/choice-boards-lernpfade-unterricht/</w:t>
        </w:r>
      </w:hyperlink>
      <w:r>
        <w:t xml:space="preserve"> [Zugriff: 03.02.2026].</w:t>
      </w:r>
    </w:p>
    <w:p w14:paraId="26E22401" w14:textId="000B04A7" w:rsidR="00052A0F" w:rsidRPr="00C60CF9" w:rsidRDefault="00052A0F" w:rsidP="00052A0F">
      <w:pPr>
        <w:pStyle w:val="Literaturverzeichnis"/>
        <w:rPr>
          <w:lang w:val="en-US"/>
        </w:rPr>
      </w:pPr>
      <w:r w:rsidRPr="000B351E">
        <w:t>Vygotsky, L.</w:t>
      </w:r>
      <w:r w:rsidR="004E5C98" w:rsidRPr="000B351E">
        <w:t> </w:t>
      </w:r>
      <w:r w:rsidRPr="000B351E">
        <w:t xml:space="preserve">S. (1978). </w:t>
      </w:r>
      <w:r w:rsidRPr="00C60CF9">
        <w:rPr>
          <w:i/>
          <w:iCs/>
          <w:lang w:val="en-US"/>
        </w:rPr>
        <w:t>Mind in Society: The Development of Higher Psychological Processes.</w:t>
      </w:r>
      <w:r w:rsidRPr="00C60CF9">
        <w:rPr>
          <w:lang w:val="en-US"/>
        </w:rPr>
        <w:t xml:space="preserve"> Harvard University Press.</w:t>
      </w:r>
    </w:p>
    <w:p w14:paraId="21B44DC5" w14:textId="39618314" w:rsidR="006111D5" w:rsidRPr="00A91BBB" w:rsidRDefault="00052A0F" w:rsidP="00D54978">
      <w:pPr>
        <w:pStyle w:val="Literaturverzeichnis"/>
      </w:pPr>
      <w:r w:rsidRPr="00C60CF9">
        <w:rPr>
          <w:lang w:val="en-US"/>
        </w:rPr>
        <w:t>Zimmerman, B.</w:t>
      </w:r>
      <w:r w:rsidR="004E5C98">
        <w:rPr>
          <w:lang w:val="en-US"/>
        </w:rPr>
        <w:t> </w:t>
      </w:r>
      <w:r w:rsidRPr="00C60CF9">
        <w:rPr>
          <w:lang w:val="en-US"/>
        </w:rPr>
        <w:t xml:space="preserve">J. (2002). Becoming a self-regulated learner: An overview. </w:t>
      </w:r>
      <w:r w:rsidRPr="00A91BBB">
        <w:rPr>
          <w:i/>
          <w:iCs/>
        </w:rPr>
        <w:t xml:space="preserve">Theory </w:t>
      </w:r>
      <w:proofErr w:type="spellStart"/>
      <w:r w:rsidRPr="00A91BBB">
        <w:rPr>
          <w:i/>
          <w:iCs/>
        </w:rPr>
        <w:t>Into</w:t>
      </w:r>
      <w:proofErr w:type="spellEnd"/>
      <w:r w:rsidRPr="00A91BBB">
        <w:rPr>
          <w:i/>
          <w:iCs/>
        </w:rPr>
        <w:t xml:space="preserve"> Practice,</w:t>
      </w:r>
      <w:r w:rsidRPr="00A91BBB">
        <w:t xml:space="preserve"> </w:t>
      </w:r>
      <w:r w:rsidRPr="00844241">
        <w:rPr>
          <w:i/>
          <w:iCs/>
        </w:rPr>
        <w:t>41</w:t>
      </w:r>
      <w:r w:rsidR="003063FF" w:rsidRPr="00A91BBB">
        <w:rPr>
          <w:i/>
          <w:iCs/>
        </w:rPr>
        <w:t> </w:t>
      </w:r>
      <w:r w:rsidRPr="00A91BBB">
        <w:t>(2), 64–70.</w:t>
      </w:r>
    </w:p>
    <w:sectPr w:rsidR="006111D5" w:rsidRPr="00A91BBB" w:rsidSect="00197DA7">
      <w:headerReference w:type="even" r:id="rId29"/>
      <w:headerReference w:type="default" r:id="rId30"/>
      <w:footerReference w:type="even" r:id="rId31"/>
      <w:footerReference w:type="default" r:id="rId32"/>
      <w:headerReference w:type="first" r:id="rId33"/>
      <w:footerReference w:type="first" r:id="rId34"/>
      <w:pgSz w:w="11907" w:h="16840" w:code="9"/>
      <w:pgMar w:top="1418" w:right="1418" w:bottom="1134" w:left="1418" w:header="720" w:footer="567"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4916" w14:textId="77777777" w:rsidR="00F12F5C" w:rsidRDefault="00F12F5C">
      <w:pPr>
        <w:spacing w:line="240" w:lineRule="auto"/>
      </w:pPr>
      <w:r>
        <w:separator/>
      </w:r>
    </w:p>
  </w:endnote>
  <w:endnote w:type="continuationSeparator" w:id="0">
    <w:p w14:paraId="4CBF6C9E" w14:textId="77777777" w:rsidR="00F12F5C" w:rsidRDefault="00F12F5C">
      <w:pPr>
        <w:spacing w:line="240" w:lineRule="auto"/>
      </w:pPr>
      <w:r>
        <w:continuationSeparator/>
      </w:r>
    </w:p>
  </w:endnote>
  <w:endnote w:type="continuationNotice" w:id="1">
    <w:p w14:paraId="0A534505" w14:textId="77777777" w:rsidR="00F12F5C" w:rsidRDefault="00F12F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CA2E64C-2AD2-4F92-B947-C4A6F682974B}"/>
    <w:embedBold r:id="rId2" w:fontKey="{A41FB00A-3506-4EF8-9C90-884B8BDE3F54}"/>
    <w:embedItalic r:id="rId3" w:fontKey="{D85C1C2F-21C2-4681-9B4A-28A678F15B5B}"/>
    <w:embedBoldItalic r:id="rId4" w:fontKey="{EFEE8729-33A0-4F6E-A58C-33970CD7138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4297660D-6261-4009-BFE7-5CF9F4DF68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A0B2" w14:textId="77777777" w:rsidR="00B07883" w:rsidRDefault="00B078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C5DF" w14:textId="287FB029" w:rsidR="004B3A29" w:rsidRPr="007B448B" w:rsidRDefault="00F81813"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58241" behindDoc="0" locked="0" layoutInCell="1" allowOverlap="1" wp14:anchorId="1F11C834" wp14:editId="47875771">
              <wp:simplePos x="0" y="0"/>
              <wp:positionH relativeFrom="column">
                <wp:posOffset>-1157633</wp:posOffset>
              </wp:positionH>
              <wp:positionV relativeFrom="paragraph">
                <wp:posOffset>-419418</wp:posOffset>
              </wp:positionV>
              <wp:extent cx="1109980" cy="431165"/>
              <wp:effectExtent l="263207" t="0" r="258128" b="0"/>
              <wp:wrapNone/>
              <wp:docPr id="129889938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083A32E2" w14:textId="77777777" w:rsidR="00F81813" w:rsidRDefault="00F81813" w:rsidP="00F81813">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1C834" id="Rechteck 3" o:spid="_x0000_s1027" style="position:absolute;margin-left:-91.15pt;margin-top:-33.05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" filled="f" stroked="f">
              <v:textbox style="layout-flow:vertical;mso-layout-flow-alt:bottom-to-top">
                <w:txbxContent>
                  <w:p w14:paraId="083A32E2" w14:textId="77777777" w:rsidR="00F81813" w:rsidRDefault="00F81813" w:rsidP="00F81813">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8102" w14:textId="77777777" w:rsidR="00B07883" w:rsidRDefault="00B078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8B286" w14:textId="77777777" w:rsidR="00F12F5C" w:rsidRPr="00777A2F" w:rsidRDefault="00F12F5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9B514F5" w14:textId="77777777" w:rsidR="00F12F5C" w:rsidRDefault="00F12F5C">
      <w:r>
        <w:continuationSeparator/>
      </w:r>
    </w:p>
  </w:footnote>
  <w:footnote w:type="continuationNotice" w:id="1">
    <w:p w14:paraId="52C9F0C7" w14:textId="77777777" w:rsidR="00F12F5C" w:rsidRDefault="00F12F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59DD" w14:textId="77777777" w:rsidR="00B07883" w:rsidRDefault="00B078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A63F" w14:textId="26F5F0CD" w:rsidR="007B448B" w:rsidRPr="00D2335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F8F1CCC" wp14:editId="3050B2D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BF3E09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514EA">
      <w:rPr>
        <w:lang w:val="de-CH"/>
      </w:rPr>
      <w:t>OFFENE LERNSETTINGS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D21FA">
      <w:rPr>
        <w:b w:val="0"/>
        <w:bCs/>
        <w:lang w:val="de-CH"/>
      </w:rPr>
      <w:t>32</w:t>
    </w:r>
    <w:r w:rsidR="00237079" w:rsidRPr="00237079">
      <w:rPr>
        <w:b w:val="0"/>
        <w:bCs/>
        <w:lang w:val="de-CH"/>
      </w:rPr>
      <w:t xml:space="preserve">, </w:t>
    </w:r>
    <w:r w:rsidR="000D21FA">
      <w:rPr>
        <w:b w:val="0"/>
        <w:bCs/>
        <w:lang w:val="de-CH"/>
      </w:rPr>
      <w:t>02</w:t>
    </w:r>
    <w:r w:rsidR="00237079" w:rsidRPr="00237079">
      <w:rPr>
        <w:b w:val="0"/>
        <w:bCs/>
        <w:lang w:val="de-CH"/>
      </w:rPr>
      <w:t>/</w:t>
    </w:r>
    <w:r w:rsidR="000D21FA">
      <w:rPr>
        <w:b w:val="0"/>
        <w:bCs/>
        <w:lang w:val="de-CH"/>
      </w:rPr>
      <w:t>2026</w:t>
    </w:r>
  </w:p>
  <w:p w14:paraId="382E943C" w14:textId="0BD747F9" w:rsidR="00237079" w:rsidRPr="00983B74" w:rsidRDefault="00B71621" w:rsidP="00983B74">
    <w:pPr>
      <w:pStyle w:val="Themenschwerpunkt"/>
      <w:rPr>
        <w:b w:val="0"/>
        <w:lang w:val="de-CH"/>
      </w:rPr>
    </w:pPr>
    <w:r w:rsidRPr="00237079">
      <w:rPr>
        <w:b w:val="0"/>
        <w:lang w:val="de-CH"/>
      </w:rPr>
      <w:t>ARTI</w:t>
    </w:r>
    <w:r w:rsidR="00237079" w:rsidRPr="00237079">
      <w:rPr>
        <w:b w:val="0"/>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0F17" w14:textId="77777777" w:rsidR="00B07883" w:rsidRDefault="00B078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3181FC2"/>
    <w:multiLevelType w:val="hybridMultilevel"/>
    <w:tmpl w:val="FDFE86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1"/>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7391303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10"/>
    <w:rsid w:val="00000F95"/>
    <w:rsid w:val="0000491B"/>
    <w:rsid w:val="0001346B"/>
    <w:rsid w:val="00016BFF"/>
    <w:rsid w:val="00024143"/>
    <w:rsid w:val="00024817"/>
    <w:rsid w:val="00027A78"/>
    <w:rsid w:val="000302CB"/>
    <w:rsid w:val="0003250F"/>
    <w:rsid w:val="0003314D"/>
    <w:rsid w:val="000336CB"/>
    <w:rsid w:val="00034D5C"/>
    <w:rsid w:val="000352CE"/>
    <w:rsid w:val="00036AFC"/>
    <w:rsid w:val="00043FE9"/>
    <w:rsid w:val="00044ED1"/>
    <w:rsid w:val="00045044"/>
    <w:rsid w:val="000459D1"/>
    <w:rsid w:val="00052A0F"/>
    <w:rsid w:val="00053353"/>
    <w:rsid w:val="00054A32"/>
    <w:rsid w:val="00060D1E"/>
    <w:rsid w:val="00065CD4"/>
    <w:rsid w:val="000661B0"/>
    <w:rsid w:val="00066AFB"/>
    <w:rsid w:val="00073683"/>
    <w:rsid w:val="000759D7"/>
    <w:rsid w:val="000839F4"/>
    <w:rsid w:val="00086DBB"/>
    <w:rsid w:val="00094747"/>
    <w:rsid w:val="00096175"/>
    <w:rsid w:val="00097A00"/>
    <w:rsid w:val="000A029A"/>
    <w:rsid w:val="000B1982"/>
    <w:rsid w:val="000B351E"/>
    <w:rsid w:val="000B5BB8"/>
    <w:rsid w:val="000B5FCC"/>
    <w:rsid w:val="000C562F"/>
    <w:rsid w:val="000C583A"/>
    <w:rsid w:val="000C5CCA"/>
    <w:rsid w:val="000D0859"/>
    <w:rsid w:val="000D21FA"/>
    <w:rsid w:val="000D2CA1"/>
    <w:rsid w:val="000D3765"/>
    <w:rsid w:val="000D3C1B"/>
    <w:rsid w:val="000D5044"/>
    <w:rsid w:val="000E289A"/>
    <w:rsid w:val="000E40B9"/>
    <w:rsid w:val="000E6A66"/>
    <w:rsid w:val="000E732C"/>
    <w:rsid w:val="000F0956"/>
    <w:rsid w:val="000F0963"/>
    <w:rsid w:val="000F4B54"/>
    <w:rsid w:val="000F4E90"/>
    <w:rsid w:val="000F5288"/>
    <w:rsid w:val="0010110C"/>
    <w:rsid w:val="00101535"/>
    <w:rsid w:val="0010271D"/>
    <w:rsid w:val="00102D1C"/>
    <w:rsid w:val="0010334E"/>
    <w:rsid w:val="00106E51"/>
    <w:rsid w:val="00107A98"/>
    <w:rsid w:val="00110FC4"/>
    <w:rsid w:val="001114E2"/>
    <w:rsid w:val="00115007"/>
    <w:rsid w:val="001150A5"/>
    <w:rsid w:val="00115EF5"/>
    <w:rsid w:val="001161D6"/>
    <w:rsid w:val="00117142"/>
    <w:rsid w:val="00117340"/>
    <w:rsid w:val="00120BB9"/>
    <w:rsid w:val="00120CBF"/>
    <w:rsid w:val="00121429"/>
    <w:rsid w:val="00125520"/>
    <w:rsid w:val="00125B01"/>
    <w:rsid w:val="0012743D"/>
    <w:rsid w:val="0013195A"/>
    <w:rsid w:val="00134BCA"/>
    <w:rsid w:val="00134DF3"/>
    <w:rsid w:val="00136523"/>
    <w:rsid w:val="001377D5"/>
    <w:rsid w:val="00151800"/>
    <w:rsid w:val="00151BCA"/>
    <w:rsid w:val="00153133"/>
    <w:rsid w:val="00153C2C"/>
    <w:rsid w:val="00154677"/>
    <w:rsid w:val="00157D7E"/>
    <w:rsid w:val="00165A5F"/>
    <w:rsid w:val="001671E9"/>
    <w:rsid w:val="00167858"/>
    <w:rsid w:val="001706C3"/>
    <w:rsid w:val="001709F9"/>
    <w:rsid w:val="00170C57"/>
    <w:rsid w:val="00172B58"/>
    <w:rsid w:val="0017486D"/>
    <w:rsid w:val="00183AF0"/>
    <w:rsid w:val="00183D67"/>
    <w:rsid w:val="00186B48"/>
    <w:rsid w:val="00186E15"/>
    <w:rsid w:val="00187A14"/>
    <w:rsid w:val="001937F6"/>
    <w:rsid w:val="00193A95"/>
    <w:rsid w:val="00193D81"/>
    <w:rsid w:val="0019687F"/>
    <w:rsid w:val="00197552"/>
    <w:rsid w:val="00197DA7"/>
    <w:rsid w:val="001A15A1"/>
    <w:rsid w:val="001A2EEC"/>
    <w:rsid w:val="001A52E4"/>
    <w:rsid w:val="001B05BD"/>
    <w:rsid w:val="001B16E8"/>
    <w:rsid w:val="001B25F3"/>
    <w:rsid w:val="001B2847"/>
    <w:rsid w:val="001B7781"/>
    <w:rsid w:val="001B7AD9"/>
    <w:rsid w:val="001C15AD"/>
    <w:rsid w:val="001C3A65"/>
    <w:rsid w:val="001C470A"/>
    <w:rsid w:val="001C72C8"/>
    <w:rsid w:val="001D3BFB"/>
    <w:rsid w:val="001E176F"/>
    <w:rsid w:val="001E19D5"/>
    <w:rsid w:val="001E3BE9"/>
    <w:rsid w:val="001F2A01"/>
    <w:rsid w:val="00200C46"/>
    <w:rsid w:val="00202A19"/>
    <w:rsid w:val="0020358C"/>
    <w:rsid w:val="0020467E"/>
    <w:rsid w:val="002110BB"/>
    <w:rsid w:val="0021141B"/>
    <w:rsid w:val="00213D10"/>
    <w:rsid w:val="00224500"/>
    <w:rsid w:val="002250CE"/>
    <w:rsid w:val="00227028"/>
    <w:rsid w:val="00234FCF"/>
    <w:rsid w:val="00235A6C"/>
    <w:rsid w:val="00237079"/>
    <w:rsid w:val="00240585"/>
    <w:rsid w:val="00241208"/>
    <w:rsid w:val="00241303"/>
    <w:rsid w:val="00241E08"/>
    <w:rsid w:val="002443A6"/>
    <w:rsid w:val="00250712"/>
    <w:rsid w:val="00251D5B"/>
    <w:rsid w:val="00254D0B"/>
    <w:rsid w:val="00254D73"/>
    <w:rsid w:val="00257378"/>
    <w:rsid w:val="00260D8A"/>
    <w:rsid w:val="002637F0"/>
    <w:rsid w:val="00263935"/>
    <w:rsid w:val="0026425D"/>
    <w:rsid w:val="00264C14"/>
    <w:rsid w:val="00265826"/>
    <w:rsid w:val="00267761"/>
    <w:rsid w:val="00271468"/>
    <w:rsid w:val="002722A1"/>
    <w:rsid w:val="0027553F"/>
    <w:rsid w:val="00276544"/>
    <w:rsid w:val="00276B2C"/>
    <w:rsid w:val="00281623"/>
    <w:rsid w:val="00281CF2"/>
    <w:rsid w:val="00283123"/>
    <w:rsid w:val="00283561"/>
    <w:rsid w:val="002837C6"/>
    <w:rsid w:val="00284EA0"/>
    <w:rsid w:val="002862AA"/>
    <w:rsid w:val="002924EF"/>
    <w:rsid w:val="002A3337"/>
    <w:rsid w:val="002A37E1"/>
    <w:rsid w:val="002A5A4C"/>
    <w:rsid w:val="002B22B9"/>
    <w:rsid w:val="002B28D4"/>
    <w:rsid w:val="002B2B87"/>
    <w:rsid w:val="002B5DAF"/>
    <w:rsid w:val="002C1066"/>
    <w:rsid w:val="002C5235"/>
    <w:rsid w:val="002D39A1"/>
    <w:rsid w:val="002D3E27"/>
    <w:rsid w:val="002D66DE"/>
    <w:rsid w:val="002D753D"/>
    <w:rsid w:val="002E13B6"/>
    <w:rsid w:val="002E3785"/>
    <w:rsid w:val="002E5374"/>
    <w:rsid w:val="002E6C11"/>
    <w:rsid w:val="002E6E50"/>
    <w:rsid w:val="002F36A3"/>
    <w:rsid w:val="002F4DD9"/>
    <w:rsid w:val="00300431"/>
    <w:rsid w:val="00300DA6"/>
    <w:rsid w:val="0030447C"/>
    <w:rsid w:val="003063FF"/>
    <w:rsid w:val="00307EC7"/>
    <w:rsid w:val="00312D55"/>
    <w:rsid w:val="00315847"/>
    <w:rsid w:val="003206CB"/>
    <w:rsid w:val="00322024"/>
    <w:rsid w:val="003222A6"/>
    <w:rsid w:val="00331A9A"/>
    <w:rsid w:val="00331E56"/>
    <w:rsid w:val="00335846"/>
    <w:rsid w:val="00344BE7"/>
    <w:rsid w:val="0035482F"/>
    <w:rsid w:val="00356837"/>
    <w:rsid w:val="00360D6A"/>
    <w:rsid w:val="003618DE"/>
    <w:rsid w:val="00362642"/>
    <w:rsid w:val="0036569A"/>
    <w:rsid w:val="00365730"/>
    <w:rsid w:val="00365E02"/>
    <w:rsid w:val="00370EB7"/>
    <w:rsid w:val="00372199"/>
    <w:rsid w:val="003776C0"/>
    <w:rsid w:val="003777BC"/>
    <w:rsid w:val="003819B7"/>
    <w:rsid w:val="00382314"/>
    <w:rsid w:val="00382E4D"/>
    <w:rsid w:val="00383074"/>
    <w:rsid w:val="00386CFF"/>
    <w:rsid w:val="003907CA"/>
    <w:rsid w:val="00393776"/>
    <w:rsid w:val="00394BBA"/>
    <w:rsid w:val="0039652E"/>
    <w:rsid w:val="00397422"/>
    <w:rsid w:val="003A0EA7"/>
    <w:rsid w:val="003A2717"/>
    <w:rsid w:val="003A28EE"/>
    <w:rsid w:val="003A34FA"/>
    <w:rsid w:val="003A7BC6"/>
    <w:rsid w:val="003B308A"/>
    <w:rsid w:val="003B31DC"/>
    <w:rsid w:val="003B461E"/>
    <w:rsid w:val="003B4C81"/>
    <w:rsid w:val="003B5F3D"/>
    <w:rsid w:val="003B78EC"/>
    <w:rsid w:val="003B7CF9"/>
    <w:rsid w:val="003C0145"/>
    <w:rsid w:val="003C0A7A"/>
    <w:rsid w:val="003C14D6"/>
    <w:rsid w:val="003C27FF"/>
    <w:rsid w:val="003C4E13"/>
    <w:rsid w:val="003C4FFA"/>
    <w:rsid w:val="003D0FE3"/>
    <w:rsid w:val="003D1A24"/>
    <w:rsid w:val="003D221C"/>
    <w:rsid w:val="003D390B"/>
    <w:rsid w:val="003D502F"/>
    <w:rsid w:val="003D570C"/>
    <w:rsid w:val="003D6AD3"/>
    <w:rsid w:val="003D6E1C"/>
    <w:rsid w:val="003E022D"/>
    <w:rsid w:val="003E0578"/>
    <w:rsid w:val="003E1F1B"/>
    <w:rsid w:val="003E57C1"/>
    <w:rsid w:val="003F0314"/>
    <w:rsid w:val="003F296A"/>
    <w:rsid w:val="003F55BB"/>
    <w:rsid w:val="003F55DF"/>
    <w:rsid w:val="003F6A6B"/>
    <w:rsid w:val="003F78C2"/>
    <w:rsid w:val="004015CE"/>
    <w:rsid w:val="004027D5"/>
    <w:rsid w:val="00402F98"/>
    <w:rsid w:val="00404F18"/>
    <w:rsid w:val="0040657D"/>
    <w:rsid w:val="004108D3"/>
    <w:rsid w:val="00413702"/>
    <w:rsid w:val="00414332"/>
    <w:rsid w:val="0041611C"/>
    <w:rsid w:val="00421D05"/>
    <w:rsid w:val="004250BC"/>
    <w:rsid w:val="00425390"/>
    <w:rsid w:val="00426606"/>
    <w:rsid w:val="004266FC"/>
    <w:rsid w:val="00427637"/>
    <w:rsid w:val="00432F97"/>
    <w:rsid w:val="004360C8"/>
    <w:rsid w:val="0043633F"/>
    <w:rsid w:val="00441F45"/>
    <w:rsid w:val="004421C7"/>
    <w:rsid w:val="00447125"/>
    <w:rsid w:val="0045144F"/>
    <w:rsid w:val="0045386C"/>
    <w:rsid w:val="00454BCF"/>
    <w:rsid w:val="00454DCF"/>
    <w:rsid w:val="00456D55"/>
    <w:rsid w:val="0045788B"/>
    <w:rsid w:val="004609F9"/>
    <w:rsid w:val="00463440"/>
    <w:rsid w:val="00466C36"/>
    <w:rsid w:val="00467E46"/>
    <w:rsid w:val="0047168D"/>
    <w:rsid w:val="004725C7"/>
    <w:rsid w:val="00472B2D"/>
    <w:rsid w:val="00476E9E"/>
    <w:rsid w:val="004815EE"/>
    <w:rsid w:val="00483858"/>
    <w:rsid w:val="004858C1"/>
    <w:rsid w:val="00486270"/>
    <w:rsid w:val="0048642D"/>
    <w:rsid w:val="004927CF"/>
    <w:rsid w:val="0049799E"/>
    <w:rsid w:val="00497B93"/>
    <w:rsid w:val="004A19E2"/>
    <w:rsid w:val="004A2854"/>
    <w:rsid w:val="004A2DD9"/>
    <w:rsid w:val="004A3A0E"/>
    <w:rsid w:val="004A50AF"/>
    <w:rsid w:val="004A5744"/>
    <w:rsid w:val="004A7744"/>
    <w:rsid w:val="004B1834"/>
    <w:rsid w:val="004B29F8"/>
    <w:rsid w:val="004B3001"/>
    <w:rsid w:val="004B3A29"/>
    <w:rsid w:val="004B40FA"/>
    <w:rsid w:val="004B437C"/>
    <w:rsid w:val="004B47AB"/>
    <w:rsid w:val="004B5695"/>
    <w:rsid w:val="004C13EB"/>
    <w:rsid w:val="004C2E17"/>
    <w:rsid w:val="004C3429"/>
    <w:rsid w:val="004C4A76"/>
    <w:rsid w:val="004C4AD8"/>
    <w:rsid w:val="004C7936"/>
    <w:rsid w:val="004D0C02"/>
    <w:rsid w:val="004D19E8"/>
    <w:rsid w:val="004D542D"/>
    <w:rsid w:val="004D58AC"/>
    <w:rsid w:val="004D5AAC"/>
    <w:rsid w:val="004E02D5"/>
    <w:rsid w:val="004E232F"/>
    <w:rsid w:val="004E40C7"/>
    <w:rsid w:val="004E44AE"/>
    <w:rsid w:val="004E4EDD"/>
    <w:rsid w:val="004E5C98"/>
    <w:rsid w:val="004E6A58"/>
    <w:rsid w:val="004E792C"/>
    <w:rsid w:val="004E7A14"/>
    <w:rsid w:val="004F5C23"/>
    <w:rsid w:val="00503D63"/>
    <w:rsid w:val="005055D5"/>
    <w:rsid w:val="00506583"/>
    <w:rsid w:val="00514722"/>
    <w:rsid w:val="00517B9C"/>
    <w:rsid w:val="0052061E"/>
    <w:rsid w:val="00521559"/>
    <w:rsid w:val="00530E98"/>
    <w:rsid w:val="00531F94"/>
    <w:rsid w:val="00532FA9"/>
    <w:rsid w:val="00533DA1"/>
    <w:rsid w:val="00540646"/>
    <w:rsid w:val="00540ECF"/>
    <w:rsid w:val="00541919"/>
    <w:rsid w:val="00543BEE"/>
    <w:rsid w:val="00545F8B"/>
    <w:rsid w:val="00546490"/>
    <w:rsid w:val="00553101"/>
    <w:rsid w:val="0055432C"/>
    <w:rsid w:val="00556E98"/>
    <w:rsid w:val="00557B93"/>
    <w:rsid w:val="00557D9B"/>
    <w:rsid w:val="00561DF2"/>
    <w:rsid w:val="0056205C"/>
    <w:rsid w:val="00564E27"/>
    <w:rsid w:val="0056578A"/>
    <w:rsid w:val="0056595B"/>
    <w:rsid w:val="005669B6"/>
    <w:rsid w:val="00567F65"/>
    <w:rsid w:val="00571774"/>
    <w:rsid w:val="00571C0D"/>
    <w:rsid w:val="00572C4C"/>
    <w:rsid w:val="00575AB3"/>
    <w:rsid w:val="00575F7F"/>
    <w:rsid w:val="0057605E"/>
    <w:rsid w:val="00576878"/>
    <w:rsid w:val="00576E09"/>
    <w:rsid w:val="00577261"/>
    <w:rsid w:val="005779B1"/>
    <w:rsid w:val="00581DB2"/>
    <w:rsid w:val="00584C45"/>
    <w:rsid w:val="00585ED0"/>
    <w:rsid w:val="00587EF6"/>
    <w:rsid w:val="00592B57"/>
    <w:rsid w:val="00593BAA"/>
    <w:rsid w:val="00594747"/>
    <w:rsid w:val="00594844"/>
    <w:rsid w:val="005A46B0"/>
    <w:rsid w:val="005A646E"/>
    <w:rsid w:val="005A6F41"/>
    <w:rsid w:val="005A7AE7"/>
    <w:rsid w:val="005C1D31"/>
    <w:rsid w:val="005C30F2"/>
    <w:rsid w:val="005C5B16"/>
    <w:rsid w:val="005C6DD2"/>
    <w:rsid w:val="005C7C9F"/>
    <w:rsid w:val="005D0322"/>
    <w:rsid w:val="005D15B8"/>
    <w:rsid w:val="005D2C6A"/>
    <w:rsid w:val="005D2EF2"/>
    <w:rsid w:val="005E150A"/>
    <w:rsid w:val="005E28CB"/>
    <w:rsid w:val="005E38D0"/>
    <w:rsid w:val="005E7BEB"/>
    <w:rsid w:val="005E7DD5"/>
    <w:rsid w:val="005F06AB"/>
    <w:rsid w:val="005F2C43"/>
    <w:rsid w:val="006019E0"/>
    <w:rsid w:val="0060470D"/>
    <w:rsid w:val="006111D5"/>
    <w:rsid w:val="006111F5"/>
    <w:rsid w:val="00612266"/>
    <w:rsid w:val="00614E08"/>
    <w:rsid w:val="00615911"/>
    <w:rsid w:val="00616449"/>
    <w:rsid w:val="00617063"/>
    <w:rsid w:val="006222B2"/>
    <w:rsid w:val="00623E11"/>
    <w:rsid w:val="00624059"/>
    <w:rsid w:val="00630CBB"/>
    <w:rsid w:val="00635B8A"/>
    <w:rsid w:val="00637E84"/>
    <w:rsid w:val="00641119"/>
    <w:rsid w:val="006411DE"/>
    <w:rsid w:val="0064299D"/>
    <w:rsid w:val="00642DF1"/>
    <w:rsid w:val="006448C5"/>
    <w:rsid w:val="00651187"/>
    <w:rsid w:val="00653530"/>
    <w:rsid w:val="006555BD"/>
    <w:rsid w:val="00662926"/>
    <w:rsid w:val="006676E2"/>
    <w:rsid w:val="006700B7"/>
    <w:rsid w:val="006717E0"/>
    <w:rsid w:val="00672621"/>
    <w:rsid w:val="0067283B"/>
    <w:rsid w:val="00674084"/>
    <w:rsid w:val="00674E7E"/>
    <w:rsid w:val="00675AE1"/>
    <w:rsid w:val="00677FB9"/>
    <w:rsid w:val="00682B8C"/>
    <w:rsid w:val="00683ED1"/>
    <w:rsid w:val="00685EB4"/>
    <w:rsid w:val="006918B8"/>
    <w:rsid w:val="00691AD1"/>
    <w:rsid w:val="006927C1"/>
    <w:rsid w:val="00694C2C"/>
    <w:rsid w:val="00694C93"/>
    <w:rsid w:val="00694F20"/>
    <w:rsid w:val="00696681"/>
    <w:rsid w:val="00697368"/>
    <w:rsid w:val="006A4C05"/>
    <w:rsid w:val="006A7CE6"/>
    <w:rsid w:val="006B0B0F"/>
    <w:rsid w:val="006B5540"/>
    <w:rsid w:val="006C08F9"/>
    <w:rsid w:val="006C11C1"/>
    <w:rsid w:val="006C2727"/>
    <w:rsid w:val="006C2B84"/>
    <w:rsid w:val="006C3DFC"/>
    <w:rsid w:val="006D2BCF"/>
    <w:rsid w:val="006D5D28"/>
    <w:rsid w:val="006D6746"/>
    <w:rsid w:val="006E210A"/>
    <w:rsid w:val="006E260B"/>
    <w:rsid w:val="006E32C0"/>
    <w:rsid w:val="006F0E55"/>
    <w:rsid w:val="006F112E"/>
    <w:rsid w:val="006F18C8"/>
    <w:rsid w:val="006F35E6"/>
    <w:rsid w:val="00702BE5"/>
    <w:rsid w:val="00703C09"/>
    <w:rsid w:val="00706498"/>
    <w:rsid w:val="007066F8"/>
    <w:rsid w:val="00710490"/>
    <w:rsid w:val="00712460"/>
    <w:rsid w:val="007155B8"/>
    <w:rsid w:val="007204BD"/>
    <w:rsid w:val="007245AE"/>
    <w:rsid w:val="00724A68"/>
    <w:rsid w:val="00725954"/>
    <w:rsid w:val="00726B61"/>
    <w:rsid w:val="00732DF3"/>
    <w:rsid w:val="00733548"/>
    <w:rsid w:val="0073550F"/>
    <w:rsid w:val="007373E7"/>
    <w:rsid w:val="00741928"/>
    <w:rsid w:val="007424F5"/>
    <w:rsid w:val="00743F81"/>
    <w:rsid w:val="0074442C"/>
    <w:rsid w:val="00747BC9"/>
    <w:rsid w:val="007545FE"/>
    <w:rsid w:val="00755970"/>
    <w:rsid w:val="00764FC4"/>
    <w:rsid w:val="00767115"/>
    <w:rsid w:val="007734C0"/>
    <w:rsid w:val="007736BD"/>
    <w:rsid w:val="007739F8"/>
    <w:rsid w:val="007750BF"/>
    <w:rsid w:val="00775449"/>
    <w:rsid w:val="00776FCD"/>
    <w:rsid w:val="00777A2F"/>
    <w:rsid w:val="007824DD"/>
    <w:rsid w:val="007855E3"/>
    <w:rsid w:val="00786AC9"/>
    <w:rsid w:val="00787B6E"/>
    <w:rsid w:val="00790847"/>
    <w:rsid w:val="00791BAD"/>
    <w:rsid w:val="007A3489"/>
    <w:rsid w:val="007A4A42"/>
    <w:rsid w:val="007A527C"/>
    <w:rsid w:val="007A6325"/>
    <w:rsid w:val="007A75E1"/>
    <w:rsid w:val="007B3982"/>
    <w:rsid w:val="007B4390"/>
    <w:rsid w:val="007B448B"/>
    <w:rsid w:val="007B4F54"/>
    <w:rsid w:val="007B5701"/>
    <w:rsid w:val="007B621F"/>
    <w:rsid w:val="007B62B5"/>
    <w:rsid w:val="007B6557"/>
    <w:rsid w:val="007C1BF0"/>
    <w:rsid w:val="007C57FD"/>
    <w:rsid w:val="007C5AB3"/>
    <w:rsid w:val="007C633C"/>
    <w:rsid w:val="007D676B"/>
    <w:rsid w:val="007E3CCB"/>
    <w:rsid w:val="007E6103"/>
    <w:rsid w:val="007E78D0"/>
    <w:rsid w:val="007E7D75"/>
    <w:rsid w:val="007F3E32"/>
    <w:rsid w:val="007F43B0"/>
    <w:rsid w:val="007F5E1D"/>
    <w:rsid w:val="008017B1"/>
    <w:rsid w:val="008033A0"/>
    <w:rsid w:val="0080610A"/>
    <w:rsid w:val="00810F4B"/>
    <w:rsid w:val="008152A5"/>
    <w:rsid w:val="008152E5"/>
    <w:rsid w:val="00822477"/>
    <w:rsid w:val="008231B4"/>
    <w:rsid w:val="00823471"/>
    <w:rsid w:val="00830A17"/>
    <w:rsid w:val="0083182D"/>
    <w:rsid w:val="00834489"/>
    <w:rsid w:val="008351F7"/>
    <w:rsid w:val="008377A8"/>
    <w:rsid w:val="00844241"/>
    <w:rsid w:val="00845282"/>
    <w:rsid w:val="0084534D"/>
    <w:rsid w:val="00845C94"/>
    <w:rsid w:val="008471BC"/>
    <w:rsid w:val="008475BA"/>
    <w:rsid w:val="00847748"/>
    <w:rsid w:val="00850407"/>
    <w:rsid w:val="00850723"/>
    <w:rsid w:val="00851337"/>
    <w:rsid w:val="00853805"/>
    <w:rsid w:val="00855097"/>
    <w:rsid w:val="008555EE"/>
    <w:rsid w:val="00861274"/>
    <w:rsid w:val="0086305F"/>
    <w:rsid w:val="00867323"/>
    <w:rsid w:val="00870508"/>
    <w:rsid w:val="0087061D"/>
    <w:rsid w:val="00874492"/>
    <w:rsid w:val="008805BA"/>
    <w:rsid w:val="00882B9B"/>
    <w:rsid w:val="008845D2"/>
    <w:rsid w:val="008854C8"/>
    <w:rsid w:val="00891E7D"/>
    <w:rsid w:val="008924D4"/>
    <w:rsid w:val="00892C0A"/>
    <w:rsid w:val="00895EFD"/>
    <w:rsid w:val="008972EC"/>
    <w:rsid w:val="00897E27"/>
    <w:rsid w:val="008A2229"/>
    <w:rsid w:val="008A446D"/>
    <w:rsid w:val="008B1F87"/>
    <w:rsid w:val="008B5E61"/>
    <w:rsid w:val="008B6929"/>
    <w:rsid w:val="008B6B95"/>
    <w:rsid w:val="008C2678"/>
    <w:rsid w:val="008C4172"/>
    <w:rsid w:val="008C417C"/>
    <w:rsid w:val="008C5740"/>
    <w:rsid w:val="008C5D49"/>
    <w:rsid w:val="008C6881"/>
    <w:rsid w:val="008C6CC9"/>
    <w:rsid w:val="008C6EDB"/>
    <w:rsid w:val="008D07E2"/>
    <w:rsid w:val="008D1807"/>
    <w:rsid w:val="008D3F10"/>
    <w:rsid w:val="008D5E1B"/>
    <w:rsid w:val="008D5E35"/>
    <w:rsid w:val="008F0B83"/>
    <w:rsid w:val="008F2C0D"/>
    <w:rsid w:val="008F2E4E"/>
    <w:rsid w:val="0090353C"/>
    <w:rsid w:val="00903E6D"/>
    <w:rsid w:val="009052F6"/>
    <w:rsid w:val="00910512"/>
    <w:rsid w:val="009112B4"/>
    <w:rsid w:val="00912E02"/>
    <w:rsid w:val="00920846"/>
    <w:rsid w:val="00920A21"/>
    <w:rsid w:val="00920BA3"/>
    <w:rsid w:val="00924124"/>
    <w:rsid w:val="009247DE"/>
    <w:rsid w:val="00925658"/>
    <w:rsid w:val="009279E9"/>
    <w:rsid w:val="00932184"/>
    <w:rsid w:val="00933BBF"/>
    <w:rsid w:val="00943B46"/>
    <w:rsid w:val="00945365"/>
    <w:rsid w:val="0094605B"/>
    <w:rsid w:val="0094640A"/>
    <w:rsid w:val="009469D9"/>
    <w:rsid w:val="00947FB9"/>
    <w:rsid w:val="009552F9"/>
    <w:rsid w:val="0095545D"/>
    <w:rsid w:val="00960F08"/>
    <w:rsid w:val="00962F01"/>
    <w:rsid w:val="009660DC"/>
    <w:rsid w:val="00967D5F"/>
    <w:rsid w:val="0097108E"/>
    <w:rsid w:val="00971A4D"/>
    <w:rsid w:val="009721A4"/>
    <w:rsid w:val="00972A43"/>
    <w:rsid w:val="00972EB3"/>
    <w:rsid w:val="00973B9D"/>
    <w:rsid w:val="009748E2"/>
    <w:rsid w:val="00976DFA"/>
    <w:rsid w:val="009819AD"/>
    <w:rsid w:val="00983B74"/>
    <w:rsid w:val="00985126"/>
    <w:rsid w:val="00990831"/>
    <w:rsid w:val="00997C30"/>
    <w:rsid w:val="009A0718"/>
    <w:rsid w:val="009A12EB"/>
    <w:rsid w:val="009A57A5"/>
    <w:rsid w:val="009A5D34"/>
    <w:rsid w:val="009A5EC3"/>
    <w:rsid w:val="009A73FC"/>
    <w:rsid w:val="009A7FF6"/>
    <w:rsid w:val="009B2A47"/>
    <w:rsid w:val="009B519C"/>
    <w:rsid w:val="009B5334"/>
    <w:rsid w:val="009B5572"/>
    <w:rsid w:val="009B6087"/>
    <w:rsid w:val="009C0BA4"/>
    <w:rsid w:val="009C3012"/>
    <w:rsid w:val="009C6886"/>
    <w:rsid w:val="009D1A1B"/>
    <w:rsid w:val="009D1BEC"/>
    <w:rsid w:val="009D325D"/>
    <w:rsid w:val="009D3AC6"/>
    <w:rsid w:val="009D4CCF"/>
    <w:rsid w:val="009E14C4"/>
    <w:rsid w:val="009E5005"/>
    <w:rsid w:val="009E5AB3"/>
    <w:rsid w:val="009E5FAC"/>
    <w:rsid w:val="009F00BD"/>
    <w:rsid w:val="009F2000"/>
    <w:rsid w:val="009F36BD"/>
    <w:rsid w:val="009F4CD6"/>
    <w:rsid w:val="009F5A21"/>
    <w:rsid w:val="009F6A07"/>
    <w:rsid w:val="009F7253"/>
    <w:rsid w:val="009F7FDB"/>
    <w:rsid w:val="00A00822"/>
    <w:rsid w:val="00A027F5"/>
    <w:rsid w:val="00A02DE7"/>
    <w:rsid w:val="00A02FAB"/>
    <w:rsid w:val="00A10362"/>
    <w:rsid w:val="00A11404"/>
    <w:rsid w:val="00A17546"/>
    <w:rsid w:val="00A21CEE"/>
    <w:rsid w:val="00A2387A"/>
    <w:rsid w:val="00A2426C"/>
    <w:rsid w:val="00A25A75"/>
    <w:rsid w:val="00A31D63"/>
    <w:rsid w:val="00A37E53"/>
    <w:rsid w:val="00A4234B"/>
    <w:rsid w:val="00A47ED6"/>
    <w:rsid w:val="00A50A1E"/>
    <w:rsid w:val="00A5236A"/>
    <w:rsid w:val="00A52F53"/>
    <w:rsid w:val="00A5326A"/>
    <w:rsid w:val="00A543D6"/>
    <w:rsid w:val="00A5488E"/>
    <w:rsid w:val="00A54F4E"/>
    <w:rsid w:val="00A55E72"/>
    <w:rsid w:val="00A61330"/>
    <w:rsid w:val="00A6393B"/>
    <w:rsid w:val="00A67ECD"/>
    <w:rsid w:val="00A738BD"/>
    <w:rsid w:val="00A73F93"/>
    <w:rsid w:val="00A8430C"/>
    <w:rsid w:val="00A8465C"/>
    <w:rsid w:val="00A84A1C"/>
    <w:rsid w:val="00A918B6"/>
    <w:rsid w:val="00A91BBB"/>
    <w:rsid w:val="00A9332B"/>
    <w:rsid w:val="00A938BB"/>
    <w:rsid w:val="00A95471"/>
    <w:rsid w:val="00A96F93"/>
    <w:rsid w:val="00AA1D82"/>
    <w:rsid w:val="00AA2CBB"/>
    <w:rsid w:val="00AA2F41"/>
    <w:rsid w:val="00AA5189"/>
    <w:rsid w:val="00AA55E0"/>
    <w:rsid w:val="00AA5D81"/>
    <w:rsid w:val="00AA6912"/>
    <w:rsid w:val="00AA7D4C"/>
    <w:rsid w:val="00AB102D"/>
    <w:rsid w:val="00AB343D"/>
    <w:rsid w:val="00AB3465"/>
    <w:rsid w:val="00AB3BC1"/>
    <w:rsid w:val="00AB4BB5"/>
    <w:rsid w:val="00AB5C4E"/>
    <w:rsid w:val="00AB5C94"/>
    <w:rsid w:val="00AB7501"/>
    <w:rsid w:val="00AC0BDC"/>
    <w:rsid w:val="00AC20F1"/>
    <w:rsid w:val="00AC4C6D"/>
    <w:rsid w:val="00AC6EE4"/>
    <w:rsid w:val="00AD70EF"/>
    <w:rsid w:val="00AD74B6"/>
    <w:rsid w:val="00AD7943"/>
    <w:rsid w:val="00AD7C7B"/>
    <w:rsid w:val="00AE0D1E"/>
    <w:rsid w:val="00AE2A6D"/>
    <w:rsid w:val="00AE583E"/>
    <w:rsid w:val="00AE5B14"/>
    <w:rsid w:val="00AE5D15"/>
    <w:rsid w:val="00AE631D"/>
    <w:rsid w:val="00AE7D4C"/>
    <w:rsid w:val="00AF118D"/>
    <w:rsid w:val="00AF16EB"/>
    <w:rsid w:val="00AF41DA"/>
    <w:rsid w:val="00AF7A98"/>
    <w:rsid w:val="00AF7AC2"/>
    <w:rsid w:val="00B07037"/>
    <w:rsid w:val="00B07883"/>
    <w:rsid w:val="00B1176F"/>
    <w:rsid w:val="00B1536F"/>
    <w:rsid w:val="00B17749"/>
    <w:rsid w:val="00B20F75"/>
    <w:rsid w:val="00B21278"/>
    <w:rsid w:val="00B23FEC"/>
    <w:rsid w:val="00B24C90"/>
    <w:rsid w:val="00B3753E"/>
    <w:rsid w:val="00B37ADA"/>
    <w:rsid w:val="00B444B9"/>
    <w:rsid w:val="00B44D06"/>
    <w:rsid w:val="00B462BB"/>
    <w:rsid w:val="00B50E21"/>
    <w:rsid w:val="00B54E5C"/>
    <w:rsid w:val="00B63B98"/>
    <w:rsid w:val="00B64749"/>
    <w:rsid w:val="00B64EBE"/>
    <w:rsid w:val="00B71621"/>
    <w:rsid w:val="00B7489C"/>
    <w:rsid w:val="00B7596B"/>
    <w:rsid w:val="00B77B4F"/>
    <w:rsid w:val="00B80D01"/>
    <w:rsid w:val="00B8355E"/>
    <w:rsid w:val="00B9542D"/>
    <w:rsid w:val="00B95EE7"/>
    <w:rsid w:val="00BA06D1"/>
    <w:rsid w:val="00BA1AA3"/>
    <w:rsid w:val="00BA3174"/>
    <w:rsid w:val="00BA50D5"/>
    <w:rsid w:val="00BA59FB"/>
    <w:rsid w:val="00BB0370"/>
    <w:rsid w:val="00BB3270"/>
    <w:rsid w:val="00BB341C"/>
    <w:rsid w:val="00BB5818"/>
    <w:rsid w:val="00BB7EDB"/>
    <w:rsid w:val="00BC12CC"/>
    <w:rsid w:val="00BC2F5E"/>
    <w:rsid w:val="00BC32F4"/>
    <w:rsid w:val="00BC4150"/>
    <w:rsid w:val="00BC5DD3"/>
    <w:rsid w:val="00BC7EBE"/>
    <w:rsid w:val="00BD4FAD"/>
    <w:rsid w:val="00BD74F7"/>
    <w:rsid w:val="00BE58BD"/>
    <w:rsid w:val="00BF1EBB"/>
    <w:rsid w:val="00BF1F72"/>
    <w:rsid w:val="00BF6777"/>
    <w:rsid w:val="00BF6A76"/>
    <w:rsid w:val="00C015F6"/>
    <w:rsid w:val="00C11221"/>
    <w:rsid w:val="00C1376E"/>
    <w:rsid w:val="00C13F33"/>
    <w:rsid w:val="00C201F8"/>
    <w:rsid w:val="00C225A4"/>
    <w:rsid w:val="00C22EDF"/>
    <w:rsid w:val="00C236F1"/>
    <w:rsid w:val="00C24833"/>
    <w:rsid w:val="00C2644F"/>
    <w:rsid w:val="00C329F7"/>
    <w:rsid w:val="00C34BA4"/>
    <w:rsid w:val="00C350DC"/>
    <w:rsid w:val="00C376E2"/>
    <w:rsid w:val="00C41180"/>
    <w:rsid w:val="00C422E0"/>
    <w:rsid w:val="00C43705"/>
    <w:rsid w:val="00C50710"/>
    <w:rsid w:val="00C514EA"/>
    <w:rsid w:val="00C52F38"/>
    <w:rsid w:val="00C5505C"/>
    <w:rsid w:val="00C565AE"/>
    <w:rsid w:val="00C60293"/>
    <w:rsid w:val="00C607C2"/>
    <w:rsid w:val="00C60CF9"/>
    <w:rsid w:val="00C62FEF"/>
    <w:rsid w:val="00C63ADB"/>
    <w:rsid w:val="00C64973"/>
    <w:rsid w:val="00C678D9"/>
    <w:rsid w:val="00C67A10"/>
    <w:rsid w:val="00C7180C"/>
    <w:rsid w:val="00C7447F"/>
    <w:rsid w:val="00C76A86"/>
    <w:rsid w:val="00C77A77"/>
    <w:rsid w:val="00C85052"/>
    <w:rsid w:val="00C87958"/>
    <w:rsid w:val="00C90953"/>
    <w:rsid w:val="00C9115F"/>
    <w:rsid w:val="00C9612B"/>
    <w:rsid w:val="00CA2EF9"/>
    <w:rsid w:val="00CA4F3F"/>
    <w:rsid w:val="00CB0244"/>
    <w:rsid w:val="00CB2637"/>
    <w:rsid w:val="00CB542E"/>
    <w:rsid w:val="00CB5EA6"/>
    <w:rsid w:val="00CC1689"/>
    <w:rsid w:val="00CC5DBE"/>
    <w:rsid w:val="00CD0636"/>
    <w:rsid w:val="00CE4695"/>
    <w:rsid w:val="00CE4A47"/>
    <w:rsid w:val="00CE5C90"/>
    <w:rsid w:val="00CE5F27"/>
    <w:rsid w:val="00CE750A"/>
    <w:rsid w:val="00CF0287"/>
    <w:rsid w:val="00CF47BD"/>
    <w:rsid w:val="00CF4C21"/>
    <w:rsid w:val="00CF788D"/>
    <w:rsid w:val="00D02DE1"/>
    <w:rsid w:val="00D04C68"/>
    <w:rsid w:val="00D060B0"/>
    <w:rsid w:val="00D07140"/>
    <w:rsid w:val="00D109BC"/>
    <w:rsid w:val="00D14A8F"/>
    <w:rsid w:val="00D14C7C"/>
    <w:rsid w:val="00D17C52"/>
    <w:rsid w:val="00D17F8E"/>
    <w:rsid w:val="00D232F1"/>
    <w:rsid w:val="00D23357"/>
    <w:rsid w:val="00D2480A"/>
    <w:rsid w:val="00D27C21"/>
    <w:rsid w:val="00D27CBB"/>
    <w:rsid w:val="00D30491"/>
    <w:rsid w:val="00D31FC4"/>
    <w:rsid w:val="00D32040"/>
    <w:rsid w:val="00D32D0B"/>
    <w:rsid w:val="00D44E1D"/>
    <w:rsid w:val="00D45554"/>
    <w:rsid w:val="00D4598B"/>
    <w:rsid w:val="00D46C56"/>
    <w:rsid w:val="00D46CBE"/>
    <w:rsid w:val="00D5123B"/>
    <w:rsid w:val="00D54978"/>
    <w:rsid w:val="00D55316"/>
    <w:rsid w:val="00D56352"/>
    <w:rsid w:val="00D576F9"/>
    <w:rsid w:val="00D57D5F"/>
    <w:rsid w:val="00D6046D"/>
    <w:rsid w:val="00D614DC"/>
    <w:rsid w:val="00D641CF"/>
    <w:rsid w:val="00D65100"/>
    <w:rsid w:val="00D70336"/>
    <w:rsid w:val="00D7430E"/>
    <w:rsid w:val="00D7437A"/>
    <w:rsid w:val="00D75B90"/>
    <w:rsid w:val="00D8219F"/>
    <w:rsid w:val="00D907D3"/>
    <w:rsid w:val="00D92CED"/>
    <w:rsid w:val="00D9439C"/>
    <w:rsid w:val="00D944D6"/>
    <w:rsid w:val="00D9463F"/>
    <w:rsid w:val="00D969AF"/>
    <w:rsid w:val="00D97394"/>
    <w:rsid w:val="00DA3069"/>
    <w:rsid w:val="00DA3CEB"/>
    <w:rsid w:val="00DA4690"/>
    <w:rsid w:val="00DB085C"/>
    <w:rsid w:val="00DB1F8B"/>
    <w:rsid w:val="00DB2FFD"/>
    <w:rsid w:val="00DB5151"/>
    <w:rsid w:val="00DB5625"/>
    <w:rsid w:val="00DC0AB5"/>
    <w:rsid w:val="00DC0E21"/>
    <w:rsid w:val="00DC32EC"/>
    <w:rsid w:val="00DC399A"/>
    <w:rsid w:val="00DC4488"/>
    <w:rsid w:val="00DD24FE"/>
    <w:rsid w:val="00DD633E"/>
    <w:rsid w:val="00DE04D5"/>
    <w:rsid w:val="00DE346B"/>
    <w:rsid w:val="00DE6B7F"/>
    <w:rsid w:val="00DF11B1"/>
    <w:rsid w:val="00DF3D00"/>
    <w:rsid w:val="00DF4C34"/>
    <w:rsid w:val="00DF5157"/>
    <w:rsid w:val="00E0042C"/>
    <w:rsid w:val="00E03695"/>
    <w:rsid w:val="00E1028F"/>
    <w:rsid w:val="00E12130"/>
    <w:rsid w:val="00E203E1"/>
    <w:rsid w:val="00E23124"/>
    <w:rsid w:val="00E26F3D"/>
    <w:rsid w:val="00E31225"/>
    <w:rsid w:val="00E41CCD"/>
    <w:rsid w:val="00E42E44"/>
    <w:rsid w:val="00E4585D"/>
    <w:rsid w:val="00E50C79"/>
    <w:rsid w:val="00E5162C"/>
    <w:rsid w:val="00E543F6"/>
    <w:rsid w:val="00E54DD0"/>
    <w:rsid w:val="00E55021"/>
    <w:rsid w:val="00E57186"/>
    <w:rsid w:val="00E6236B"/>
    <w:rsid w:val="00E76F81"/>
    <w:rsid w:val="00E7780E"/>
    <w:rsid w:val="00E833E5"/>
    <w:rsid w:val="00E8625B"/>
    <w:rsid w:val="00E871AC"/>
    <w:rsid w:val="00E87759"/>
    <w:rsid w:val="00E9142E"/>
    <w:rsid w:val="00E9357F"/>
    <w:rsid w:val="00E95212"/>
    <w:rsid w:val="00E96E69"/>
    <w:rsid w:val="00E97638"/>
    <w:rsid w:val="00E97829"/>
    <w:rsid w:val="00EA2119"/>
    <w:rsid w:val="00EA4676"/>
    <w:rsid w:val="00EA484D"/>
    <w:rsid w:val="00EA6065"/>
    <w:rsid w:val="00EA74F9"/>
    <w:rsid w:val="00EA7F9C"/>
    <w:rsid w:val="00EB1CFA"/>
    <w:rsid w:val="00EB2427"/>
    <w:rsid w:val="00EB32EF"/>
    <w:rsid w:val="00EB4B2F"/>
    <w:rsid w:val="00EB7DED"/>
    <w:rsid w:val="00EC0040"/>
    <w:rsid w:val="00EC0A4F"/>
    <w:rsid w:val="00EC344A"/>
    <w:rsid w:val="00EC3F38"/>
    <w:rsid w:val="00EC61B0"/>
    <w:rsid w:val="00ED09E2"/>
    <w:rsid w:val="00ED2B0B"/>
    <w:rsid w:val="00ED473A"/>
    <w:rsid w:val="00ED5921"/>
    <w:rsid w:val="00ED6F11"/>
    <w:rsid w:val="00ED729A"/>
    <w:rsid w:val="00EE44ED"/>
    <w:rsid w:val="00EE76E0"/>
    <w:rsid w:val="00EF0F4C"/>
    <w:rsid w:val="00EF4C1D"/>
    <w:rsid w:val="00EF7CFB"/>
    <w:rsid w:val="00F00108"/>
    <w:rsid w:val="00F03C95"/>
    <w:rsid w:val="00F04C5A"/>
    <w:rsid w:val="00F1142B"/>
    <w:rsid w:val="00F11E4F"/>
    <w:rsid w:val="00F1208D"/>
    <w:rsid w:val="00F12F5C"/>
    <w:rsid w:val="00F152A9"/>
    <w:rsid w:val="00F240AD"/>
    <w:rsid w:val="00F27057"/>
    <w:rsid w:val="00F33660"/>
    <w:rsid w:val="00F35904"/>
    <w:rsid w:val="00F40075"/>
    <w:rsid w:val="00F47AD4"/>
    <w:rsid w:val="00F538B0"/>
    <w:rsid w:val="00F53B4D"/>
    <w:rsid w:val="00F63D23"/>
    <w:rsid w:val="00F64330"/>
    <w:rsid w:val="00F651E1"/>
    <w:rsid w:val="00F65E05"/>
    <w:rsid w:val="00F66F04"/>
    <w:rsid w:val="00F71A3B"/>
    <w:rsid w:val="00F74E4B"/>
    <w:rsid w:val="00F754C6"/>
    <w:rsid w:val="00F767F6"/>
    <w:rsid w:val="00F76CB2"/>
    <w:rsid w:val="00F77823"/>
    <w:rsid w:val="00F80D95"/>
    <w:rsid w:val="00F817A6"/>
    <w:rsid w:val="00F81813"/>
    <w:rsid w:val="00F8253A"/>
    <w:rsid w:val="00F83629"/>
    <w:rsid w:val="00F83A13"/>
    <w:rsid w:val="00F843C6"/>
    <w:rsid w:val="00F94247"/>
    <w:rsid w:val="00F95A8E"/>
    <w:rsid w:val="00FA2D10"/>
    <w:rsid w:val="00FA5B4F"/>
    <w:rsid w:val="00FA6089"/>
    <w:rsid w:val="00FB0F64"/>
    <w:rsid w:val="00FB1C26"/>
    <w:rsid w:val="00FB2600"/>
    <w:rsid w:val="00FB2DAA"/>
    <w:rsid w:val="00FB48D2"/>
    <w:rsid w:val="00FB5FF1"/>
    <w:rsid w:val="00FB6545"/>
    <w:rsid w:val="00FB6B2E"/>
    <w:rsid w:val="00FB7742"/>
    <w:rsid w:val="00FC1C75"/>
    <w:rsid w:val="00FC6082"/>
    <w:rsid w:val="00FC7953"/>
    <w:rsid w:val="00FD156F"/>
    <w:rsid w:val="00FD2DC0"/>
    <w:rsid w:val="00FD2E8A"/>
    <w:rsid w:val="00FD5708"/>
    <w:rsid w:val="00FD5D8A"/>
    <w:rsid w:val="00FE2DE6"/>
    <w:rsid w:val="00FE4D20"/>
    <w:rsid w:val="00FE57F9"/>
    <w:rsid w:val="00FE7524"/>
    <w:rsid w:val="00FF2791"/>
    <w:rsid w:val="00FF2BDE"/>
    <w:rsid w:val="00FF2E2B"/>
    <w:rsid w:val="00FF50A0"/>
    <w:rsid w:val="00FF678A"/>
    <w:rsid w:val="00FF67A5"/>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4C4C3E"/>
  <w14:defaultImageDpi w14:val="32767"/>
  <w15:docId w15:val="{EE06B0E4-97CD-417D-9BDF-B3E5A44E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B351E"/>
    <w:pPr>
      <w:spacing w:before="0" w:after="0"/>
      <w:ind w:firstLine="0"/>
    </w:pPr>
  </w:style>
  <w:style w:type="character" w:customStyle="1" w:styleId="Textkrper3Zchn">
    <w:name w:val="Textkörper 3 Zchn"/>
    <w:basedOn w:val="Absatz-Standardschriftart"/>
    <w:link w:val="Textkrper3"/>
    <w:rsid w:val="000B351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doi.org/10.1007/s35834-022-00340-y" TargetMode="External"/><Relationship Id="rId3" Type="http://schemas.openxmlformats.org/officeDocument/2006/relationships/customXml" Target="../customXml/item3.xml"/><Relationship Id="rId21" Type="http://schemas.openxmlformats.org/officeDocument/2006/relationships/hyperlink" Target="mailto:lukas.fehlings@web.de"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novakeducation.com/blog/strategies-to-make-choice-boards-more-efficient-aka-little-prep-time" TargetMode="External"/><Relationship Id="rId25" Type="http://schemas.openxmlformats.org/officeDocument/2006/relationships/hyperlink" Target="https://doi.org/10.53349/sv.2021.i2.a104"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lea.schulz@uni-flensburg.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3" TargetMode="External"/><Relationship Id="rId24" Type="http://schemas.openxmlformats.org/officeDocument/2006/relationships/hyperlink" Target="https://doi.org/10.21248/qfi.12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institut-fuer-menschenrechte.de/fileadmin/user_upload/Publikationen/Essay/essay_zum_innovationspotenzial_der_un_behindertenrechtskonvention_auflage3.pdf?utm_source=chatgpt.com" TargetMode="External"/><Relationship Id="rId28" Type="http://schemas.openxmlformats.org/officeDocument/2006/relationships/hyperlink" Target="https://unterrichten.digital/2024/03/17/choice-boards-lernpfade-unterrich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16/j.compedu.2024.105208" TargetMode="External"/><Relationship Id="rId27" Type="http://schemas.openxmlformats.org/officeDocument/2006/relationships/hyperlink" Target="https://unterrichten.digital/2024/03/17/choice-boards-lernpfade-unterricht/?utm_source=chatgpt.com"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6D5C570B-8BAE-4083-9B54-33FB27364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2690</Words>
  <Characters>16948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19599</CharactersWithSpaces>
  <SharedDoc>false</SharedDoc>
  <HLinks>
    <vt:vector size="78" baseType="variant">
      <vt:variant>
        <vt:i4>7077935</vt:i4>
      </vt:variant>
      <vt:variant>
        <vt:i4>36</vt:i4>
      </vt:variant>
      <vt:variant>
        <vt:i4>0</vt:i4>
      </vt:variant>
      <vt:variant>
        <vt:i4>5</vt:i4>
      </vt:variant>
      <vt:variant>
        <vt:lpwstr>https://unterrichten.digital/2024/03/17/choice-boards-lernpfade-unterricht/</vt:lpwstr>
      </vt:variant>
      <vt:variant>
        <vt:lpwstr/>
      </vt:variant>
      <vt:variant>
        <vt:i4>2031725</vt:i4>
      </vt:variant>
      <vt:variant>
        <vt:i4>33</vt:i4>
      </vt:variant>
      <vt:variant>
        <vt:i4>0</vt:i4>
      </vt:variant>
      <vt:variant>
        <vt:i4>5</vt:i4>
      </vt:variant>
      <vt:variant>
        <vt:lpwstr>https://unterrichten.digital/2024/03/17/choice-boards-lernpfade-unterricht/?utm_source=chatgpt.com</vt:lpwstr>
      </vt:variant>
      <vt:variant>
        <vt:lpwstr/>
      </vt:variant>
      <vt:variant>
        <vt:i4>6553651</vt:i4>
      </vt:variant>
      <vt:variant>
        <vt:i4>30</vt:i4>
      </vt:variant>
      <vt:variant>
        <vt:i4>0</vt:i4>
      </vt:variant>
      <vt:variant>
        <vt:i4>5</vt:i4>
      </vt:variant>
      <vt:variant>
        <vt:lpwstr>https://doi.org/10.1007/s35834-022-00340-y</vt:lpwstr>
      </vt:variant>
      <vt:variant>
        <vt:lpwstr/>
      </vt:variant>
      <vt:variant>
        <vt:i4>2621491</vt:i4>
      </vt:variant>
      <vt:variant>
        <vt:i4>27</vt:i4>
      </vt:variant>
      <vt:variant>
        <vt:i4>0</vt:i4>
      </vt:variant>
      <vt:variant>
        <vt:i4>5</vt:i4>
      </vt:variant>
      <vt:variant>
        <vt:lpwstr>https://doi.org/10.1007/s10984-025-09537-0</vt:lpwstr>
      </vt:variant>
      <vt:variant>
        <vt:lpwstr/>
      </vt:variant>
      <vt:variant>
        <vt:i4>1835081</vt:i4>
      </vt:variant>
      <vt:variant>
        <vt:i4>24</vt:i4>
      </vt:variant>
      <vt:variant>
        <vt:i4>0</vt:i4>
      </vt:variant>
      <vt:variant>
        <vt:i4>5</vt:i4>
      </vt:variant>
      <vt:variant>
        <vt:lpwstr>https://doi.org/10.53349/sv.2021.i2.a104</vt:lpwstr>
      </vt:variant>
      <vt:variant>
        <vt:lpwstr/>
      </vt:variant>
      <vt:variant>
        <vt:i4>1835018</vt:i4>
      </vt:variant>
      <vt:variant>
        <vt:i4>21</vt:i4>
      </vt:variant>
      <vt:variant>
        <vt:i4>0</vt:i4>
      </vt:variant>
      <vt:variant>
        <vt:i4>5</vt:i4>
      </vt:variant>
      <vt:variant>
        <vt:lpwstr>https://doi.org/10.21248/qfi.120</vt:lpwstr>
      </vt:variant>
      <vt:variant>
        <vt:lpwstr/>
      </vt:variant>
      <vt:variant>
        <vt:i4>4718669</vt:i4>
      </vt:variant>
      <vt:variant>
        <vt:i4>18</vt:i4>
      </vt:variant>
      <vt:variant>
        <vt:i4>0</vt:i4>
      </vt:variant>
      <vt:variant>
        <vt:i4>5</vt:i4>
      </vt:variant>
      <vt:variant>
        <vt:lpwstr>https://udlguidelines.cast.org/more/about-guidelines-3-0</vt:lpwstr>
      </vt:variant>
      <vt:variant>
        <vt:lpwstr/>
      </vt:variant>
      <vt:variant>
        <vt:i4>7471166</vt:i4>
      </vt:variant>
      <vt:variant>
        <vt:i4>15</vt:i4>
      </vt:variant>
      <vt:variant>
        <vt:i4>0</vt:i4>
      </vt:variant>
      <vt:variant>
        <vt:i4>5</vt:i4>
      </vt:variant>
      <vt:variant>
        <vt:lpwstr>https://www.institut-fuer-menschenrechte.de/fileadmin/user_upload/Publikationen/Essay/essay_zum_innovationspotenzial_der_un_behindertenrechtskonvention_auflage3.pdf?utm_source=chatgpt.com</vt:lpwstr>
      </vt:variant>
      <vt:variant>
        <vt:lpwstr/>
      </vt:variant>
      <vt:variant>
        <vt:i4>5832708</vt:i4>
      </vt:variant>
      <vt:variant>
        <vt:i4>12</vt:i4>
      </vt:variant>
      <vt:variant>
        <vt:i4>0</vt:i4>
      </vt:variant>
      <vt:variant>
        <vt:i4>5</vt:i4>
      </vt:variant>
      <vt:variant>
        <vt:lpwstr>https://doi.org/10.1016/j.compedu.2024.105208</vt:lpwstr>
      </vt:variant>
      <vt:variant>
        <vt:lpwstr/>
      </vt:variant>
      <vt:variant>
        <vt:i4>7864341</vt:i4>
      </vt:variant>
      <vt:variant>
        <vt:i4>9</vt:i4>
      </vt:variant>
      <vt:variant>
        <vt:i4>0</vt:i4>
      </vt:variant>
      <vt:variant>
        <vt:i4>5</vt:i4>
      </vt:variant>
      <vt:variant>
        <vt:lpwstr>mailto:lukas.fehlings@web.de</vt:lpwstr>
      </vt:variant>
      <vt:variant>
        <vt:lpwstr/>
      </vt:variant>
      <vt:variant>
        <vt:i4>4325495</vt:i4>
      </vt:variant>
      <vt:variant>
        <vt:i4>6</vt:i4>
      </vt:variant>
      <vt:variant>
        <vt:i4>0</vt:i4>
      </vt:variant>
      <vt:variant>
        <vt:i4>5</vt:i4>
      </vt:variant>
      <vt:variant>
        <vt:lpwstr>mailto:lea.schulz@uni-flensburg.de</vt:lpwstr>
      </vt:variant>
      <vt:variant>
        <vt:lpwstr/>
      </vt:variant>
      <vt:variant>
        <vt:i4>1704003</vt:i4>
      </vt:variant>
      <vt:variant>
        <vt:i4>3</vt:i4>
      </vt:variant>
      <vt:variant>
        <vt:i4>0</vt:i4>
      </vt:variant>
      <vt:variant>
        <vt:i4>5</vt:i4>
      </vt:variant>
      <vt:variant>
        <vt:lpwstr>https://www.novakeducation.com/blog/strategies-to-make-choice-boards-more-efficient-aka-little-prep-time</vt:lpwstr>
      </vt:variant>
      <vt:variant>
        <vt:lpwstr/>
      </vt:variant>
      <vt:variant>
        <vt:i4>5898331</vt:i4>
      </vt:variant>
      <vt:variant>
        <vt:i4>0</vt:i4>
      </vt:variant>
      <vt:variant>
        <vt:i4>0</vt:i4>
      </vt:variant>
      <vt:variant>
        <vt:i4>5</vt:i4>
      </vt:variant>
      <vt:variant>
        <vt:lpwstr>https://doi.org/10.57161/z2026-02-03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Offene Lernsettings für alle</dc:title>
  <dc:subject/>
  <dc:creator>Lea Schulz;Lukas Fehlings</dc:creator>
  <cp:keywords>Inklusion, Digitalisierung, Empowerment, Lernprozess, Universal Design for Learning, Barrierefreiheit/inclusion, numérisation, empowerment, processus d'apprentissage, conception universelle de l'apprentissage, accessibilité</cp:keywords>
  <cp:lastModifiedBy>Edition, Stagiaire</cp:lastModifiedBy>
  <cp:revision>8</cp:revision>
  <cp:lastPrinted>2026-02-17T23:11:00Z</cp:lastPrinted>
  <dcterms:created xsi:type="dcterms:W3CDTF">2026-02-17T23:06:00Z</dcterms:created>
  <dcterms:modified xsi:type="dcterms:W3CDTF">2026-02-19T10:26:00Z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