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ABDB" w14:textId="5E9129A0" w:rsidR="001A1179" w:rsidRPr="009D61F0" w:rsidRDefault="00961F40" w:rsidP="009D61F0">
      <w:pPr>
        <w:pStyle w:val="Titel"/>
      </w:pPr>
      <w:r w:rsidRPr="009D61F0">
        <w:t xml:space="preserve">Sonderpädagogisches Personal in der Begabtenförderung: </w:t>
      </w:r>
      <w:r w:rsidR="009C16D5">
        <w:rPr>
          <w:noProof/>
        </w:rPr>
        <w:t>z</w:t>
      </w:r>
      <w:r w:rsidRPr="009D61F0">
        <w:rPr>
          <w:noProof/>
        </w:rPr>
        <w:t>uständig</w:t>
      </w:r>
      <w:r w:rsidRPr="009D61F0">
        <w:t>, aber nicht vorbereitet</w:t>
      </w:r>
    </w:p>
    <w:p w14:paraId="574BC475" w14:textId="44AEB030" w:rsidR="00F70415" w:rsidRPr="00A6414D" w:rsidRDefault="5C8BE69D" w:rsidP="00C11858">
      <w:pPr>
        <w:pStyle w:val="Author"/>
        <w:rPr>
          <w:lang w:val="de-CH"/>
        </w:rPr>
      </w:pPr>
      <w:r w:rsidRPr="00A6414D">
        <w:rPr>
          <w:lang w:val="de-CH"/>
        </w:rPr>
        <w:t>Michelle Squindo</w:t>
      </w:r>
      <w:r w:rsidR="007A6BCC" w:rsidRPr="00A6414D">
        <w:rPr>
          <w:lang w:val="de-CH"/>
        </w:rPr>
        <w:t xml:space="preserve"> und</w:t>
      </w:r>
      <w:r w:rsidRPr="00A6414D">
        <w:rPr>
          <w:lang w:val="de-CH"/>
        </w:rPr>
        <w:t xml:space="preserve"> </w:t>
      </w:r>
      <w:r w:rsidR="00961F40" w:rsidRPr="00A6414D">
        <w:rPr>
          <w:lang w:val="de-CH"/>
        </w:rPr>
        <w:t>Anuschka Meier-Wyder</w:t>
      </w:r>
    </w:p>
    <w:p w14:paraId="7C32C8A8" w14:textId="472E7941" w:rsidR="00613A7F" w:rsidRDefault="008208E8" w:rsidP="00C11858">
      <w:pPr>
        <w:pStyle w:val="Abstract"/>
      </w:pPr>
      <w:bookmarkStart w:id="0" w:name="_Hlk192575665"/>
      <w:r w:rsidRPr="00EC02C0">
        <w:t>Zusammenfassung</w:t>
      </w:r>
      <w:r w:rsidRPr="00EC02C0">
        <w:br/>
      </w:r>
      <w:r w:rsidR="00613A7F" w:rsidRPr="00C11858">
        <w:t xml:space="preserve">Die </w:t>
      </w:r>
      <w:r w:rsidR="00AF1F03" w:rsidRPr="00C11858">
        <w:t>Begabtenförderung</w:t>
      </w:r>
      <w:r w:rsidR="00613A7F" w:rsidRPr="00C11858">
        <w:t xml:space="preserve"> ist ein Auftrag der Volksschule, </w:t>
      </w:r>
      <w:r w:rsidR="00DE5AE5">
        <w:t xml:space="preserve">wobei die Umsetzung </w:t>
      </w:r>
      <w:r w:rsidR="00AC6AAA">
        <w:t xml:space="preserve">in der Praxis </w:t>
      </w:r>
      <w:r w:rsidR="00DE5AE5">
        <w:t xml:space="preserve">nicht </w:t>
      </w:r>
      <w:r w:rsidR="00641774">
        <w:t>einheitlich</w:t>
      </w:r>
      <w:r w:rsidR="00DE5AE5">
        <w:t xml:space="preserve"> geregelt ist. </w:t>
      </w:r>
      <w:r w:rsidR="00D652E2" w:rsidRPr="00C11858">
        <w:t>Eine</w:t>
      </w:r>
      <w:r w:rsidR="00613A7F" w:rsidRPr="00C11858">
        <w:t xml:space="preserve"> Onlinebefragung </w:t>
      </w:r>
      <w:r w:rsidR="00D652E2" w:rsidRPr="00C11858">
        <w:t xml:space="preserve">der </w:t>
      </w:r>
      <w:r w:rsidR="00822A53">
        <w:t xml:space="preserve">Interkanonalen </w:t>
      </w:r>
      <w:r w:rsidR="00D652E2" w:rsidRPr="00C11858">
        <w:t>Hochschule für Heilp</w:t>
      </w:r>
      <w:r w:rsidR="00E26A47" w:rsidRPr="00C11858">
        <w:t>ä</w:t>
      </w:r>
      <w:r w:rsidR="00D652E2" w:rsidRPr="00C11858">
        <w:t>dagogik</w:t>
      </w:r>
      <w:r w:rsidR="005B0D02" w:rsidRPr="00C11858">
        <w:t xml:space="preserve"> (Hf</w:t>
      </w:r>
      <w:r w:rsidR="00371866" w:rsidRPr="00C11858">
        <w:t>H</w:t>
      </w:r>
      <w:r w:rsidR="005B0D02" w:rsidRPr="00C11858">
        <w:t>)</w:t>
      </w:r>
      <w:r w:rsidR="00613A7F" w:rsidRPr="00C11858">
        <w:t xml:space="preserve"> </w:t>
      </w:r>
      <w:r w:rsidR="00D652E2" w:rsidRPr="00C11858">
        <w:t>zur</w:t>
      </w:r>
      <w:r w:rsidR="00613A7F" w:rsidRPr="00C11858">
        <w:t xml:space="preserve"> Angebotslage in der Deutschschweiz und dem Fürstentum Liechtenstein</w:t>
      </w:r>
      <w:r w:rsidR="00D652E2" w:rsidRPr="00C11858">
        <w:t xml:space="preserve"> </w:t>
      </w:r>
      <w:r w:rsidR="00613A7F" w:rsidRPr="00C11858">
        <w:t>zeig</w:t>
      </w:r>
      <w:r w:rsidR="00D652E2" w:rsidRPr="00C11858">
        <w:t>t</w:t>
      </w:r>
      <w:r w:rsidR="00613A7F" w:rsidRPr="00C11858">
        <w:t xml:space="preserve">, </w:t>
      </w:r>
      <w:r w:rsidR="00613A7F" w:rsidRPr="00D542B3">
        <w:t>dass 91</w:t>
      </w:r>
      <w:r w:rsidR="007A2131" w:rsidRPr="00D542B3">
        <w:t> </w:t>
      </w:r>
      <w:r w:rsidR="005B0D02" w:rsidRPr="00D542B3">
        <w:t>Prozen</w:t>
      </w:r>
      <w:r w:rsidR="009C4DE5" w:rsidRPr="00D542B3">
        <w:t>t</w:t>
      </w:r>
      <w:r w:rsidR="00613A7F" w:rsidRPr="00D542B3">
        <w:t xml:space="preserve"> der Schulen Begabtenförderung anbieten</w:t>
      </w:r>
      <w:r w:rsidR="00E93ED7" w:rsidRPr="00D542B3">
        <w:t xml:space="preserve">. </w:t>
      </w:r>
      <w:r w:rsidR="00C104F2" w:rsidRPr="00C104F2">
        <w:t xml:space="preserve">Oft fehlt jedoch eine systematische Identifikation (hoch-)begabter Schüler:innen oder eine angemessene Ausbildung der Schulischen Heil- und Sonderpädagog:innen (SHP) – dies zeigt sich insbesondere im gesamten Prozess des Überspringens einer Klasse. </w:t>
      </w:r>
      <w:r w:rsidR="00613A7F" w:rsidRPr="00D542B3">
        <w:t xml:space="preserve">Die Studie </w:t>
      </w:r>
      <w:r w:rsidR="00C17903" w:rsidRPr="00D542B3">
        <w:t>betont</w:t>
      </w:r>
      <w:r w:rsidR="00613A7F" w:rsidRPr="00D542B3">
        <w:t xml:space="preserve"> den Bedarf an gezielter Aus- und Fortbildung sowie einer institutionellen Verankerung, um </w:t>
      </w:r>
      <w:r w:rsidR="00C17903" w:rsidRPr="00D542B3">
        <w:t>(hoch</w:t>
      </w:r>
      <w:r w:rsidR="004749BD" w:rsidRPr="00D542B3">
        <w:t>-</w:t>
      </w:r>
      <w:r w:rsidR="00C17903" w:rsidRPr="00D542B3">
        <w:t xml:space="preserve">)begabte </w:t>
      </w:r>
      <w:r w:rsidR="00AF1F03" w:rsidRPr="00D542B3">
        <w:t>Schüler:innen bedürfnisorientiert zu fördern</w:t>
      </w:r>
      <w:r w:rsidR="00E26A47" w:rsidRPr="00D542B3">
        <w:t xml:space="preserve"> und die Lü</w:t>
      </w:r>
      <w:r w:rsidR="00613A7F" w:rsidRPr="00D542B3">
        <w:t xml:space="preserve">cke zwischen </w:t>
      </w:r>
      <w:r w:rsidR="00653D93" w:rsidRPr="00D542B3">
        <w:t xml:space="preserve">dem </w:t>
      </w:r>
      <w:r w:rsidR="00613A7F" w:rsidRPr="00D542B3">
        <w:t xml:space="preserve">Anspruch </w:t>
      </w:r>
      <w:r w:rsidR="00375748" w:rsidRPr="00D542B3">
        <w:t>an sonderpädagogischem Förderbedarf</w:t>
      </w:r>
      <w:r w:rsidR="00653D93" w:rsidRPr="00D542B3">
        <w:t xml:space="preserve"> </w:t>
      </w:r>
      <w:r w:rsidR="00613A7F" w:rsidRPr="00D542B3">
        <w:t xml:space="preserve">und </w:t>
      </w:r>
      <w:r w:rsidR="00653D93" w:rsidRPr="00D542B3">
        <w:t xml:space="preserve">der </w:t>
      </w:r>
      <w:r w:rsidR="00613A7F" w:rsidRPr="00D542B3">
        <w:t>Realität zu schliessen.</w:t>
      </w:r>
    </w:p>
    <w:p w14:paraId="767148C4" w14:textId="13AAA4AC" w:rsidR="00867940" w:rsidRPr="007378AA" w:rsidRDefault="00E50A20" w:rsidP="007378AA">
      <w:pPr>
        <w:pStyle w:val="Abstract"/>
        <w:rPr>
          <w:lang w:val="fr-CH"/>
        </w:rPr>
      </w:pPr>
      <w:r w:rsidRPr="007378AA">
        <w:rPr>
          <w:lang w:val="fr-CH"/>
        </w:rPr>
        <w:t>Résumé</w:t>
      </w:r>
      <w:r w:rsidR="00400A6A" w:rsidRPr="007378AA">
        <w:rPr>
          <w:lang w:val="fr-CH"/>
        </w:rPr>
        <w:br/>
      </w:r>
      <w:r w:rsidR="007378AA" w:rsidRPr="007378AA">
        <w:rPr>
          <w:lang w:val="fr-CH"/>
        </w:rPr>
        <w:t xml:space="preserve">Le soutien aux élèves doués est une mission de l’école obligatoire, bien que sa mise en œuvre ne soit pas réglée de manière uniforme dans la pratique. Une enquête en ligne de la Haute école </w:t>
      </w:r>
      <w:r w:rsidR="00A60376">
        <w:rPr>
          <w:lang w:val="fr-CH"/>
        </w:rPr>
        <w:t xml:space="preserve">intercantonale </w:t>
      </w:r>
      <w:r w:rsidR="007378AA" w:rsidRPr="007378AA">
        <w:rPr>
          <w:lang w:val="fr-CH"/>
        </w:rPr>
        <w:t>de pédagogie spécialisée (HfH) sur l’offre en Suisse alémanique et au Liechtenstein montre que 91 % des écoles proposent un soutien spécifique. Cependant, l’identification systématique des élèves doués ou à haut potentiel ou une formation adéquate des enseignantes et enseignants spécialisés manque souvent – ce qui se manifeste en particulier dans la procédure générale par un saut de classe. L’étude souligne la nécessité d’une formation initiale et continue ciblée ainsi que d’un ancrage institutionnel, afin de soutenir les élèves doués ou à haut potentiel selon leurs besoins et de combler l’écart entre les exigences en matière de besoins éducatifs particuliers et la réalité.</w:t>
      </w:r>
      <w:bookmarkEnd w:id="0"/>
    </w:p>
    <w:p w14:paraId="30DB372B" w14:textId="75D9FAAE" w:rsidR="00EA4676" w:rsidRPr="007378AA" w:rsidRDefault="00EA4676" w:rsidP="0AC0ADAF">
      <w:pPr>
        <w:pStyle w:val="Textkrper3"/>
        <w:rPr>
          <w:lang w:val="fr-CH"/>
        </w:rPr>
      </w:pPr>
      <w:r w:rsidRPr="007378AA">
        <w:rPr>
          <w:rStyle w:val="Fett"/>
          <w:rFonts w:cs="Open Sans SemiCondensed"/>
          <w:lang w:val="fr-CH"/>
        </w:rPr>
        <w:t>Keywords</w:t>
      </w:r>
      <w:r w:rsidRPr="007378AA">
        <w:rPr>
          <w:lang w:val="fr-CH"/>
        </w:rPr>
        <w:t xml:space="preserve">: </w:t>
      </w:r>
      <w:r w:rsidR="00632CCD" w:rsidRPr="00632CCD">
        <w:rPr>
          <w:lang w:val="fr-CH"/>
        </w:rPr>
        <w:t xml:space="preserve">Begabtenförderung, Hochbegabung, obligatorische Schule, Sonderpädagogik, Förderung, </w:t>
      </w:r>
      <w:r w:rsidR="00632CCD" w:rsidRPr="00632CCD">
        <w:rPr>
          <w:noProof/>
          <w:lang w:val="fr-CH"/>
        </w:rPr>
        <w:t>Chancengleichheit</w:t>
      </w:r>
      <w:r w:rsidR="00632CCD" w:rsidRPr="00632CCD">
        <w:rPr>
          <w:lang w:val="fr-CH"/>
        </w:rPr>
        <w:t>, Inklusion, Bildungspolitik, Schulentwicklung, Lehrerbildung / encouragement des talents, haut potentiel, scolarité obligatoire, pédagogie spécialisée, encouragement, égalité des chances,</w:t>
      </w:r>
      <w:r w:rsidR="00210362" w:rsidRPr="00210362">
        <w:rPr>
          <w:lang w:val="fr-CH"/>
        </w:rPr>
        <w:t xml:space="preserve"> </w:t>
      </w:r>
      <w:r w:rsidR="00210362" w:rsidRPr="00632CCD">
        <w:rPr>
          <w:lang w:val="fr-CH"/>
        </w:rPr>
        <w:t>inclusion</w:t>
      </w:r>
      <w:r w:rsidR="00210362">
        <w:rPr>
          <w:lang w:val="fr-CH"/>
        </w:rPr>
        <w:t>,</w:t>
      </w:r>
      <w:r w:rsidR="00632CCD" w:rsidRPr="00632CCD">
        <w:rPr>
          <w:lang w:val="fr-CH"/>
        </w:rPr>
        <w:t xml:space="preserve"> politique de l'éducation, développement scolaire, formation des enseignants</w:t>
      </w:r>
    </w:p>
    <w:p w14:paraId="200472CD" w14:textId="6DF91CD3" w:rsidR="001D3BFB" w:rsidRPr="00CE4B07" w:rsidRDefault="00EA4676" w:rsidP="007B4390">
      <w:pPr>
        <w:pStyle w:val="Textkrper3"/>
        <w:rPr>
          <w:rFonts w:cs="Open Sans SemiCondensed"/>
          <w:bCs/>
          <w:iCs/>
          <w:color w:val="CF3649"/>
          <w:lang w:val="fr-CH"/>
        </w:rPr>
      </w:pPr>
      <w:r w:rsidRPr="00CE4B07">
        <w:rPr>
          <w:rStyle w:val="Fett"/>
          <w:rFonts w:cs="Open Sans SemiCondensed"/>
          <w:lang w:val="fr-CH"/>
        </w:rPr>
        <w:t>DOI</w:t>
      </w:r>
      <w:r w:rsidRPr="00CE4B07">
        <w:rPr>
          <w:rFonts w:cs="Open Sans SemiCondensed"/>
          <w:lang w:val="fr-CH"/>
        </w:rPr>
        <w:t xml:space="preserve">: </w:t>
      </w:r>
      <w:hyperlink r:id="rId11" w:history="1">
        <w:r w:rsidR="00152C97" w:rsidRPr="00720DF4">
          <w:rPr>
            <w:rStyle w:val="Hyperlink"/>
            <w:rFonts w:cs="Open Sans SemiCondensed"/>
            <w:lang w:val="fr-CH"/>
          </w:rPr>
          <w:t>https://doi.org/10.57161/z2025-05-</w:t>
        </w:r>
        <w:r w:rsidR="00152C97" w:rsidRPr="00720DF4">
          <w:rPr>
            <w:rStyle w:val="Hyperlink"/>
            <w:bCs w:val="0"/>
            <w:iCs w:val="0"/>
            <w:lang w:val="fr-CH"/>
          </w:rPr>
          <w:t>06</w:t>
        </w:r>
      </w:hyperlink>
      <w:r w:rsidR="00152C97">
        <w:rPr>
          <w:rStyle w:val="Hyperlink"/>
          <w:bCs w:val="0"/>
          <w:iCs w:val="0"/>
          <w:lang w:val="fr-CH"/>
        </w:rPr>
        <w:t xml:space="preserve"> </w:t>
      </w:r>
    </w:p>
    <w:p w14:paraId="65B4DD4A" w14:textId="0533ABCF" w:rsidR="001161D6" w:rsidRPr="00CE4B07" w:rsidRDefault="001161D6" w:rsidP="007B4390">
      <w:pPr>
        <w:pStyle w:val="Textkrper3"/>
      </w:pPr>
      <w:r w:rsidRPr="00CE4B07">
        <w:t xml:space="preserve">Schweizerische Zeitschrift für Heilpädagogik, Jg. </w:t>
      </w:r>
      <w:r w:rsidR="00CE4B07">
        <w:t>31</w:t>
      </w:r>
      <w:r w:rsidRPr="00CE4B07">
        <w:t xml:space="preserve">, </w:t>
      </w:r>
      <w:r w:rsidR="00CE4B07">
        <w:t>05</w:t>
      </w:r>
      <w:r w:rsidRPr="00CE4B07">
        <w:t>/</w:t>
      </w:r>
      <w:r w:rsidR="00CE4B07">
        <w:t>2025</w:t>
      </w:r>
    </w:p>
    <w:p w14:paraId="669A5046" w14:textId="09157D4E" w:rsidR="000E6A66" w:rsidRDefault="00CD7FC6" w:rsidP="007B4390">
      <w:pPr>
        <w:pStyle w:val="Textkrper3"/>
        <w:rPr>
          <w:lang w:val="fr-CH"/>
        </w:rPr>
      </w:pPr>
      <w:r w:rsidRPr="004522AF">
        <w:rPr>
          <w:noProof/>
        </w:rPr>
        <w:drawing>
          <wp:inline distT="0" distB="0" distL="0" distR="0" wp14:anchorId="1874CE50" wp14:editId="541B96A6">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83417CD" w14:textId="3FF0DC66" w:rsidR="00961F40" w:rsidRDefault="00961F40" w:rsidP="00CB635A">
      <w:pPr>
        <w:pStyle w:val="berschrift1"/>
      </w:pPr>
      <w:bookmarkStart w:id="1" w:name="heading-2"/>
      <w:r w:rsidRPr="00961F40">
        <w:t>Einführung</w:t>
      </w:r>
    </w:p>
    <w:p w14:paraId="43114699" w14:textId="16D6CF01" w:rsidR="00F04889" w:rsidRPr="000B7BCE" w:rsidRDefault="00DA7F22" w:rsidP="00D62CC8">
      <w:pPr>
        <w:pStyle w:val="Textkrper"/>
        <w:ind w:firstLine="0"/>
      </w:pPr>
      <w:r w:rsidRPr="000B7BCE">
        <w:t>Ziel der Volksschule ist es, allen Kindern und Jugendlichen eine gute Bildung und Erziehung zu bieten</w:t>
      </w:r>
      <w:r w:rsidR="003E1B4A" w:rsidRPr="000B7BCE">
        <w:t>. Dabei sollen</w:t>
      </w:r>
      <w:r w:rsidRPr="000B7BCE">
        <w:t xml:space="preserve"> </w:t>
      </w:r>
      <w:r w:rsidR="003A675D" w:rsidRPr="000B7BCE">
        <w:t xml:space="preserve">individuelle </w:t>
      </w:r>
      <w:r w:rsidRPr="000B7BCE">
        <w:t xml:space="preserve">Stärken </w:t>
      </w:r>
      <w:r w:rsidR="00CF5385" w:rsidRPr="000B7BCE">
        <w:t>und</w:t>
      </w:r>
      <w:r w:rsidRPr="000B7BCE">
        <w:t xml:space="preserve"> pädagogische Bedürfnisse</w:t>
      </w:r>
      <w:r w:rsidR="001F2C53" w:rsidRPr="000B7BCE">
        <w:t xml:space="preserve"> der Schüler:innen</w:t>
      </w:r>
      <w:r w:rsidRPr="000B7BCE">
        <w:t xml:space="preserve"> berücksichtigt werden</w:t>
      </w:r>
      <w:r w:rsidR="0000750B" w:rsidRPr="000B7BCE">
        <w:t xml:space="preserve"> – inklusive besonderer </w:t>
      </w:r>
      <w:r w:rsidR="003470C0" w:rsidRPr="000B7BCE">
        <w:t xml:space="preserve">kognitiver </w:t>
      </w:r>
      <w:r w:rsidR="0000750B" w:rsidRPr="000B7BCE">
        <w:t>Begabungen</w:t>
      </w:r>
      <w:r w:rsidR="003237B7" w:rsidRPr="000B7BCE">
        <w:t xml:space="preserve"> (D-EDK, 2014)</w:t>
      </w:r>
      <w:r w:rsidRPr="000B7BCE">
        <w:t xml:space="preserve">. </w:t>
      </w:r>
      <w:r w:rsidR="00707524" w:rsidRPr="000B7BCE">
        <w:t>Begabungsf</w:t>
      </w:r>
      <w:r w:rsidR="00707524" w:rsidRPr="000B7BCE">
        <w:rPr>
          <w:rFonts w:hint="eastAsia"/>
        </w:rPr>
        <w:t>ö</w:t>
      </w:r>
      <w:r w:rsidR="00707524" w:rsidRPr="000B7BCE">
        <w:t>rderung betrifft als Grundauftrag alle Sch</w:t>
      </w:r>
      <w:r w:rsidR="00707524" w:rsidRPr="000B7BCE">
        <w:rPr>
          <w:rFonts w:hint="eastAsia"/>
        </w:rPr>
        <w:t>ü</w:t>
      </w:r>
      <w:r w:rsidR="00707524" w:rsidRPr="000B7BCE">
        <w:t>ler</w:t>
      </w:r>
      <w:r w:rsidR="000211A3" w:rsidRPr="000B7BCE">
        <w:t>:</w:t>
      </w:r>
      <w:r w:rsidR="00707524" w:rsidRPr="000B7BCE">
        <w:t>innen</w:t>
      </w:r>
      <w:r w:rsidR="000211A3" w:rsidRPr="000B7BCE">
        <w:t xml:space="preserve"> </w:t>
      </w:r>
      <w:r w:rsidR="00707524" w:rsidRPr="000B7BCE">
        <w:t>(</w:t>
      </w:r>
      <w:r w:rsidR="006D1672" w:rsidRPr="000B7BCE">
        <w:t>ebd.</w:t>
      </w:r>
      <w:r w:rsidR="00707524" w:rsidRPr="000B7BCE">
        <w:t>) und erfolgt meist im Regelunterricht. Begabtenf</w:t>
      </w:r>
      <w:r w:rsidR="00707524" w:rsidRPr="000B7BCE">
        <w:rPr>
          <w:rFonts w:hint="eastAsia"/>
        </w:rPr>
        <w:t>ö</w:t>
      </w:r>
      <w:r w:rsidR="00707524" w:rsidRPr="000B7BCE">
        <w:t>rderung hingegen umfasst Massnahmen f</w:t>
      </w:r>
      <w:r w:rsidR="00707524" w:rsidRPr="000B7BCE">
        <w:rPr>
          <w:rFonts w:hint="eastAsia"/>
        </w:rPr>
        <w:t>ü</w:t>
      </w:r>
      <w:r w:rsidR="00707524" w:rsidRPr="000B7BCE">
        <w:t>r besonders leistungsstarke resp</w:t>
      </w:r>
      <w:r w:rsidR="000E1CA2" w:rsidRPr="000B7BCE">
        <w:t>ektive</w:t>
      </w:r>
      <w:r w:rsidR="00707524" w:rsidRPr="000B7BCE">
        <w:t xml:space="preserve"> (hoch</w:t>
      </w:r>
      <w:r w:rsidR="006D1672" w:rsidRPr="000B7BCE">
        <w:t>-</w:t>
      </w:r>
      <w:r w:rsidR="00707524" w:rsidRPr="000B7BCE">
        <w:t>)begabte Sch</w:t>
      </w:r>
      <w:r w:rsidR="00707524" w:rsidRPr="000B7BCE">
        <w:rPr>
          <w:rFonts w:hint="eastAsia"/>
        </w:rPr>
        <w:t>ü</w:t>
      </w:r>
      <w:r w:rsidR="00707524" w:rsidRPr="000B7BCE">
        <w:t>ler:innen</w:t>
      </w:r>
      <w:r w:rsidR="002F0CE8" w:rsidRPr="000B7BCE">
        <w:t>, deren F</w:t>
      </w:r>
      <w:r w:rsidR="002F0CE8" w:rsidRPr="000B7BCE">
        <w:rPr>
          <w:rFonts w:hint="eastAsia"/>
        </w:rPr>
        <w:t>ö</w:t>
      </w:r>
      <w:r w:rsidR="002F0CE8" w:rsidRPr="000B7BCE">
        <w:t>rderbedarf die M</w:t>
      </w:r>
      <w:r w:rsidR="002F0CE8" w:rsidRPr="000B7BCE">
        <w:rPr>
          <w:rFonts w:hint="eastAsia"/>
        </w:rPr>
        <w:t>ö</w:t>
      </w:r>
      <w:r w:rsidR="002F0CE8" w:rsidRPr="000B7BCE">
        <w:t xml:space="preserve">glichkeiten des Regelunterrichts </w:t>
      </w:r>
      <w:r w:rsidR="002F0CE8" w:rsidRPr="000B7BCE">
        <w:rPr>
          <w:rFonts w:hint="eastAsia"/>
        </w:rPr>
        <w:t>ü</w:t>
      </w:r>
      <w:r w:rsidR="002F0CE8" w:rsidRPr="000B7BCE">
        <w:t>bersteig</w:t>
      </w:r>
      <w:r w:rsidR="002965A8">
        <w:t>t</w:t>
      </w:r>
      <w:r w:rsidR="00E10D12" w:rsidRPr="000B7BCE">
        <w:t>.</w:t>
      </w:r>
      <w:r w:rsidR="006D1672" w:rsidRPr="000B7BCE">
        <w:t xml:space="preserve"> </w:t>
      </w:r>
      <w:r w:rsidRPr="000B7BCE">
        <w:t xml:space="preserve">In den letzten Jahren haben sich viele Schulgemeinden bereits mit der Förderung </w:t>
      </w:r>
      <w:r w:rsidR="00985165" w:rsidRPr="000B7BCE">
        <w:t>(hoch</w:t>
      </w:r>
      <w:r w:rsidR="001F2C53" w:rsidRPr="000B7BCE">
        <w:t>-</w:t>
      </w:r>
      <w:r w:rsidR="00985165" w:rsidRPr="000B7BCE">
        <w:t>)</w:t>
      </w:r>
      <w:r w:rsidRPr="000B7BCE">
        <w:t>begabter Schüler</w:t>
      </w:r>
      <w:r w:rsidR="001F2C53" w:rsidRPr="000B7BCE">
        <w:t>:</w:t>
      </w:r>
      <w:r w:rsidRPr="000B7BCE">
        <w:t xml:space="preserve">innen beschäftigt, Konzepte entwickelt und entsprechende Angebote geschaffen. Die </w:t>
      </w:r>
      <w:r w:rsidR="00E06098" w:rsidRPr="000B7BCE">
        <w:t xml:space="preserve">spezifische </w:t>
      </w:r>
      <w:r w:rsidRPr="000B7BCE">
        <w:t>Förderung von</w:t>
      </w:r>
      <w:r w:rsidR="00E06098" w:rsidRPr="000B7BCE">
        <w:t xml:space="preserve"> überdurchschnittlichen</w:t>
      </w:r>
      <w:r w:rsidRPr="000B7BCE">
        <w:t xml:space="preserve"> Begabungen ist mittlerweile </w:t>
      </w:r>
      <w:r w:rsidR="000211A3" w:rsidRPr="000B7BCE">
        <w:t xml:space="preserve">also </w:t>
      </w:r>
      <w:r w:rsidRPr="000B7BCE">
        <w:t>weitgehend anerkannt, auch wenn die genaue Ausgestaltung oft noch unklar ist.</w:t>
      </w:r>
    </w:p>
    <w:p w14:paraId="7AF46863" w14:textId="6DD91A0C" w:rsidR="00FE65A8" w:rsidRPr="0070215D" w:rsidRDefault="001B2174" w:rsidP="00961F40">
      <w:pPr>
        <w:pStyle w:val="Textkrper"/>
      </w:pPr>
      <w:r>
        <w:t>Bislang fehlte e</w:t>
      </w:r>
      <w:r w:rsidR="0096579B" w:rsidRPr="000B7BCE">
        <w:t>in Überblick über die Angebote</w:t>
      </w:r>
      <w:r w:rsidR="001C20FB" w:rsidRPr="000B7BCE">
        <w:t xml:space="preserve"> der Begabtenförderung</w:t>
      </w:r>
      <w:r w:rsidR="0096579B" w:rsidRPr="000B7BCE">
        <w:t xml:space="preserve"> in den Deutschschweizer Kantonen und dem Fürstentum Li</w:t>
      </w:r>
      <w:r w:rsidR="00677C27" w:rsidRPr="000B7BCE">
        <w:t>e</w:t>
      </w:r>
      <w:r w:rsidR="0096579B" w:rsidRPr="000B7BCE">
        <w:t xml:space="preserve">chtenstein. </w:t>
      </w:r>
      <w:r w:rsidR="00961F40" w:rsidRPr="000B7BCE">
        <w:t xml:space="preserve">Eine Studie der </w:t>
      </w:r>
      <w:r w:rsidR="00961F40" w:rsidRPr="000B7BCE">
        <w:rPr>
          <w:i/>
          <w:iCs/>
        </w:rPr>
        <w:t>Interkantonalen Hochschule für</w:t>
      </w:r>
      <w:r w:rsidR="00961F40" w:rsidRPr="002805AA">
        <w:rPr>
          <w:i/>
          <w:iCs/>
        </w:rPr>
        <w:t xml:space="preserve"> Heilpädagogik</w:t>
      </w:r>
      <w:r w:rsidR="00961F40">
        <w:t xml:space="preserve"> (HfH) untersuchte </w:t>
      </w:r>
      <w:r w:rsidR="006712FA">
        <w:t xml:space="preserve">darum </w:t>
      </w:r>
      <w:r w:rsidR="00961F40">
        <w:t xml:space="preserve">die Angebotssituation </w:t>
      </w:r>
      <w:r w:rsidR="005244BE">
        <w:t xml:space="preserve">in der </w:t>
      </w:r>
      <w:r w:rsidR="00961F40">
        <w:t xml:space="preserve">Begabungs- und Begabtenförderung </w:t>
      </w:r>
      <w:r w:rsidR="000642D4">
        <w:t xml:space="preserve">im Fürstentum Liechtenstein und </w:t>
      </w:r>
      <w:r w:rsidR="00961F40">
        <w:t>in der Deutschschweiz</w:t>
      </w:r>
      <w:r w:rsidR="00F70415" w:rsidRPr="00B14DE5">
        <w:rPr>
          <w:rFonts w:cs="Open Sans SemiCondensed"/>
        </w:rPr>
        <w:t>,</w:t>
      </w:r>
      <w:r w:rsidR="00F70415" w:rsidRPr="00B14DE5">
        <w:t xml:space="preserve"> </w:t>
      </w:r>
      <w:r w:rsidR="00734500" w:rsidRPr="00B14DE5">
        <w:t>um</w:t>
      </w:r>
      <w:r w:rsidR="00734500">
        <w:t xml:space="preserve"> </w:t>
      </w:r>
      <w:r w:rsidR="00961F40">
        <w:t xml:space="preserve">systematische Daten </w:t>
      </w:r>
      <w:r w:rsidR="001E0AD1">
        <w:t>zu</w:t>
      </w:r>
      <w:r w:rsidR="001E0AD1" w:rsidRPr="00B14DE5">
        <w:t xml:space="preserve"> </w:t>
      </w:r>
      <w:r w:rsidR="00B24543" w:rsidRPr="00B14DE5">
        <w:t>bestehende</w:t>
      </w:r>
      <w:r w:rsidR="001E0AD1">
        <w:t>n</w:t>
      </w:r>
      <w:r w:rsidR="00B24543" w:rsidRPr="00B14DE5">
        <w:t xml:space="preserve"> Angebote</w:t>
      </w:r>
      <w:r w:rsidR="001E0AD1">
        <w:t>n</w:t>
      </w:r>
      <w:r w:rsidR="00B24543" w:rsidRPr="00B14DE5">
        <w:t xml:space="preserve"> zu erheben und Herausforderungen zu analysieren.</w:t>
      </w:r>
      <w:r w:rsidR="00BD7280">
        <w:t xml:space="preserve"> </w:t>
      </w:r>
      <w:r w:rsidR="00BD7280" w:rsidRPr="003237B7">
        <w:rPr>
          <w:color w:val="000000" w:themeColor="text1"/>
        </w:rPr>
        <w:t xml:space="preserve">Die Studie </w:t>
      </w:r>
      <w:r w:rsidR="00BD7280" w:rsidRPr="003237B7">
        <w:rPr>
          <w:color w:val="000000" w:themeColor="text1"/>
        </w:rPr>
        <w:lastRenderedPageBreak/>
        <w:t>basiert auf einer Onlinebefragung von 1018 Schulleitenden und wurde im Frühjahr 2024 umgesetzt</w:t>
      </w:r>
      <w:r w:rsidR="00C67317">
        <w:rPr>
          <w:color w:val="000000" w:themeColor="text1"/>
        </w:rPr>
        <w:t xml:space="preserve"> </w:t>
      </w:r>
      <w:r w:rsidR="00C67317" w:rsidRPr="254CDAEE">
        <w:rPr>
          <w:rFonts w:cs="Open Sans SemiCondensed"/>
        </w:rPr>
        <w:t>(Meier-Wyder et al., 2024)</w:t>
      </w:r>
      <w:r w:rsidR="00BD7280" w:rsidRPr="003237B7">
        <w:rPr>
          <w:color w:val="000000" w:themeColor="text1"/>
        </w:rPr>
        <w:t xml:space="preserve">. </w:t>
      </w:r>
      <w:r w:rsidR="003841CC">
        <w:t>In diesem Beitrag werden zentrale Ergebnisse der Studie präsentiert, wobei der</w:t>
      </w:r>
      <w:r w:rsidR="00B24543" w:rsidRPr="00B14DE5">
        <w:t xml:space="preserve"> Fokus auf </w:t>
      </w:r>
      <w:r w:rsidR="006360D7" w:rsidRPr="00B14DE5">
        <w:t>d</w:t>
      </w:r>
      <w:r w:rsidR="001B79C9">
        <w:t>er</w:t>
      </w:r>
      <w:r w:rsidR="006360D7" w:rsidRPr="00B14DE5">
        <w:t xml:space="preserve"> </w:t>
      </w:r>
      <w:r w:rsidR="00B24543" w:rsidRPr="00B14DE5">
        <w:t>Begabtenförderung</w:t>
      </w:r>
      <w:r w:rsidR="003841CC">
        <w:t xml:space="preserve"> </w:t>
      </w:r>
      <w:r w:rsidR="001B79C9">
        <w:t>liegt</w:t>
      </w:r>
      <w:r w:rsidR="00B24543" w:rsidRPr="0070215D">
        <w:t>.</w:t>
      </w:r>
    </w:p>
    <w:p w14:paraId="79D4C71A" w14:textId="3010ECDB" w:rsidR="007F730D" w:rsidRPr="0070215D" w:rsidRDefault="007F730D" w:rsidP="00463793">
      <w:pPr>
        <w:pStyle w:val="berschrift1"/>
      </w:pPr>
      <w:r w:rsidRPr="0070215D">
        <w:t>Angebotspalette in der Bega</w:t>
      </w:r>
      <w:r w:rsidR="00950A25" w:rsidRPr="0070215D">
        <w:t>b</w:t>
      </w:r>
      <w:r w:rsidRPr="0070215D">
        <w:t>tenförderung</w:t>
      </w:r>
    </w:p>
    <w:p w14:paraId="580BCCA0" w14:textId="6866CD19" w:rsidR="003F08C1" w:rsidRDefault="00950A25" w:rsidP="0093624A">
      <w:pPr>
        <w:pStyle w:val="Textkrper"/>
        <w:ind w:firstLine="0"/>
      </w:pPr>
      <w:r w:rsidRPr="35523DF6">
        <w:rPr>
          <w:color w:val="000000" w:themeColor="text1"/>
        </w:rPr>
        <w:t>Die Begabtenförderung</w:t>
      </w:r>
      <w:r>
        <w:t xml:space="preserve"> </w:t>
      </w:r>
      <w:r w:rsidR="003A6023">
        <w:t>präsentiert</w:t>
      </w:r>
      <w:r>
        <w:t xml:space="preserve"> </w:t>
      </w:r>
      <w:r w:rsidRPr="35523DF6">
        <w:rPr>
          <w:color w:val="000000" w:themeColor="text1"/>
        </w:rPr>
        <w:t xml:space="preserve">sich in der Deutschschweiz und dem Fürstentum Liechtenstein in einer breiten </w:t>
      </w:r>
      <w:r>
        <w:t>Ange</w:t>
      </w:r>
      <w:r w:rsidR="00732E49">
        <w:t>b</w:t>
      </w:r>
      <w:r>
        <w:t xml:space="preserve">otspalette. </w:t>
      </w:r>
      <w:r w:rsidR="003F08C1">
        <w:t>91</w:t>
      </w:r>
      <w:r w:rsidR="001A37E8">
        <w:t> Prozent</w:t>
      </w:r>
      <w:r w:rsidR="003F08C1">
        <w:t xml:space="preserve"> der Schulen führ</w:t>
      </w:r>
      <w:r w:rsidR="001B79C9">
        <w:t>en</w:t>
      </w:r>
      <w:r w:rsidR="003F08C1">
        <w:t xml:space="preserve"> mindestens ein Angebot der Begabtenförderung.</w:t>
      </w:r>
      <w:r w:rsidR="003470C0">
        <w:t xml:space="preserve"> </w:t>
      </w:r>
      <w:r>
        <w:t>Die Schul</w:t>
      </w:r>
      <w:r w:rsidR="003470C0">
        <w:t>leitungen</w:t>
      </w:r>
      <w:r>
        <w:t xml:space="preserve"> </w:t>
      </w:r>
      <w:r w:rsidRPr="35523DF6">
        <w:rPr>
          <w:color w:val="000000" w:themeColor="text1"/>
        </w:rPr>
        <w:t>berichten, dass Angebote im Bereich der Akzeleration</w:t>
      </w:r>
      <w:r w:rsidR="00732E49" w:rsidRPr="35523DF6">
        <w:rPr>
          <w:color w:val="000000" w:themeColor="text1"/>
        </w:rPr>
        <w:t xml:space="preserve"> (z.</w:t>
      </w:r>
      <w:r w:rsidR="00485BB4">
        <w:rPr>
          <w:color w:val="000000" w:themeColor="text1"/>
        </w:rPr>
        <w:t> </w:t>
      </w:r>
      <w:r w:rsidR="00732E49" w:rsidRPr="35523DF6">
        <w:rPr>
          <w:color w:val="000000" w:themeColor="text1"/>
        </w:rPr>
        <w:t>B. Früheinschulung, Überspringen einer Klasse, Besuch von einzelnen Fächern in höheren Klassen)</w:t>
      </w:r>
      <w:r w:rsidRPr="35523DF6">
        <w:rPr>
          <w:color w:val="000000" w:themeColor="text1"/>
        </w:rPr>
        <w:t xml:space="preserve"> sowie des </w:t>
      </w:r>
      <w:r w:rsidR="0070215D" w:rsidRPr="00463793">
        <w:rPr>
          <w:i/>
          <w:iCs/>
          <w:color w:val="000000" w:themeColor="text1"/>
        </w:rPr>
        <w:t>Enrichments</w:t>
      </w:r>
      <w:r w:rsidR="00732E49" w:rsidRPr="35523DF6">
        <w:rPr>
          <w:color w:val="000000" w:themeColor="text1"/>
        </w:rPr>
        <w:t xml:space="preserve"> </w:t>
      </w:r>
      <w:r w:rsidR="00732E49" w:rsidRPr="00373C37">
        <w:rPr>
          <w:color w:val="000000" w:themeColor="text1"/>
        </w:rPr>
        <w:t>(</w:t>
      </w:r>
      <w:r w:rsidR="0042219C">
        <w:rPr>
          <w:color w:val="000000" w:themeColor="text1"/>
        </w:rPr>
        <w:t xml:space="preserve">Verdichten </w:t>
      </w:r>
      <w:r w:rsidR="004A2626">
        <w:rPr>
          <w:color w:val="000000" w:themeColor="text1"/>
        </w:rPr>
        <w:t>d</w:t>
      </w:r>
      <w:r w:rsidR="0042219C">
        <w:rPr>
          <w:color w:val="000000" w:themeColor="text1"/>
        </w:rPr>
        <w:t>es Schulstoffs,</w:t>
      </w:r>
      <w:r w:rsidR="00732E49" w:rsidRPr="35523DF6">
        <w:rPr>
          <w:color w:val="000000" w:themeColor="text1"/>
        </w:rPr>
        <w:t xml:space="preserve"> Projektarbeit)</w:t>
      </w:r>
      <w:r w:rsidRPr="35523DF6">
        <w:rPr>
          <w:color w:val="000000" w:themeColor="text1"/>
        </w:rPr>
        <w:t xml:space="preserve"> angeboten werden</w:t>
      </w:r>
      <w:r w:rsidR="00732E49" w:rsidRPr="35523DF6">
        <w:rPr>
          <w:color w:val="000000" w:themeColor="text1"/>
        </w:rPr>
        <w:t xml:space="preserve"> (vgl. Abb</w:t>
      </w:r>
      <w:r w:rsidR="00A24D4D">
        <w:rPr>
          <w:color w:val="000000" w:themeColor="text1"/>
        </w:rPr>
        <w:t>.</w:t>
      </w:r>
      <w:r w:rsidR="00C047F4">
        <w:rPr>
          <w:color w:val="000000" w:themeColor="text1"/>
        </w:rPr>
        <w:t> </w:t>
      </w:r>
      <w:r w:rsidR="00732E49" w:rsidRPr="35523DF6">
        <w:rPr>
          <w:color w:val="000000" w:themeColor="text1"/>
        </w:rPr>
        <w:t xml:space="preserve">1). </w:t>
      </w:r>
      <w:r w:rsidR="00021561" w:rsidRPr="35523DF6">
        <w:rPr>
          <w:color w:val="000000" w:themeColor="text1"/>
        </w:rPr>
        <w:t>Eine breite Angebotspalette in der Begabtenförderung ermöglicht den Schulen</w:t>
      </w:r>
      <w:r w:rsidR="0055060F" w:rsidRPr="35523DF6">
        <w:rPr>
          <w:color w:val="000000" w:themeColor="text1"/>
        </w:rPr>
        <w:t>,</w:t>
      </w:r>
      <w:r w:rsidR="00021561" w:rsidRPr="35523DF6">
        <w:rPr>
          <w:color w:val="000000" w:themeColor="text1"/>
        </w:rPr>
        <w:t xml:space="preserve"> auf die </w:t>
      </w:r>
      <w:r w:rsidR="00FC3AC9" w:rsidRPr="35523DF6">
        <w:rPr>
          <w:color w:val="000000" w:themeColor="text1"/>
        </w:rPr>
        <w:t xml:space="preserve">spezifischen </w:t>
      </w:r>
      <w:r w:rsidR="00021561" w:rsidRPr="35523DF6">
        <w:rPr>
          <w:color w:val="000000" w:themeColor="text1"/>
        </w:rPr>
        <w:t xml:space="preserve">Bedürfnisse der Schüler:innen </w:t>
      </w:r>
      <w:r w:rsidR="00363306" w:rsidRPr="35523DF6">
        <w:rPr>
          <w:color w:val="000000" w:themeColor="text1"/>
        </w:rPr>
        <w:t>einzugehen</w:t>
      </w:r>
      <w:r w:rsidR="00021561">
        <w:t>.</w:t>
      </w:r>
      <w:r w:rsidR="003F08C1">
        <w:t xml:space="preserve"> </w:t>
      </w:r>
      <w:r w:rsidR="003470C0">
        <w:t xml:space="preserve">Dabei werden </w:t>
      </w:r>
      <w:r w:rsidR="003470C0" w:rsidRPr="00D255BF">
        <w:t xml:space="preserve">insbesondere das </w:t>
      </w:r>
      <w:r w:rsidR="00426392" w:rsidRPr="00D255BF">
        <w:rPr>
          <w:rFonts w:hint="eastAsia"/>
        </w:rPr>
        <w:t>Ü</w:t>
      </w:r>
      <w:r w:rsidR="00426392" w:rsidRPr="00D255BF">
        <w:t>bers</w:t>
      </w:r>
      <w:r w:rsidR="003470C0" w:rsidRPr="00D255BF">
        <w:t xml:space="preserve">pringen </w:t>
      </w:r>
      <w:r w:rsidR="00426392" w:rsidRPr="00D255BF">
        <w:t xml:space="preserve">einer Klasse </w:t>
      </w:r>
      <w:r w:rsidR="003470C0" w:rsidRPr="00D255BF">
        <w:t>und</w:t>
      </w:r>
      <w:r w:rsidR="003470C0">
        <w:t xml:space="preserve"> projektbasierte Arbeiten innerhalb </w:t>
      </w:r>
      <w:r w:rsidR="00232306" w:rsidRPr="35523DF6">
        <w:t>und ausserhalb</w:t>
      </w:r>
      <w:r w:rsidR="00232306" w:rsidRPr="35523DF6">
        <w:rPr>
          <w:color w:val="51A66D" w:themeColor="accent4"/>
        </w:rPr>
        <w:t xml:space="preserve"> </w:t>
      </w:r>
      <w:r w:rsidR="003470C0">
        <w:t xml:space="preserve">der Klasse </w:t>
      </w:r>
      <w:r w:rsidR="003470C0" w:rsidRPr="002E6418">
        <w:t>praktiziert.</w:t>
      </w:r>
    </w:p>
    <w:p w14:paraId="5EBE756B" w14:textId="676E9BE5" w:rsidR="00985165" w:rsidRDefault="00985165" w:rsidP="00985165">
      <w:pPr>
        <w:pStyle w:val="AbbildungBeschriftung"/>
        <w:rPr>
          <w:lang w:val="de-CH"/>
        </w:rPr>
      </w:pPr>
      <w:r w:rsidRPr="00732E49">
        <w:rPr>
          <w:lang w:val="de-CH"/>
        </w:rPr>
        <w:t>Abbildung 1: Angebote in</w:t>
      </w:r>
      <w:r>
        <w:rPr>
          <w:lang w:val="de-CH"/>
        </w:rPr>
        <w:t xml:space="preserve"> der Begabtenförderung</w:t>
      </w:r>
      <w:r w:rsidR="00166A34">
        <w:rPr>
          <w:lang w:val="de-CH"/>
        </w:rPr>
        <w:t xml:space="preserve"> (Meier-Wyder et al., 2024, S. 18)</w:t>
      </w:r>
    </w:p>
    <w:p w14:paraId="4D6DBEF9" w14:textId="2D21C416" w:rsidR="00FD6C0C" w:rsidRDefault="001B0DB1" w:rsidP="00985165">
      <w:pPr>
        <w:pStyle w:val="AbbildungBeschriftung"/>
        <w:rPr>
          <w:lang w:val="de-CH"/>
        </w:rPr>
      </w:pPr>
      <w:r>
        <w:rPr>
          <w:noProof/>
        </w:rPr>
        <w:drawing>
          <wp:inline distT="0" distB="0" distL="0" distR="0" wp14:anchorId="2D0C5045" wp14:editId="1FD9A70B">
            <wp:extent cx="5899150" cy="3037840"/>
            <wp:effectExtent l="0" t="0" r="6350" b="10160"/>
            <wp:docPr id="56693586" name="Diagramm 1">
              <a:extLst xmlns:a="http://schemas.openxmlformats.org/drawingml/2006/main">
                <a:ext uri="{FF2B5EF4-FFF2-40B4-BE49-F238E27FC236}">
                  <a16:creationId xmlns:a16="http://schemas.microsoft.com/office/drawing/2014/main" id="{B2248E4F-A197-113A-EA8A-46FF6D222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3D0A21" w14:textId="544B1037" w:rsidR="003470C0" w:rsidRPr="00122A4A" w:rsidRDefault="003237B7" w:rsidP="00721676">
      <w:pPr>
        <w:pStyle w:val="Textkrper"/>
        <w:ind w:firstLine="0"/>
      </w:pPr>
      <w:r w:rsidRPr="00956FA7">
        <w:t xml:space="preserve">Wie aus der Abbildung 1 </w:t>
      </w:r>
      <w:r w:rsidR="00516F3D" w:rsidRPr="00956FA7">
        <w:t>hervorgeht,</w:t>
      </w:r>
      <w:r w:rsidRPr="00956FA7">
        <w:t xml:space="preserve"> werden die beiden Massnahmen </w:t>
      </w:r>
      <w:r w:rsidRPr="00DB252C">
        <w:rPr>
          <w:i/>
          <w:iCs/>
        </w:rPr>
        <w:t>Überspringen einer Klasse</w:t>
      </w:r>
      <w:r w:rsidRPr="00956FA7">
        <w:t xml:space="preserve"> </w:t>
      </w:r>
      <w:r w:rsidR="00516F3D" w:rsidRPr="00956FA7">
        <w:t>(72</w:t>
      </w:r>
      <w:r w:rsidR="002C57E9">
        <w:t> </w:t>
      </w:r>
      <w:r w:rsidR="00516F3D" w:rsidRPr="00956FA7">
        <w:t xml:space="preserve">%) </w:t>
      </w:r>
      <w:r w:rsidRPr="00956FA7">
        <w:t xml:space="preserve">und </w:t>
      </w:r>
      <w:r w:rsidRPr="00DB252C">
        <w:rPr>
          <w:i/>
          <w:iCs/>
        </w:rPr>
        <w:t>Projektarbeiten während der Unterrichtszeit innerhalb der Klasse</w:t>
      </w:r>
      <w:r w:rsidRPr="00956FA7">
        <w:t xml:space="preserve"> </w:t>
      </w:r>
      <w:r w:rsidR="00516F3D" w:rsidRPr="00956FA7">
        <w:t>(73</w:t>
      </w:r>
      <w:r w:rsidR="002C57E9">
        <w:t> </w:t>
      </w:r>
      <w:r w:rsidR="00516F3D" w:rsidRPr="00956FA7">
        <w:t xml:space="preserve">%) </w:t>
      </w:r>
      <w:r w:rsidRPr="00956FA7">
        <w:t>besonders häufig umgesetzt</w:t>
      </w:r>
      <w:r w:rsidR="00985165">
        <w:t xml:space="preserve">. </w:t>
      </w:r>
      <w:r w:rsidR="006A30AE">
        <w:t>R</w:t>
      </w:r>
      <w:r w:rsidR="00516F3D" w:rsidRPr="003E17C5">
        <w:t xml:space="preserve">und ein Drittel der Schulleitenden </w:t>
      </w:r>
      <w:r w:rsidR="006A30AE">
        <w:t>bewerte</w:t>
      </w:r>
      <w:r w:rsidR="001A5D96">
        <w:t>t</w:t>
      </w:r>
      <w:r w:rsidR="006A30AE">
        <w:t xml:space="preserve"> </w:t>
      </w:r>
      <w:r w:rsidR="00A15C89" w:rsidRPr="7EB305D6">
        <w:t xml:space="preserve">die </w:t>
      </w:r>
      <w:r w:rsidR="00516F3D" w:rsidRPr="003E17C5">
        <w:t xml:space="preserve">Projektarbeiten im Unterricht als Massnahme, </w:t>
      </w:r>
      <w:r w:rsidR="006A30AE">
        <w:t>die</w:t>
      </w:r>
      <w:r w:rsidR="006A30AE" w:rsidRPr="003E17C5">
        <w:t xml:space="preserve"> </w:t>
      </w:r>
      <w:r w:rsidR="00516F3D" w:rsidRPr="003E17C5">
        <w:t>sich sehr bewährt</w:t>
      </w:r>
      <w:r w:rsidR="006A30AE">
        <w:t>. D</w:t>
      </w:r>
      <w:r w:rsidR="00516F3D" w:rsidRPr="003E17C5">
        <w:t>ie Ergebnisse</w:t>
      </w:r>
      <w:r w:rsidR="00722108">
        <w:t xml:space="preserve"> zeigen aber auch</w:t>
      </w:r>
      <w:r w:rsidR="00516F3D" w:rsidRPr="003E17C5">
        <w:t xml:space="preserve">, dass </w:t>
      </w:r>
      <w:r w:rsidR="0079496D" w:rsidRPr="003E17C5">
        <w:t xml:space="preserve">das Überspringen einer Klasse in der Deutschschweiz und </w:t>
      </w:r>
      <w:r w:rsidR="0070215D">
        <w:t xml:space="preserve">dem Fürstentum </w:t>
      </w:r>
      <w:r w:rsidR="0079496D" w:rsidRPr="003E17C5">
        <w:t xml:space="preserve">Liechtenstein </w:t>
      </w:r>
      <w:r w:rsidRPr="003E17C5">
        <w:t xml:space="preserve">für kognitiv besonders starke Schüler:innen </w:t>
      </w:r>
      <w:r w:rsidR="00752CEB" w:rsidRPr="7EB305D6">
        <w:t xml:space="preserve">im Vergleich zu anderen Massnahmen </w:t>
      </w:r>
      <w:r w:rsidR="00752CEB">
        <w:t xml:space="preserve">deutlich </w:t>
      </w:r>
      <w:r w:rsidR="0079496D" w:rsidRPr="003E17C5">
        <w:t xml:space="preserve">kritischer </w:t>
      </w:r>
      <w:r w:rsidR="00516F3D" w:rsidRPr="003E17C5">
        <w:t>bewertet wird</w:t>
      </w:r>
      <w:r w:rsidR="006C498B">
        <w:t>:</w:t>
      </w:r>
      <w:r w:rsidR="0079496D" w:rsidRPr="006B38B5">
        <w:t xml:space="preserve"> Nur 14</w:t>
      </w:r>
      <w:r w:rsidR="00826F68">
        <w:t> </w:t>
      </w:r>
      <w:r w:rsidR="009239AF">
        <w:t>Prozent</w:t>
      </w:r>
      <w:r w:rsidR="0079496D" w:rsidRPr="006B38B5">
        <w:t xml:space="preserve"> </w:t>
      </w:r>
      <w:r w:rsidR="0079496D" w:rsidRPr="00122A4A">
        <w:t xml:space="preserve">halten </w:t>
      </w:r>
      <w:r w:rsidR="00233C1E" w:rsidRPr="00122A4A">
        <w:t>die Massnahme</w:t>
      </w:r>
      <w:r w:rsidR="0079496D" w:rsidRPr="00122A4A">
        <w:t xml:space="preserve"> für </w:t>
      </w:r>
      <w:r w:rsidR="00826F68" w:rsidRPr="00122A4A">
        <w:t>«</w:t>
      </w:r>
      <w:r w:rsidR="0079496D" w:rsidRPr="00122A4A">
        <w:t>sehr bewährt</w:t>
      </w:r>
      <w:r w:rsidR="00826F68" w:rsidRPr="00122A4A">
        <w:t>»</w:t>
      </w:r>
      <w:r w:rsidR="0079496D" w:rsidRPr="00122A4A">
        <w:t xml:space="preserve">. </w:t>
      </w:r>
      <w:r w:rsidR="003470C0" w:rsidRPr="00122A4A">
        <w:t xml:space="preserve">Diese Skepsis deckt sich mit früheren Studien: Lehrpersonen stehen dem </w:t>
      </w:r>
      <w:r w:rsidR="00233C1E" w:rsidRPr="00122A4A">
        <w:rPr>
          <w:rFonts w:hint="eastAsia"/>
        </w:rPr>
        <w:t>Ü</w:t>
      </w:r>
      <w:r w:rsidR="00233C1E" w:rsidRPr="00122A4A">
        <w:t xml:space="preserve">berspringen einer Klasse </w:t>
      </w:r>
      <w:r w:rsidR="003470C0" w:rsidRPr="00122A4A">
        <w:t xml:space="preserve">zurückhaltender gegenüber als anderen Fördermassnahmen (Preckel &amp; Vock, 2021), obwohl </w:t>
      </w:r>
      <w:r w:rsidR="00F41C47">
        <w:t>dies</w:t>
      </w:r>
      <w:r w:rsidR="003470C0" w:rsidRPr="00122A4A">
        <w:t xml:space="preserve"> laut Forschung eine effektive Fördermassnahme </w:t>
      </w:r>
      <w:r w:rsidR="008A6D27" w:rsidRPr="00122A4A">
        <w:t xml:space="preserve">ist </w:t>
      </w:r>
      <w:r w:rsidR="003470C0" w:rsidRPr="00122A4A">
        <w:t>(z.</w:t>
      </w:r>
      <w:r w:rsidR="00D500D2" w:rsidRPr="00122A4A">
        <w:t> </w:t>
      </w:r>
      <w:r w:rsidR="003470C0" w:rsidRPr="00122A4A">
        <w:t xml:space="preserve">B. </w:t>
      </w:r>
      <w:r w:rsidR="00474275" w:rsidRPr="00122A4A">
        <w:t xml:space="preserve">ebd.; </w:t>
      </w:r>
      <w:r w:rsidR="003470C0" w:rsidRPr="00122A4A">
        <w:t>Heinbokel, 2012)</w:t>
      </w:r>
      <w:r w:rsidR="00516F3D" w:rsidRPr="00122A4A">
        <w:t>.</w:t>
      </w:r>
    </w:p>
    <w:p w14:paraId="2FB12AE7" w14:textId="705EDF50" w:rsidR="0079496D" w:rsidRPr="00122A4A" w:rsidRDefault="0079496D" w:rsidP="00FA0683">
      <w:pPr>
        <w:pStyle w:val="Textkrper"/>
      </w:pPr>
      <w:r w:rsidRPr="00122A4A">
        <w:t>Schulen</w:t>
      </w:r>
      <w:r w:rsidR="00C133CB" w:rsidRPr="00122A4A">
        <w:t>, die</w:t>
      </w:r>
      <w:r w:rsidRPr="00122A4A">
        <w:t xml:space="preserve"> </w:t>
      </w:r>
      <w:r w:rsidR="009A7061" w:rsidRPr="00122A4A">
        <w:t xml:space="preserve">das </w:t>
      </w:r>
      <w:r w:rsidR="00B23E15" w:rsidRPr="00122A4A">
        <w:rPr>
          <w:rFonts w:hint="eastAsia"/>
        </w:rPr>
        <w:t>Ü</w:t>
      </w:r>
      <w:r w:rsidR="00B23E15" w:rsidRPr="00122A4A">
        <w:t xml:space="preserve">berspringen einer Klasse </w:t>
      </w:r>
      <w:r w:rsidR="00C133CB" w:rsidRPr="00122A4A">
        <w:t xml:space="preserve">nicht </w:t>
      </w:r>
      <w:r w:rsidR="00750F02" w:rsidRPr="00122A4A">
        <w:t>anbieten</w:t>
      </w:r>
      <w:r w:rsidR="00C133CB" w:rsidRPr="00122A4A">
        <w:t>,</w:t>
      </w:r>
      <w:r w:rsidRPr="00122A4A">
        <w:t xml:space="preserve"> nennen als Gründe </w:t>
      </w:r>
      <w:r w:rsidR="00C133CB" w:rsidRPr="00122A4A">
        <w:t xml:space="preserve">dafür </w:t>
      </w:r>
      <w:r w:rsidRPr="00122A4A">
        <w:t xml:space="preserve">fehlenden Bedarf, bessere Alternativen oder negative Erfahrungen. </w:t>
      </w:r>
      <w:r w:rsidR="00C516CA" w:rsidRPr="00122A4A">
        <w:t>Ein erfolgreiche</w:t>
      </w:r>
      <w:r w:rsidR="00040FD2" w:rsidRPr="00122A4A">
        <w:t>s</w:t>
      </w:r>
      <w:r w:rsidR="00C516CA" w:rsidRPr="00122A4A">
        <w:t xml:space="preserve"> </w:t>
      </w:r>
      <w:r w:rsidR="00040FD2" w:rsidRPr="00122A4A">
        <w:rPr>
          <w:rFonts w:hint="eastAsia"/>
        </w:rPr>
        <w:t>Ü</w:t>
      </w:r>
      <w:r w:rsidR="00040FD2" w:rsidRPr="00122A4A">
        <w:t xml:space="preserve">berspringen einer Klasse </w:t>
      </w:r>
      <w:r w:rsidR="00C516CA" w:rsidRPr="00122A4A">
        <w:t xml:space="preserve">erfordert sowohl eine sorgfältige Vorbereitung als auch eine gezielte Begleitung (Preckel &amp; Vock, 2021; Vock, 2021). </w:t>
      </w:r>
      <w:r w:rsidR="001B2174">
        <w:t>E</w:t>
      </w:r>
      <w:r w:rsidR="00713ECB" w:rsidRPr="00122A4A">
        <w:t>ntscheidende Faktoren für das Gelingen eines solchen Übergangs</w:t>
      </w:r>
      <w:r w:rsidR="00F41C47">
        <w:t xml:space="preserve"> sind n</w:t>
      </w:r>
      <w:r w:rsidR="00F41C47" w:rsidRPr="00122A4A">
        <w:t>eben den kognitiven Fähigkeiten der Schüler:innen zudem soziale, körperliche und emotionale Reife sowie die Haltung aller Beteiligten</w:t>
      </w:r>
      <w:r w:rsidR="00713ECB" w:rsidRPr="00122A4A">
        <w:t xml:space="preserve"> (ÖZBF, 2022; Preckel &amp; Vock, 2021).</w:t>
      </w:r>
    </w:p>
    <w:p w14:paraId="08EB6F34" w14:textId="6C170394" w:rsidR="001D6F6C" w:rsidRDefault="0079496D" w:rsidP="00DB252C">
      <w:pPr>
        <w:pStyle w:val="Textkrper"/>
        <w:ind w:firstLine="0"/>
      </w:pPr>
      <w:r w:rsidRPr="00122A4A">
        <w:t>Die Studie zeigt</w:t>
      </w:r>
      <w:r w:rsidR="00A65751" w:rsidRPr="00122A4A">
        <w:t xml:space="preserve"> zudem</w:t>
      </w:r>
      <w:r w:rsidRPr="00122A4A">
        <w:t xml:space="preserve">, dass </w:t>
      </w:r>
      <w:r w:rsidR="00BF5DB9" w:rsidRPr="00122A4A">
        <w:t xml:space="preserve">beim </w:t>
      </w:r>
      <w:r w:rsidR="00E41D16" w:rsidRPr="00122A4A">
        <w:rPr>
          <w:rFonts w:hint="eastAsia"/>
        </w:rPr>
        <w:t>Ü</w:t>
      </w:r>
      <w:r w:rsidR="00E41D16" w:rsidRPr="00122A4A">
        <w:t xml:space="preserve">berspringen einer Klasse </w:t>
      </w:r>
      <w:r w:rsidRPr="00122A4A">
        <w:t>Entscheidungsprozesse</w:t>
      </w:r>
      <w:r w:rsidR="00FE2E45">
        <w:t xml:space="preserve"> </w:t>
      </w:r>
      <w:r w:rsidR="0094528C" w:rsidRPr="00D76C95">
        <w:t xml:space="preserve">oft nicht </w:t>
      </w:r>
      <w:r w:rsidR="0094528C" w:rsidRPr="006B38B5">
        <w:t xml:space="preserve">klar geregelt sind </w:t>
      </w:r>
      <w:r w:rsidRPr="006B38B5">
        <w:t xml:space="preserve">und Fachexpertise </w:t>
      </w:r>
      <w:r w:rsidR="0094528C">
        <w:t>fehlt</w:t>
      </w:r>
      <w:r w:rsidRPr="006B38B5">
        <w:t>. Am häufigsten involviert sind Schulleitungen (92</w:t>
      </w:r>
      <w:r w:rsidR="008B3830">
        <w:t> </w:t>
      </w:r>
      <w:r w:rsidRPr="006B38B5">
        <w:t>%), Klassenlehrpersonen (65</w:t>
      </w:r>
      <w:r w:rsidR="008B3830">
        <w:t> </w:t>
      </w:r>
      <w:r w:rsidRPr="006B38B5">
        <w:t xml:space="preserve">%) und der </w:t>
      </w:r>
      <w:r w:rsidRPr="006B38B5">
        <w:lastRenderedPageBreak/>
        <w:t xml:space="preserve">Schulpsychologische </w:t>
      </w:r>
      <w:r w:rsidRPr="00682BCD">
        <w:t>Dienst (57</w:t>
      </w:r>
      <w:r w:rsidR="008B3830" w:rsidRPr="00682BCD">
        <w:t> </w:t>
      </w:r>
      <w:r w:rsidRPr="00682BCD">
        <w:t>%). Schulische Heilpädagog:innen (48</w:t>
      </w:r>
      <w:r w:rsidR="008B3830">
        <w:t> </w:t>
      </w:r>
      <w:r w:rsidRPr="006B38B5">
        <w:t>%) sowie Fachlehrpersonen für Begabtenförderung</w:t>
      </w:r>
      <w:r w:rsidR="00FE2E45">
        <w:rPr>
          <w:rStyle w:val="Funotenzeichen"/>
        </w:rPr>
        <w:footnoteReference w:id="2"/>
      </w:r>
      <w:r w:rsidRPr="006B38B5">
        <w:t xml:space="preserve"> (17</w:t>
      </w:r>
      <w:r w:rsidR="008B3830">
        <w:t> </w:t>
      </w:r>
      <w:r w:rsidRPr="006B38B5">
        <w:t>%) sind seltener eingebunden. Dies wirft die Frage auf, ob Schulleitungen</w:t>
      </w:r>
      <w:r w:rsidR="00E765DB">
        <w:t xml:space="preserve"> und Lehrpersonen</w:t>
      </w:r>
      <w:r w:rsidRPr="006B38B5">
        <w:t xml:space="preserve"> über ausreichendes Fachwissen verfügen, um Schüler:innen und Eltern kompetent zu beraten und den Prozess zu begleiten. Mangelnde Expertise könnte</w:t>
      </w:r>
      <w:r w:rsidR="00623746">
        <w:t xml:space="preserve"> nämlich</w:t>
      </w:r>
      <w:r w:rsidRPr="006B38B5">
        <w:t xml:space="preserve"> zu einer kritischeren Bewertung der Ma</w:t>
      </w:r>
      <w:r w:rsidR="00430242">
        <w:t>ss</w:t>
      </w:r>
      <w:r w:rsidRPr="006B38B5">
        <w:t>nahme führen (Vock et al., 2014).</w:t>
      </w:r>
    </w:p>
    <w:p w14:paraId="66C750C0" w14:textId="77777777" w:rsidR="00961F40" w:rsidRPr="0031469A" w:rsidRDefault="00961F40" w:rsidP="00961F40">
      <w:pPr>
        <w:pStyle w:val="berschrift1"/>
      </w:pPr>
      <w:r w:rsidRPr="0031469A">
        <w:t>Lücken im System: Wo bleibt das Fachwissen?</w:t>
      </w:r>
    </w:p>
    <w:p w14:paraId="03D428F7" w14:textId="3D5FEBC6" w:rsidR="00980568" w:rsidRPr="00E34931" w:rsidRDefault="002804B8" w:rsidP="0042013D">
      <w:pPr>
        <w:pStyle w:val="Textkrper"/>
        <w:ind w:firstLine="0"/>
        <w:rPr>
          <w:rStyle w:val="Hervorhebung"/>
          <w:rFonts w:cs="Open Sans SemiCondensed"/>
          <w:i w:val="0"/>
          <w:iCs w:val="0"/>
        </w:rPr>
      </w:pPr>
      <w:r w:rsidRPr="00D02579">
        <w:rPr>
          <w:noProof/>
        </w:rPr>
        <mc:AlternateContent>
          <mc:Choice Requires="wps">
            <w:drawing>
              <wp:anchor distT="45720" distB="45720" distL="46990" distR="46990" simplePos="0" relativeHeight="251658240" behindDoc="0" locked="0" layoutInCell="1" allowOverlap="0" wp14:anchorId="301CBAB1" wp14:editId="20D70F0C">
                <wp:simplePos x="0" y="0"/>
                <wp:positionH relativeFrom="page">
                  <wp:posOffset>17145</wp:posOffset>
                </wp:positionH>
                <wp:positionV relativeFrom="paragraph">
                  <wp:posOffset>1289978</wp:posOffset>
                </wp:positionV>
                <wp:extent cx="4525010" cy="499745"/>
                <wp:effectExtent l="0" t="0" r="0" b="0"/>
                <wp:wrapTopAndBottom/>
                <wp:docPr id="2000878326" name="Textfeld 2000878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010" cy="499745"/>
                        </a:xfrm>
                        <a:prstGeom prst="rect">
                          <a:avLst/>
                        </a:prstGeom>
                        <a:noFill/>
                        <a:ln w="9525">
                          <a:noFill/>
                          <a:miter lim="800000"/>
                          <a:headEnd/>
                          <a:tailEnd/>
                        </a:ln>
                      </wps:spPr>
                      <wps:txbx>
                        <w:txbxContent>
                          <w:p w14:paraId="60FDF0B8" w14:textId="32BCFD88" w:rsidR="00D2674E" w:rsidRPr="00703209" w:rsidRDefault="00D2674E" w:rsidP="00D2674E">
                            <w:pPr>
                              <w:pStyle w:val="Hervorhebung1"/>
                            </w:pPr>
                            <w:r w:rsidRPr="006E335B">
                              <w:t>In der Ausbildung von Schulischen Heilpädagog:innen bleibt</w:t>
                            </w:r>
                            <w:r w:rsidR="00776B56">
                              <w:t xml:space="preserve"> </w:t>
                            </w:r>
                            <w:r w:rsidRPr="006E335B">
                              <w:t xml:space="preserve">Hochbegabung oft </w:t>
                            </w:r>
                            <w:r w:rsidR="00E34799" w:rsidRPr="006E335B">
                              <w:rPr>
                                <w:rFonts w:cs="Open Sans SemiCondensed"/>
                              </w:rPr>
                              <w:t>‹</w:t>
                            </w:r>
                            <w:r w:rsidRPr="006E335B">
                              <w:t>eine Randnotiz</w:t>
                            </w:r>
                            <w:r w:rsidR="00E34799" w:rsidRPr="006E335B">
                              <w:rPr>
                                <w:rFonts w:cs="Open Sans SemiCondensed"/>
                              </w:rPr>
                              <w:t>›</w:t>
                            </w:r>
                            <w:r w:rsidRPr="006E335B">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CBAB1" id="_x0000_t202" coordsize="21600,21600" o:spt="202" path="m,l,21600r21600,l21600,xe">
                <v:stroke joinstyle="miter"/>
                <v:path gradientshapeok="t" o:connecttype="rect"/>
              </v:shapetype>
              <v:shape id="Textfeld 2000878326" o:spid="_x0000_s1026" type="#_x0000_t202" alt="&quot;&quot;" style="position:absolute;left:0;text-align:left;margin-left:1.35pt;margin-top:101.55pt;width:356.3pt;height:39.3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" o:allowoverlap="f" filled="f" stroked="f">
                <v:textbox inset="29mm,,2.5mm">
                  <w:txbxContent>
                    <w:p w14:paraId="60FDF0B8" w14:textId="32BCFD88" w:rsidR="00D2674E" w:rsidRPr="00703209" w:rsidRDefault="00D2674E" w:rsidP="00D2674E">
                      <w:pPr>
                        <w:pStyle w:val="Hervorhebung1"/>
                      </w:pPr>
                      <w:r w:rsidRPr="006E335B">
                        <w:t>In der Ausbildung von Schulischen Heilpädagog:innen bleibt</w:t>
                      </w:r>
                      <w:r w:rsidR="00776B56">
                        <w:t xml:space="preserve"> </w:t>
                      </w:r>
                      <w:r w:rsidRPr="006E335B">
                        <w:t xml:space="preserve">Hochbegabung oft </w:t>
                      </w:r>
                      <w:r w:rsidR="00E34799" w:rsidRPr="006E335B">
                        <w:rPr>
                          <w:rFonts w:cs="Open Sans SemiCondensed"/>
                        </w:rPr>
                        <w:t>‹</w:t>
                      </w:r>
                      <w:r w:rsidRPr="006E335B">
                        <w:t>eine Randnotiz</w:t>
                      </w:r>
                      <w:r w:rsidR="00E34799" w:rsidRPr="006E335B">
                        <w:rPr>
                          <w:rFonts w:cs="Open Sans SemiCondensed"/>
                        </w:rPr>
                        <w:t>›</w:t>
                      </w:r>
                      <w:r w:rsidRPr="006E335B">
                        <w:t>.</w:t>
                      </w:r>
                    </w:p>
                  </w:txbxContent>
                </v:textbox>
                <w10:wrap type="topAndBottom" anchorx="page"/>
              </v:shape>
            </w:pict>
          </mc:Fallback>
        </mc:AlternateContent>
      </w:r>
      <w:r w:rsidR="003470C0" w:rsidRPr="0031469A">
        <w:t>Di</w:t>
      </w:r>
      <w:r w:rsidR="003470C0" w:rsidRPr="0031469A">
        <w:rPr>
          <w:color w:val="000000" w:themeColor="text1"/>
        </w:rPr>
        <w:t>e Ergebnisse der Studie zeigen, dass in 54</w:t>
      </w:r>
      <w:r w:rsidR="00492CC9">
        <w:rPr>
          <w:color w:val="000000" w:themeColor="text1"/>
        </w:rPr>
        <w:t> Prozent</w:t>
      </w:r>
      <w:r w:rsidR="003470C0" w:rsidRPr="0031469A">
        <w:rPr>
          <w:color w:val="000000" w:themeColor="text1"/>
        </w:rPr>
        <w:t xml:space="preserve"> der Schulen explizite Förderziele für leistungsstarke Schüler:innen </w:t>
      </w:r>
      <w:r w:rsidR="003470C0" w:rsidRPr="00457BCD">
        <w:t xml:space="preserve">definiert </w:t>
      </w:r>
      <w:r w:rsidR="003470C0" w:rsidRPr="00FB7E04">
        <w:t>werden. In 68</w:t>
      </w:r>
      <w:r w:rsidR="00E06F57" w:rsidRPr="00FB7E04">
        <w:t> Prozent</w:t>
      </w:r>
      <w:r w:rsidR="003470C0" w:rsidRPr="00FB7E04">
        <w:t xml:space="preserve"> sind</w:t>
      </w:r>
      <w:r w:rsidR="00DF2A27" w:rsidRPr="00FB7E04">
        <w:t xml:space="preserve"> </w:t>
      </w:r>
      <w:r w:rsidR="005372FC" w:rsidRPr="00FB7E04">
        <w:t xml:space="preserve">die SHP </w:t>
      </w:r>
      <w:r w:rsidR="003470C0" w:rsidRPr="00FB7E04">
        <w:t>verantwortlich oder involviert</w:t>
      </w:r>
      <w:r w:rsidR="00D76C95" w:rsidRPr="00FB7E04">
        <w:t>,</w:t>
      </w:r>
      <w:r w:rsidR="003470C0" w:rsidRPr="00FB7E04">
        <w:t xml:space="preserve"> um </w:t>
      </w:r>
      <w:r w:rsidR="002A42D1" w:rsidRPr="00FB7E04">
        <w:t xml:space="preserve">diese Ziele </w:t>
      </w:r>
      <w:r w:rsidR="003470C0" w:rsidRPr="00FB7E04">
        <w:t xml:space="preserve">festzulegen. </w:t>
      </w:r>
      <w:r w:rsidR="00961F40" w:rsidRPr="00FB7E04">
        <w:t xml:space="preserve">Die Ausbildung von </w:t>
      </w:r>
      <w:r w:rsidR="00DF2A27" w:rsidRPr="00FB7E04">
        <w:t xml:space="preserve">Schulischen </w:t>
      </w:r>
      <w:r w:rsidR="008F7B64" w:rsidRPr="00FB7E04">
        <w:t>Heil</w:t>
      </w:r>
      <w:r w:rsidR="00961F40" w:rsidRPr="00FB7E04">
        <w:t xml:space="preserve">pädagog:innen fokussiert traditionell auf die Unterstützung von Schüler:innen mit Lernschwierigkeiten. Hochbegabung hingegen bleibt oft </w:t>
      </w:r>
      <w:r w:rsidR="00F53EB2" w:rsidRPr="00FB7E04">
        <w:rPr>
          <w:rFonts w:cs="Open Sans SemiCondensed"/>
        </w:rPr>
        <w:t>‹</w:t>
      </w:r>
      <w:r w:rsidR="00961F40" w:rsidRPr="00FB7E04">
        <w:t>eine Randnotiz</w:t>
      </w:r>
      <w:r w:rsidR="00F53EB2" w:rsidRPr="00FB7E04">
        <w:rPr>
          <w:rFonts w:cs="Open Sans SemiCondensed"/>
        </w:rPr>
        <w:t>›</w:t>
      </w:r>
      <w:r w:rsidR="00961F40" w:rsidRPr="00FB7E04">
        <w:t xml:space="preserve">. Dies führt in der Praxis zu Unsicherheiten und mangelnder Expertise, wenn es darum geht, für </w:t>
      </w:r>
      <w:r w:rsidR="00127A1D" w:rsidRPr="00FB7E04">
        <w:t>(</w:t>
      </w:r>
      <w:r w:rsidR="00306E8E" w:rsidRPr="00FB7E04">
        <w:t>hoch</w:t>
      </w:r>
      <w:r w:rsidR="00B32441" w:rsidRPr="00FB7E04">
        <w:t>-</w:t>
      </w:r>
      <w:r w:rsidR="00127A1D" w:rsidRPr="00FB7E04">
        <w:t>)</w:t>
      </w:r>
      <w:r w:rsidR="00961F40" w:rsidRPr="00FB7E04">
        <w:t xml:space="preserve">begabte Kinder passgenaue </w:t>
      </w:r>
      <w:r w:rsidR="00961F40" w:rsidRPr="00FB7E04">
        <w:rPr>
          <w:color w:val="000000" w:themeColor="text1"/>
        </w:rPr>
        <w:t>Massnahmen zu entwickeln</w:t>
      </w:r>
      <w:r w:rsidR="009429B2" w:rsidRPr="00FB7E04">
        <w:rPr>
          <w:color w:val="000000" w:themeColor="text1"/>
        </w:rPr>
        <w:t xml:space="preserve"> </w:t>
      </w:r>
      <w:r w:rsidR="00457BCD" w:rsidRPr="00FB7E04">
        <w:rPr>
          <w:rFonts w:cs="Open Sans SemiCondensed"/>
          <w:color w:val="000000" w:themeColor="text1"/>
        </w:rPr>
        <w:t>b</w:t>
      </w:r>
      <w:r w:rsidR="002959FB" w:rsidRPr="00FB7E04">
        <w:rPr>
          <w:rFonts w:cs="Open Sans SemiCondensed"/>
          <w:color w:val="000000" w:themeColor="text1"/>
        </w:rPr>
        <w:t>eziehungsweise</w:t>
      </w:r>
      <w:r w:rsidR="00457BCD" w:rsidRPr="00FB7E04">
        <w:rPr>
          <w:rFonts w:cs="Open Sans SemiCondensed"/>
          <w:color w:val="000000" w:themeColor="text1"/>
        </w:rPr>
        <w:t xml:space="preserve"> Förderziele zu definieren</w:t>
      </w:r>
      <w:r w:rsidR="000B5154" w:rsidRPr="00FB7E04">
        <w:rPr>
          <w:color w:val="000000" w:themeColor="text1"/>
        </w:rPr>
        <w:t xml:space="preserve"> </w:t>
      </w:r>
      <w:r w:rsidR="000B5154" w:rsidRPr="00FB7E04">
        <w:rPr>
          <w:rFonts w:cs="Open Sans SemiCondensed"/>
          <w:color w:val="000000" w:themeColor="text1"/>
        </w:rPr>
        <w:t xml:space="preserve">(Fischer &amp; Fischer-Ontrup, 2022; Reintjes et al., </w:t>
      </w:r>
      <w:r w:rsidR="000B5154" w:rsidRPr="00FB7E04">
        <w:rPr>
          <w:rFonts w:cs="Open Sans SemiCondensed"/>
        </w:rPr>
        <w:t>2019).</w:t>
      </w:r>
    </w:p>
    <w:p w14:paraId="6C12C928" w14:textId="670AF858" w:rsidR="003470C0" w:rsidRPr="000B5154" w:rsidRDefault="003470C0" w:rsidP="0042013D">
      <w:pPr>
        <w:pStyle w:val="Textkrper"/>
        <w:ind w:firstLine="0"/>
        <w:rPr>
          <w:color w:val="000000" w:themeColor="text1"/>
        </w:rPr>
      </w:pPr>
      <w:r w:rsidRPr="0028148C">
        <w:t xml:space="preserve">Weitere Ergebnisse der Studie zeigen, dass Jungen in </w:t>
      </w:r>
      <w:r w:rsidR="003248AF">
        <w:t>A</w:t>
      </w:r>
      <w:r w:rsidR="003248AF" w:rsidRPr="0028148C">
        <w:t>ngeboten</w:t>
      </w:r>
      <w:r w:rsidR="003248AF">
        <w:t xml:space="preserve"> der </w:t>
      </w:r>
      <w:r w:rsidRPr="0028148C">
        <w:t>Begabtenförder</w:t>
      </w:r>
      <w:r w:rsidR="003248AF">
        <w:t>ung</w:t>
      </w:r>
      <w:r w:rsidRPr="0028148C">
        <w:t xml:space="preserve"> signifikant häufiger vertreten sind</w:t>
      </w:r>
      <w:r w:rsidR="00457BCD" w:rsidRPr="0028148C">
        <w:t xml:space="preserve"> </w:t>
      </w:r>
      <w:r w:rsidR="00457BCD" w:rsidRPr="000B5154">
        <w:rPr>
          <w:color w:val="000000" w:themeColor="text1"/>
        </w:rPr>
        <w:t xml:space="preserve">– insbesondere </w:t>
      </w:r>
      <w:r w:rsidR="0066009A">
        <w:rPr>
          <w:color w:val="000000" w:themeColor="text1"/>
        </w:rPr>
        <w:t>in</w:t>
      </w:r>
      <w:r w:rsidR="0066009A" w:rsidRPr="000B5154">
        <w:rPr>
          <w:color w:val="000000" w:themeColor="text1"/>
        </w:rPr>
        <w:t xml:space="preserve"> </w:t>
      </w:r>
      <w:r w:rsidR="00457BCD" w:rsidRPr="000B5154">
        <w:rPr>
          <w:color w:val="000000" w:themeColor="text1"/>
        </w:rPr>
        <w:t>den Angeboten Dispensation</w:t>
      </w:r>
      <w:r w:rsidR="00457BCD" w:rsidRPr="00682BCD">
        <w:rPr>
          <w:color w:val="000000" w:themeColor="text1"/>
        </w:rPr>
        <w:t xml:space="preserve">, </w:t>
      </w:r>
      <w:r w:rsidR="00AA715E" w:rsidRPr="00682BCD">
        <w:rPr>
          <w:rFonts w:hint="eastAsia"/>
          <w:color w:val="000000" w:themeColor="text1"/>
        </w:rPr>
        <w:t>Ü</w:t>
      </w:r>
      <w:r w:rsidR="00AA715E" w:rsidRPr="00682BCD">
        <w:rPr>
          <w:color w:val="000000" w:themeColor="text1"/>
        </w:rPr>
        <w:t xml:space="preserve">berspringen einer Klasse </w:t>
      </w:r>
      <w:r w:rsidR="00457BCD" w:rsidRPr="00682BCD">
        <w:rPr>
          <w:color w:val="000000" w:themeColor="text1"/>
        </w:rPr>
        <w:t xml:space="preserve">und Projektarbeit </w:t>
      </w:r>
      <w:r w:rsidR="00F0408C">
        <w:rPr>
          <w:color w:val="000000" w:themeColor="text1"/>
        </w:rPr>
        <w:t xml:space="preserve">während der Unterrichtszeit </w:t>
      </w:r>
      <w:r w:rsidR="00457BCD" w:rsidRPr="00682BCD">
        <w:rPr>
          <w:color w:val="000000" w:themeColor="text1"/>
        </w:rPr>
        <w:t>ausserhalb der Klasse (POP-Angebote)</w:t>
      </w:r>
      <w:r w:rsidRPr="00682BCD">
        <w:rPr>
          <w:color w:val="000000" w:themeColor="text1"/>
        </w:rPr>
        <w:t xml:space="preserve">. </w:t>
      </w:r>
      <w:r w:rsidR="0031469A" w:rsidRPr="00682BCD">
        <w:t>Dies zeigt sich auch in anderen Studien, die nahelegen, dass Jungen aufgrund</w:t>
      </w:r>
      <w:r w:rsidR="0031469A" w:rsidRPr="0031469A">
        <w:t xml:space="preserve"> auffälligen Verhaltens häufiger in den Fokus geraten und daher eine höhere Wahrscheinlichkeit haben, von Angeboten der Begabtenförderung zu profitieren (z.</w:t>
      </w:r>
      <w:r w:rsidR="004425C6">
        <w:t> </w:t>
      </w:r>
      <w:r w:rsidR="0031469A" w:rsidRPr="0031469A">
        <w:t>B. Golle et al., 2023; Peters et al., 2023</w:t>
      </w:r>
      <w:r w:rsidR="0031469A" w:rsidRPr="000B5154">
        <w:rPr>
          <w:color w:val="000000" w:themeColor="text1"/>
        </w:rPr>
        <w:t>).</w:t>
      </w:r>
      <w:r w:rsidR="00457BCD" w:rsidRPr="000B5154">
        <w:rPr>
          <w:color w:val="000000" w:themeColor="text1"/>
        </w:rPr>
        <w:t xml:space="preserve"> </w:t>
      </w:r>
      <w:r w:rsidR="0028148C" w:rsidRPr="000B5154">
        <w:rPr>
          <w:color w:val="000000" w:themeColor="text1"/>
        </w:rPr>
        <w:t xml:space="preserve">Aufgrund von externalisierendem Verhalten wird der Schulpsychologische Dienst </w:t>
      </w:r>
      <w:r w:rsidR="00243912" w:rsidRPr="000B5154">
        <w:rPr>
          <w:color w:val="000000" w:themeColor="text1"/>
        </w:rPr>
        <w:t>häufig</w:t>
      </w:r>
      <w:r w:rsidR="00E13BFF" w:rsidRPr="000B5154">
        <w:rPr>
          <w:color w:val="000000" w:themeColor="text1"/>
        </w:rPr>
        <w:t xml:space="preserve"> </w:t>
      </w:r>
      <w:r w:rsidR="0028148C" w:rsidRPr="000B5154">
        <w:rPr>
          <w:color w:val="000000" w:themeColor="text1"/>
        </w:rPr>
        <w:t xml:space="preserve">hinzugezogen, was </w:t>
      </w:r>
      <w:r w:rsidR="000B5154" w:rsidRPr="7EB305D6">
        <w:rPr>
          <w:color w:val="000000" w:themeColor="text1"/>
        </w:rPr>
        <w:t>mitunter</w:t>
      </w:r>
      <w:r w:rsidR="00243912" w:rsidRPr="000B5154">
        <w:rPr>
          <w:color w:val="000000" w:themeColor="text1"/>
        </w:rPr>
        <w:t xml:space="preserve"> </w:t>
      </w:r>
      <w:r w:rsidR="2480F557" w:rsidRPr="7EB305D6">
        <w:rPr>
          <w:color w:val="000000" w:themeColor="text1"/>
        </w:rPr>
        <w:t>mit</w:t>
      </w:r>
      <w:r w:rsidR="00243912" w:rsidRPr="000B5154">
        <w:rPr>
          <w:color w:val="000000" w:themeColor="text1"/>
        </w:rPr>
        <w:t xml:space="preserve"> einer Hochbegabungsdiagnostik einhergeh</w:t>
      </w:r>
      <w:r w:rsidR="003514C3">
        <w:rPr>
          <w:color w:val="000000" w:themeColor="text1"/>
        </w:rPr>
        <w:t>en</w:t>
      </w:r>
      <w:r w:rsidR="004968D9">
        <w:rPr>
          <w:color w:val="000000" w:themeColor="text1"/>
        </w:rPr>
        <w:t xml:space="preserve"> kann</w:t>
      </w:r>
      <w:r w:rsidR="0028148C" w:rsidRPr="000B5154">
        <w:rPr>
          <w:color w:val="000000" w:themeColor="text1"/>
        </w:rPr>
        <w:t xml:space="preserve">. Es stellt sich somit die Frage, ob Lehrpersonen und </w:t>
      </w:r>
      <w:r w:rsidR="005372FC">
        <w:rPr>
          <w:color w:val="000000" w:themeColor="text1"/>
        </w:rPr>
        <w:t xml:space="preserve">SHP </w:t>
      </w:r>
      <w:r w:rsidR="0028148C" w:rsidRPr="000B5154">
        <w:rPr>
          <w:color w:val="000000" w:themeColor="text1"/>
        </w:rPr>
        <w:t>über genügend Fachwissen verfügen</w:t>
      </w:r>
      <w:r w:rsidR="00D771BE" w:rsidRPr="000B5154">
        <w:rPr>
          <w:color w:val="000000" w:themeColor="text1"/>
        </w:rPr>
        <w:t xml:space="preserve"> und entsprechend sensibilisiert </w:t>
      </w:r>
      <w:r w:rsidR="008C5E25">
        <w:rPr>
          <w:color w:val="000000" w:themeColor="text1"/>
        </w:rPr>
        <w:t>sind</w:t>
      </w:r>
      <w:r w:rsidR="0028148C" w:rsidRPr="000B5154">
        <w:rPr>
          <w:color w:val="000000" w:themeColor="text1"/>
        </w:rPr>
        <w:t xml:space="preserve">, um </w:t>
      </w:r>
      <w:r w:rsidR="00127A1D">
        <w:rPr>
          <w:color w:val="000000" w:themeColor="text1"/>
        </w:rPr>
        <w:t>(</w:t>
      </w:r>
      <w:r w:rsidR="0028148C" w:rsidRPr="000B5154">
        <w:rPr>
          <w:color w:val="000000" w:themeColor="text1"/>
        </w:rPr>
        <w:t>hoch</w:t>
      </w:r>
      <w:r w:rsidR="003E7E16">
        <w:rPr>
          <w:color w:val="000000" w:themeColor="text1"/>
        </w:rPr>
        <w:t>-</w:t>
      </w:r>
      <w:r w:rsidR="00127A1D">
        <w:rPr>
          <w:color w:val="000000" w:themeColor="text1"/>
        </w:rPr>
        <w:t>)</w:t>
      </w:r>
      <w:r w:rsidR="0028148C" w:rsidRPr="000B5154">
        <w:rPr>
          <w:color w:val="000000" w:themeColor="text1"/>
        </w:rPr>
        <w:t xml:space="preserve">begabte </w:t>
      </w:r>
      <w:r w:rsidR="000409BA" w:rsidRPr="000B5154">
        <w:rPr>
          <w:color w:val="000000" w:themeColor="text1"/>
        </w:rPr>
        <w:t xml:space="preserve">Mädchen </w:t>
      </w:r>
      <w:r w:rsidR="0028148C" w:rsidRPr="000B5154">
        <w:rPr>
          <w:color w:val="000000" w:themeColor="text1"/>
        </w:rPr>
        <w:t>zu entdecken, die</w:t>
      </w:r>
      <w:r w:rsidR="00E13BFF" w:rsidRPr="000B5154">
        <w:rPr>
          <w:color w:val="000000" w:themeColor="text1"/>
        </w:rPr>
        <w:t xml:space="preserve"> möglicherweise</w:t>
      </w:r>
      <w:r w:rsidR="0028148C" w:rsidRPr="000B5154">
        <w:rPr>
          <w:color w:val="000000" w:themeColor="text1"/>
        </w:rPr>
        <w:t xml:space="preserve"> nicht (genügend) auf sich aufmerksam machen (Meier-Wyder &amp; Hagmann-von Arx, 2023; Preckel &amp; Vock, 2021).</w:t>
      </w:r>
    </w:p>
    <w:p w14:paraId="4C9D4721" w14:textId="6E768B7E" w:rsidR="00D771BE" w:rsidRPr="000B5154" w:rsidRDefault="000B0E90" w:rsidP="00985CD4">
      <w:pPr>
        <w:pStyle w:val="Textkrper"/>
        <w:rPr>
          <w:color w:val="000000" w:themeColor="text1"/>
        </w:rPr>
      </w:pPr>
      <w:r>
        <w:rPr>
          <w:color w:val="000000" w:themeColor="text1"/>
        </w:rPr>
        <w:t>D</w:t>
      </w:r>
      <w:r w:rsidR="00D771BE" w:rsidRPr="000B5154">
        <w:rPr>
          <w:color w:val="000000" w:themeColor="text1"/>
        </w:rPr>
        <w:t>ie Ergebnisse</w:t>
      </w:r>
      <w:r>
        <w:rPr>
          <w:color w:val="000000" w:themeColor="text1"/>
        </w:rPr>
        <w:t xml:space="preserve"> der Studie verdeutlichen</w:t>
      </w:r>
      <w:r w:rsidR="00D771BE" w:rsidRPr="000B5154">
        <w:rPr>
          <w:color w:val="000000" w:themeColor="text1"/>
        </w:rPr>
        <w:t xml:space="preserve">, dass </w:t>
      </w:r>
      <w:r w:rsidR="00985CD4">
        <w:rPr>
          <w:color w:val="000000" w:themeColor="text1"/>
        </w:rPr>
        <w:t>(</w:t>
      </w:r>
      <w:r w:rsidR="00985CD4" w:rsidRPr="000B5154">
        <w:rPr>
          <w:color w:val="000000" w:themeColor="text1"/>
        </w:rPr>
        <w:t>hoch</w:t>
      </w:r>
      <w:r w:rsidR="00985CD4">
        <w:rPr>
          <w:color w:val="000000" w:themeColor="text1"/>
        </w:rPr>
        <w:t>-)</w:t>
      </w:r>
      <w:r w:rsidR="00985CD4" w:rsidRPr="000B5154">
        <w:rPr>
          <w:color w:val="000000" w:themeColor="text1"/>
        </w:rPr>
        <w:t xml:space="preserve">begabte Schüler:innen </w:t>
      </w:r>
      <w:r w:rsidR="00D771BE" w:rsidRPr="000B5154">
        <w:rPr>
          <w:color w:val="000000" w:themeColor="text1"/>
        </w:rPr>
        <w:t>in vielen Fällen</w:t>
      </w:r>
      <w:r w:rsidR="00C10440">
        <w:rPr>
          <w:color w:val="000000" w:themeColor="text1"/>
        </w:rPr>
        <w:t xml:space="preserve"> nicht</w:t>
      </w:r>
      <w:r w:rsidR="00D771BE" w:rsidRPr="000B5154">
        <w:rPr>
          <w:color w:val="000000" w:themeColor="text1"/>
        </w:rPr>
        <w:t xml:space="preserve"> systematisch </w:t>
      </w:r>
      <w:r w:rsidR="00985CD4">
        <w:rPr>
          <w:color w:val="000000" w:themeColor="text1"/>
        </w:rPr>
        <w:t>i</w:t>
      </w:r>
      <w:r w:rsidR="00D771BE" w:rsidRPr="000B5154">
        <w:rPr>
          <w:color w:val="000000" w:themeColor="text1"/>
        </w:rPr>
        <w:t>dentifi</w:t>
      </w:r>
      <w:r w:rsidR="00985CD4">
        <w:rPr>
          <w:color w:val="000000" w:themeColor="text1"/>
        </w:rPr>
        <w:t>ziert</w:t>
      </w:r>
      <w:r w:rsidR="00D771BE" w:rsidRPr="000B5154">
        <w:rPr>
          <w:color w:val="000000" w:themeColor="text1"/>
        </w:rPr>
        <w:t xml:space="preserve"> </w:t>
      </w:r>
      <w:r w:rsidR="00C10440">
        <w:rPr>
          <w:color w:val="000000" w:themeColor="text1"/>
        </w:rPr>
        <w:t>werden</w:t>
      </w:r>
      <w:r w:rsidR="00F328CA">
        <w:rPr>
          <w:color w:val="000000" w:themeColor="text1"/>
        </w:rPr>
        <w:t xml:space="preserve">. Das führt </w:t>
      </w:r>
      <w:r w:rsidR="00D771BE" w:rsidRPr="000B5154">
        <w:rPr>
          <w:color w:val="000000" w:themeColor="text1"/>
        </w:rPr>
        <w:t xml:space="preserve">dazu, dass nur die besonders auffälligen Kinder oder jene, deren Eltern aktiv Unterstützung einfordern, von Fördermassnahmen profitieren. Die </w:t>
      </w:r>
      <w:r w:rsidR="00E81E05">
        <w:rPr>
          <w:color w:val="000000" w:themeColor="text1"/>
        </w:rPr>
        <w:t>(Hoch-)</w:t>
      </w:r>
      <w:r w:rsidR="00D771BE" w:rsidRPr="000B5154">
        <w:rPr>
          <w:color w:val="000000" w:themeColor="text1"/>
        </w:rPr>
        <w:t>Begabungsforschung (z.</w:t>
      </w:r>
      <w:r w:rsidR="00437867">
        <w:rPr>
          <w:color w:val="000000" w:themeColor="text1"/>
        </w:rPr>
        <w:t> </w:t>
      </w:r>
      <w:r w:rsidR="00D771BE" w:rsidRPr="000B5154">
        <w:rPr>
          <w:color w:val="000000" w:themeColor="text1"/>
        </w:rPr>
        <w:t xml:space="preserve">B. Margolin, 2018) weist darauf hin, dass die Leistungspotenziale zahlreicher Kinder und Jugendlicher oft unerkannt bleiben und somit nicht gefördert werden. Besonders betroffen sind Kinder aus bildungsfernen Familien oder mit fremdsprachigem Hintergrund. Diese Gruppen haben es häufig </w:t>
      </w:r>
      <w:r w:rsidR="009A4C61">
        <w:rPr>
          <w:color w:val="000000" w:themeColor="text1"/>
        </w:rPr>
        <w:t xml:space="preserve">besonders </w:t>
      </w:r>
      <w:r w:rsidR="00D771BE" w:rsidRPr="000B5154">
        <w:rPr>
          <w:color w:val="000000" w:themeColor="text1"/>
        </w:rPr>
        <w:t>schwer, ihr Potenzial sichtbar zu machen</w:t>
      </w:r>
      <w:r w:rsidR="00021F20">
        <w:rPr>
          <w:color w:val="000000" w:themeColor="text1"/>
        </w:rPr>
        <w:t>. D</w:t>
      </w:r>
      <w:r w:rsidR="00D771BE" w:rsidRPr="000B5154">
        <w:rPr>
          <w:color w:val="000000" w:themeColor="text1"/>
        </w:rPr>
        <w:t xml:space="preserve">as </w:t>
      </w:r>
      <w:r w:rsidR="00021F20">
        <w:rPr>
          <w:color w:val="000000" w:themeColor="text1"/>
        </w:rPr>
        <w:t xml:space="preserve">führt </w:t>
      </w:r>
      <w:r w:rsidR="00D771BE" w:rsidRPr="000B5154">
        <w:rPr>
          <w:color w:val="000000" w:themeColor="text1"/>
        </w:rPr>
        <w:t>dazu, dass sie keine entsprechenden Lernangebote erhalten und bei der Nominierung für Förderprogramme unbemerkt bleiben. Dies bestätigt sich auch in Studien, die eine Korrelation zwischen Bildungserfolg und Herkunft zeigen (z.</w:t>
      </w:r>
      <w:r w:rsidR="008B28DD">
        <w:rPr>
          <w:color w:val="000000" w:themeColor="text1"/>
        </w:rPr>
        <w:t> </w:t>
      </w:r>
      <w:r w:rsidR="00D771BE" w:rsidRPr="000B5154">
        <w:rPr>
          <w:color w:val="000000" w:themeColor="text1"/>
        </w:rPr>
        <w:t>B. Quenzel &amp; Hurrelmann, 2019). Die Tatsache, dass Begabungen aufgrund der Herkunft übersehen werden, führt nicht nur zu verwehrten Entwicklungsperspektiven für Einzelne, sondern verschenkt auch Potenziale, die für die Gesellschaft insgesamt von Bedeutung wären (Sedmak &amp; Kapferer, 2021). In diesem Zusammenhang wäre eine engere Zusammenarbeit zwischen</w:t>
      </w:r>
      <w:r w:rsidR="00BF359F">
        <w:rPr>
          <w:color w:val="000000" w:themeColor="text1"/>
        </w:rPr>
        <w:t xml:space="preserve"> SHP</w:t>
      </w:r>
      <w:r w:rsidR="00D771BE" w:rsidRPr="000B5154">
        <w:rPr>
          <w:color w:val="000000" w:themeColor="text1"/>
        </w:rPr>
        <w:t>, Lehrpersonen und Psycholog:innen wünschenswert, um eine gerechte Förderung für alle Schüler:innen zu gewährleisten (Sliwka &amp; Nguyen, 2017).</w:t>
      </w:r>
    </w:p>
    <w:p w14:paraId="16BD2693" w14:textId="4E12F5AA" w:rsidR="00961F40" w:rsidRPr="00961F40" w:rsidRDefault="00961F40" w:rsidP="00961F40">
      <w:pPr>
        <w:pStyle w:val="berschrift1"/>
      </w:pPr>
      <w:r w:rsidRPr="00D304AF">
        <w:t xml:space="preserve">Handlungsbedarf: </w:t>
      </w:r>
      <w:r w:rsidR="00A526D1">
        <w:t>m</w:t>
      </w:r>
      <w:r w:rsidRPr="00D304AF">
        <w:t>ehr Wissen fü</w:t>
      </w:r>
      <w:r w:rsidRPr="00D304AF">
        <w:rPr>
          <w:color w:val="auto"/>
        </w:rPr>
        <w:t>r</w:t>
      </w:r>
      <w:r w:rsidR="00DF2A27" w:rsidRPr="00D304AF">
        <w:rPr>
          <w:color w:val="auto"/>
        </w:rPr>
        <w:t xml:space="preserve"> Schulische</w:t>
      </w:r>
      <w:r w:rsidRPr="00D304AF">
        <w:rPr>
          <w:color w:val="auto"/>
        </w:rPr>
        <w:t xml:space="preserve"> </w:t>
      </w:r>
      <w:r w:rsidR="008A126D" w:rsidRPr="00D304AF">
        <w:t>Heil</w:t>
      </w:r>
      <w:r w:rsidRPr="00D304AF">
        <w:t>pädagog:innen</w:t>
      </w:r>
    </w:p>
    <w:p w14:paraId="359F2B8E" w14:textId="54D25429" w:rsidR="006D722D" w:rsidRDefault="00961F40" w:rsidP="006D722D">
      <w:pPr>
        <w:pStyle w:val="Textkrper"/>
        <w:ind w:firstLine="0"/>
      </w:pPr>
      <w:r w:rsidRPr="00961F40">
        <w:t xml:space="preserve">Die Studie </w:t>
      </w:r>
      <w:r w:rsidR="00417334" w:rsidRPr="000B5154">
        <w:rPr>
          <w:color w:val="000000" w:themeColor="text1"/>
        </w:rPr>
        <w:t>verdeutlicht</w:t>
      </w:r>
      <w:r w:rsidRPr="000B5154">
        <w:rPr>
          <w:color w:val="000000" w:themeColor="text1"/>
        </w:rPr>
        <w:t xml:space="preserve">, </w:t>
      </w:r>
      <w:r w:rsidRPr="00961F40">
        <w:t xml:space="preserve">dass es erforderlich ist, die Ausbildung von </w:t>
      </w:r>
      <w:r w:rsidR="00BF359F">
        <w:t xml:space="preserve">SHP </w:t>
      </w:r>
      <w:r w:rsidRPr="00961F40">
        <w:t xml:space="preserve">mit Inhalten zur Begabtenförderung zu erweitern. Dazu </w:t>
      </w:r>
      <w:r w:rsidRPr="008C5DAC">
        <w:t xml:space="preserve">gehört sowohl die Sensibilisierung für die Bedürfnisse </w:t>
      </w:r>
      <w:r w:rsidR="00D31B3E">
        <w:t>(</w:t>
      </w:r>
      <w:r w:rsidRPr="008C5DAC">
        <w:t>hoch</w:t>
      </w:r>
      <w:r w:rsidR="00DF3974">
        <w:t>-</w:t>
      </w:r>
      <w:r w:rsidR="00D31B3E">
        <w:t>)</w:t>
      </w:r>
      <w:r w:rsidRPr="008C5DAC">
        <w:t xml:space="preserve">begabter Kinder </w:t>
      </w:r>
      <w:r w:rsidR="00FA5CBF" w:rsidRPr="008C5DAC">
        <w:rPr>
          <w:rFonts w:cs="Open Sans SemiCondensed"/>
          <w:color w:val="000000" w:themeColor="text1"/>
        </w:rPr>
        <w:t xml:space="preserve">(Reintjes et al., 2019) </w:t>
      </w:r>
      <w:r w:rsidRPr="008C5DAC">
        <w:t xml:space="preserve">als auch </w:t>
      </w:r>
      <w:r w:rsidRPr="008C5DAC">
        <w:lastRenderedPageBreak/>
        <w:t>die V</w:t>
      </w:r>
      <w:r w:rsidRPr="00961F40">
        <w:t>ermittlung konkreter Förderstrategien</w:t>
      </w:r>
      <w:r w:rsidR="00FA5CBF">
        <w:t xml:space="preserve"> </w:t>
      </w:r>
      <w:r w:rsidR="00FA5CBF" w:rsidRPr="00E040AC">
        <w:rPr>
          <w:rFonts w:cs="Open Sans SemiCondensed"/>
          <w:color w:val="000000" w:themeColor="text1"/>
        </w:rPr>
        <w:t>(Fischer &amp; Fischer-Ontrup, 2022)</w:t>
      </w:r>
      <w:r w:rsidRPr="00E040AC">
        <w:rPr>
          <w:color w:val="000000" w:themeColor="text1"/>
        </w:rPr>
        <w:t>.</w:t>
      </w:r>
      <w:r w:rsidRPr="005E18C1">
        <w:t xml:space="preserve"> </w:t>
      </w:r>
      <w:r w:rsidRPr="00961F40">
        <w:t xml:space="preserve">Ohne dieses Wissen bleibt die Umsetzung der Begabtenförderung in vielen Schulen improvisiert und abhängig vom Engagement einzelner Lehrpersonen. </w:t>
      </w:r>
      <w:r w:rsidR="003470C0" w:rsidRPr="00E13BFF">
        <w:t xml:space="preserve">Den Hochschulen kommt dabei die Aufgabe zu, verpflichtende Module in die Ausbildung zu integrieren, gezielte Fortbildungsangebote zu schaffen und die interdisziplinäre Zusammenarbeit mit Fachkräften aus Psychologie und </w:t>
      </w:r>
      <w:r w:rsidR="00E81E05">
        <w:t>(</w:t>
      </w:r>
      <w:r w:rsidR="003470C0" w:rsidRPr="00E13BFF">
        <w:t>Hoch</w:t>
      </w:r>
      <w:r w:rsidR="00E81E05">
        <w:t>-)B</w:t>
      </w:r>
      <w:r w:rsidR="003470C0" w:rsidRPr="00E13BFF">
        <w:t xml:space="preserve">egabungsforschung zu stärken, damit die Schule von </w:t>
      </w:r>
      <w:r w:rsidR="00AF547E">
        <w:t>m</w:t>
      </w:r>
      <w:r w:rsidR="003470C0" w:rsidRPr="00E13BFF">
        <w:t>orgen erfolgreich gestaltet werden kann.</w:t>
      </w:r>
    </w:p>
    <w:p w14:paraId="01E6384F" w14:textId="22F180D9" w:rsidR="00560EF7" w:rsidRPr="00BA7133" w:rsidRDefault="00560EF7" w:rsidP="00BA7133">
      <w:pPr>
        <w:pStyle w:val="Textkrper"/>
      </w:pPr>
      <w:r w:rsidRPr="00BA7133">
        <w:t>Darüber hinaus zeigen die Befunde der Studie, dass die Schulen häufig einen Handlungsbedarf</w:t>
      </w:r>
      <w:r w:rsidR="005F577E">
        <w:t xml:space="preserve"> sehen</w:t>
      </w:r>
      <w:r w:rsidRPr="00BA7133">
        <w:t xml:space="preserve"> im Bereich der Konzeptentwicklung, der Weiterentwicklung der aktuell bestehenden Angebote sowie in der </w:t>
      </w:r>
      <w:r w:rsidR="00FB7922" w:rsidRPr="00BA7133">
        <w:t xml:space="preserve">Ressourcenverteilung </w:t>
      </w:r>
      <w:r w:rsidRPr="00BA7133">
        <w:t>von finanziellen und zeitlichen Mitteln, um die Begabtenförderung systematisch als Schulentwicklungsthema aufzugreifen und zu implementieren</w:t>
      </w:r>
      <w:r w:rsidR="000B5154" w:rsidRPr="00BA7133">
        <w:t>.</w:t>
      </w:r>
      <w:r w:rsidRPr="00BA7133">
        <w:t xml:space="preserve"> Somit sind auch systemische Veränderungen unumgänglich</w:t>
      </w:r>
      <w:r w:rsidR="00675C47" w:rsidRPr="00BA7133">
        <w:t>.</w:t>
      </w:r>
      <w:r w:rsidRPr="00BA7133">
        <w:t xml:space="preserve"> Ein klarer Rahmen für die Begabtenförderung in Schulen fehlt bisher in vielen Regionen. Ein einheitliches Konzept zur Identifikation, Förderung und Evaluation </w:t>
      </w:r>
      <w:r w:rsidR="0086583B" w:rsidRPr="00BA7133">
        <w:t>(</w:t>
      </w:r>
      <w:r w:rsidRPr="00BA7133">
        <w:t>hoch</w:t>
      </w:r>
      <w:r w:rsidR="0077290B" w:rsidRPr="00BA7133">
        <w:t>-</w:t>
      </w:r>
      <w:r w:rsidR="0086583B" w:rsidRPr="00BA7133">
        <w:t>)</w:t>
      </w:r>
      <w:r w:rsidR="00DC5D16" w:rsidRPr="00BA7133">
        <w:t>b</w:t>
      </w:r>
      <w:r w:rsidRPr="00BA7133">
        <w:t>egabter Schüler:innen wäre ein wichtiger Schritt</w:t>
      </w:r>
      <w:r w:rsidR="006A7B02" w:rsidRPr="00BA7133">
        <w:t>, um die</w:t>
      </w:r>
      <w:r w:rsidRPr="00BA7133">
        <w:t xml:space="preserve"> aktuelle Situation</w:t>
      </w:r>
      <w:r w:rsidR="006A7B02" w:rsidRPr="00BA7133">
        <w:t xml:space="preserve"> zu verbessern</w:t>
      </w:r>
      <w:r w:rsidRPr="00BA7133">
        <w:t xml:space="preserve">. Ebenso sollte geprüft werden, wie Ressourcen effizient eingesetzt werden können. Die Studie zeigt, dass </w:t>
      </w:r>
      <w:r w:rsidR="00495252" w:rsidRPr="00BA7133">
        <w:t xml:space="preserve">die Fördermöglichkeiten in </w:t>
      </w:r>
      <w:r w:rsidRPr="00BA7133">
        <w:t>grössere</w:t>
      </w:r>
      <w:r w:rsidR="00495252" w:rsidRPr="00BA7133">
        <w:t>n</w:t>
      </w:r>
      <w:r w:rsidRPr="00BA7133">
        <w:t xml:space="preserve"> Schulen tendenziell vielfältiger</w:t>
      </w:r>
      <w:r w:rsidR="00495252" w:rsidRPr="00BA7133">
        <w:t xml:space="preserve"> sind</w:t>
      </w:r>
      <w:r w:rsidRPr="00BA7133">
        <w:t xml:space="preserve">. In diesem Zusammenhang könnten </w:t>
      </w:r>
      <w:r w:rsidR="00AC40F0" w:rsidRPr="00BA7133">
        <w:t xml:space="preserve">kleinere </w:t>
      </w:r>
      <w:r w:rsidRPr="00BA7133">
        <w:t xml:space="preserve">Schulen unterstützt werden, passgenaue </w:t>
      </w:r>
      <w:r w:rsidR="00D26233" w:rsidRPr="00BA7133">
        <w:t>Konzepte zu entwickeln, um die vorhandenen Ressourcen bestmöglich zu nutzen.</w:t>
      </w:r>
    </w:p>
    <w:p w14:paraId="54D750FC" w14:textId="70EA28A8" w:rsidR="00961F40" w:rsidRPr="003A59AA" w:rsidRDefault="00961F40" w:rsidP="00961F40">
      <w:pPr>
        <w:pStyle w:val="berschrift1"/>
        <w:rPr>
          <w:rFonts w:eastAsia="Times New Roman"/>
          <w:lang w:eastAsia="de-DE"/>
        </w:rPr>
      </w:pPr>
      <w:r w:rsidRPr="003A59AA">
        <w:rPr>
          <w:rFonts w:eastAsia="Times New Roman"/>
          <w:lang w:eastAsia="de-DE"/>
        </w:rPr>
        <w:t xml:space="preserve">Fazit: </w:t>
      </w:r>
      <w:r w:rsidR="00D26233" w:rsidRPr="003A59AA">
        <w:rPr>
          <w:rFonts w:eastAsia="Times New Roman"/>
          <w:lang w:eastAsia="de-DE"/>
        </w:rPr>
        <w:t xml:space="preserve">Schule von </w:t>
      </w:r>
      <w:r w:rsidR="008A66F9">
        <w:rPr>
          <w:rFonts w:eastAsia="Times New Roman"/>
          <w:lang w:eastAsia="de-DE"/>
        </w:rPr>
        <w:t>m</w:t>
      </w:r>
      <w:r w:rsidR="00D26233" w:rsidRPr="003A59AA">
        <w:rPr>
          <w:rFonts w:eastAsia="Times New Roman"/>
          <w:lang w:eastAsia="de-DE"/>
        </w:rPr>
        <w:t>orgen – Begabtenförderung z</w:t>
      </w:r>
      <w:r w:rsidRPr="003A59AA">
        <w:rPr>
          <w:rFonts w:eastAsia="Times New Roman"/>
          <w:lang w:eastAsia="de-DE"/>
        </w:rPr>
        <w:t>wischen Anspruch und Realität</w:t>
      </w:r>
    </w:p>
    <w:p w14:paraId="39D3ED60" w14:textId="3B8F01B8" w:rsidR="00D26233" w:rsidRPr="003A59AA" w:rsidRDefault="003C3E45" w:rsidP="00F11CA4">
      <w:pPr>
        <w:pStyle w:val="Textkrper"/>
        <w:ind w:firstLine="0"/>
        <w:rPr>
          <w:color w:val="000000" w:themeColor="text1"/>
        </w:rPr>
      </w:pPr>
      <w:r w:rsidRPr="00D02579">
        <w:rPr>
          <w:noProof/>
        </w:rPr>
        <mc:AlternateContent>
          <mc:Choice Requires="wps">
            <w:drawing>
              <wp:anchor distT="45720" distB="45720" distL="46990" distR="46990" simplePos="0" relativeHeight="251658241" behindDoc="0" locked="0" layoutInCell="1" allowOverlap="0" wp14:anchorId="55102869" wp14:editId="28D37502">
                <wp:simplePos x="0" y="0"/>
                <wp:positionH relativeFrom="page">
                  <wp:align>left</wp:align>
                </wp:positionH>
                <wp:positionV relativeFrom="paragraph">
                  <wp:posOffset>2412365</wp:posOffset>
                </wp:positionV>
                <wp:extent cx="5446395" cy="499745"/>
                <wp:effectExtent l="0" t="0" r="0" b="0"/>
                <wp:wrapTopAndBottom/>
                <wp:docPr id="1373936158" name="Textfeld 1373936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643" cy="499745"/>
                        </a:xfrm>
                        <a:prstGeom prst="rect">
                          <a:avLst/>
                        </a:prstGeom>
                        <a:noFill/>
                        <a:ln w="9525">
                          <a:noFill/>
                          <a:miter lim="800000"/>
                          <a:headEnd/>
                          <a:tailEnd/>
                        </a:ln>
                      </wps:spPr>
                      <wps:txbx>
                        <w:txbxContent>
                          <w:p w14:paraId="452AC138" w14:textId="3DBC3889" w:rsidR="00E27AE9" w:rsidRPr="00703209" w:rsidRDefault="00FC29A9" w:rsidP="00741E1B">
                            <w:pPr>
                              <w:pStyle w:val="Hervorhebung1"/>
                            </w:pPr>
                            <w:r>
                              <w:t xml:space="preserve">Es braucht einen klaren bildungspolitischen Entscheid: </w:t>
                            </w:r>
                            <w:r w:rsidR="003C3E45">
                              <w:t xml:space="preserve">Die Begabtenförderung darf kein </w:t>
                            </w:r>
                            <w:r w:rsidR="00AA657F">
                              <w:rPr>
                                <w:rFonts w:cs="Open Sans SemiCondensed"/>
                              </w:rPr>
                              <w:t>‹</w:t>
                            </w:r>
                            <w:r w:rsidR="003C3E45">
                              <w:t>Zuständigkeitsbereich ohne Fachwissen</w:t>
                            </w:r>
                            <w:r w:rsidR="00AA657F">
                              <w:rPr>
                                <w:rFonts w:cs="Open Sans SemiCondensed"/>
                              </w:rPr>
                              <w:t>›</w:t>
                            </w:r>
                            <w:r w:rsidR="003C3E45">
                              <w:t xml:space="preserve"> </w:t>
                            </w:r>
                            <w:r w:rsidR="004B5449">
                              <w:t>sein</w:t>
                            </w:r>
                            <w:r w:rsidR="003C3E45">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02869" id="Textfeld 1373936158" o:spid="_x0000_s1027" type="#_x0000_t202" alt="&quot;&quot;" style="position:absolute;left:0;text-align:left;margin-left:0;margin-top:189.95pt;width:428.85pt;height:39.35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" o:allowoverlap="f" filled="f" stroked="f">
                <v:textbox inset="29mm,,2.5mm">
                  <w:txbxContent>
                    <w:p w14:paraId="452AC138" w14:textId="3DBC3889" w:rsidR="00E27AE9" w:rsidRPr="00703209" w:rsidRDefault="00FC29A9" w:rsidP="00741E1B">
                      <w:pPr>
                        <w:pStyle w:val="Hervorhebung1"/>
                      </w:pPr>
                      <w:r>
                        <w:t xml:space="preserve">Es braucht einen klaren bildungspolitischen Entscheid: </w:t>
                      </w:r>
                      <w:r w:rsidR="003C3E45">
                        <w:t xml:space="preserve">Die Begabtenförderung darf kein </w:t>
                      </w:r>
                      <w:r w:rsidR="00AA657F">
                        <w:rPr>
                          <w:rFonts w:cs="Open Sans SemiCondensed"/>
                        </w:rPr>
                        <w:t>‹</w:t>
                      </w:r>
                      <w:r w:rsidR="003C3E45">
                        <w:t>Zuständigkeitsbereich ohne Fachwissen</w:t>
                      </w:r>
                      <w:r w:rsidR="00AA657F">
                        <w:rPr>
                          <w:rFonts w:cs="Open Sans SemiCondensed"/>
                        </w:rPr>
                        <w:t>›</w:t>
                      </w:r>
                      <w:r w:rsidR="003C3E45">
                        <w:t xml:space="preserve"> </w:t>
                      </w:r>
                      <w:r w:rsidR="004B5449">
                        <w:t>sein</w:t>
                      </w:r>
                      <w:r w:rsidR="003C3E45">
                        <w:t>.</w:t>
                      </w:r>
                    </w:p>
                  </w:txbxContent>
                </v:textbox>
                <w10:wrap type="topAndBottom" anchorx="page"/>
              </v:shape>
            </w:pict>
          </mc:Fallback>
        </mc:AlternateContent>
      </w:r>
      <w:r w:rsidR="00D26233" w:rsidRPr="003A59AA">
        <w:rPr>
          <w:color w:val="000000" w:themeColor="text1"/>
        </w:rPr>
        <w:t xml:space="preserve">Die Studie zur Angebotssituation verdeutlicht, dass die Schule von </w:t>
      </w:r>
      <w:r w:rsidR="0080008D">
        <w:rPr>
          <w:color w:val="000000" w:themeColor="text1"/>
        </w:rPr>
        <w:t>m</w:t>
      </w:r>
      <w:r w:rsidR="00D26233" w:rsidRPr="003A59AA">
        <w:rPr>
          <w:color w:val="000000" w:themeColor="text1"/>
        </w:rPr>
        <w:t>orgen sich neuen Herausforderungen stellen muss</w:t>
      </w:r>
      <w:r w:rsidR="00F7322A">
        <w:rPr>
          <w:color w:val="000000" w:themeColor="text1"/>
        </w:rPr>
        <w:t> </w:t>
      </w:r>
      <w:r w:rsidR="00F11CA4">
        <w:rPr>
          <w:color w:val="000000" w:themeColor="text1"/>
        </w:rPr>
        <w:t xml:space="preserve">– </w:t>
      </w:r>
      <w:r w:rsidR="00D26233" w:rsidRPr="003A59AA">
        <w:rPr>
          <w:color w:val="000000" w:themeColor="text1"/>
        </w:rPr>
        <w:t xml:space="preserve">darunter auch der individuellen Förderung </w:t>
      </w:r>
      <w:r w:rsidR="0086583B">
        <w:rPr>
          <w:color w:val="000000" w:themeColor="text1"/>
        </w:rPr>
        <w:t>(</w:t>
      </w:r>
      <w:r w:rsidR="00D26233" w:rsidRPr="003A59AA">
        <w:rPr>
          <w:color w:val="000000" w:themeColor="text1"/>
        </w:rPr>
        <w:t>hoch</w:t>
      </w:r>
      <w:r w:rsidR="0051575D">
        <w:rPr>
          <w:color w:val="000000" w:themeColor="text1"/>
        </w:rPr>
        <w:t>-</w:t>
      </w:r>
      <w:r w:rsidR="0086583B">
        <w:rPr>
          <w:color w:val="000000" w:themeColor="text1"/>
        </w:rPr>
        <w:t>)</w:t>
      </w:r>
      <w:r w:rsidR="00D26233" w:rsidRPr="003A59AA">
        <w:rPr>
          <w:color w:val="000000" w:themeColor="text1"/>
        </w:rPr>
        <w:t xml:space="preserve">begabter Kinder. In einer sich rasant verändernden Wissensgesellschaft sind Kreativität, kritisches Denken und eigenständiges Lernen zentrale Schlüsselfähigkeiten </w:t>
      </w:r>
      <w:r w:rsidR="00D26233" w:rsidRPr="003A59AA">
        <w:rPr>
          <w:rFonts w:cs="Open Sans SemiCondensed"/>
          <w:color w:val="000000" w:themeColor="text1"/>
        </w:rPr>
        <w:t>(Müller-Oppliger, 2021)</w:t>
      </w:r>
      <w:r w:rsidR="00D26233" w:rsidRPr="003A59AA">
        <w:rPr>
          <w:color w:val="000000" w:themeColor="text1"/>
        </w:rPr>
        <w:t xml:space="preserve">. </w:t>
      </w:r>
      <w:r w:rsidR="0086583B" w:rsidRPr="576ABFAF">
        <w:rPr>
          <w:color w:val="000000" w:themeColor="text1"/>
        </w:rPr>
        <w:t>(</w:t>
      </w:r>
      <w:r w:rsidR="00D26233" w:rsidRPr="576ABFAF">
        <w:rPr>
          <w:color w:val="000000" w:themeColor="text1"/>
        </w:rPr>
        <w:t>Hoch</w:t>
      </w:r>
      <w:r w:rsidR="00086363">
        <w:rPr>
          <w:color w:val="000000" w:themeColor="text1"/>
        </w:rPr>
        <w:t>-</w:t>
      </w:r>
      <w:r w:rsidR="0086583B" w:rsidRPr="576ABFAF">
        <w:rPr>
          <w:color w:val="000000" w:themeColor="text1"/>
        </w:rPr>
        <w:t>)</w:t>
      </w:r>
      <w:r w:rsidR="0080008D">
        <w:rPr>
          <w:color w:val="000000" w:themeColor="text1"/>
        </w:rPr>
        <w:t>b</w:t>
      </w:r>
      <w:r w:rsidR="00D26233" w:rsidRPr="576ABFAF">
        <w:rPr>
          <w:color w:val="000000" w:themeColor="text1"/>
        </w:rPr>
        <w:t>egabte</w:t>
      </w:r>
      <w:r w:rsidR="00D26233" w:rsidRPr="003A59AA">
        <w:rPr>
          <w:color w:val="000000" w:themeColor="text1"/>
        </w:rPr>
        <w:t xml:space="preserve"> Kinder bringen diese Fähigkeiten oft mit, doch ohne gezielte Förderung bleiben viele Potenziale ungenutzt. Nebst kognitiven Herausforderungen wird es zunehmend wichtig, den Lernenden passende Werkzeuge für selbstreguliertes und -gesteuertes Lernen an die Hand zu geben </w:t>
      </w:r>
      <w:r w:rsidR="00D26233" w:rsidRPr="003A59AA">
        <w:rPr>
          <w:rFonts w:cs="Open Sans SemiCondensed"/>
          <w:color w:val="000000" w:themeColor="text1"/>
        </w:rPr>
        <w:t>(Fischer &amp; Fischer-Ontrup, 2022)</w:t>
      </w:r>
      <w:r w:rsidR="00D26233" w:rsidRPr="003A59AA">
        <w:rPr>
          <w:color w:val="000000" w:themeColor="text1"/>
        </w:rPr>
        <w:t xml:space="preserve">. Die Entwicklung von passenden Lernstrategien und Selbstkompetenzen ist Teil des lebenslangen Lernens und ermöglicht den Schüler:innen, ihre Begabungen zu entfalten </w:t>
      </w:r>
      <w:r w:rsidR="00D26233" w:rsidRPr="003A59AA">
        <w:rPr>
          <w:rFonts w:cs="Open Sans SemiCondensed"/>
          <w:color w:val="000000" w:themeColor="text1"/>
        </w:rPr>
        <w:t>(Müller-Oppliger, 2014; Solzbacher &amp; Behrensen, 2015).</w:t>
      </w:r>
      <w:r w:rsidR="00D26233" w:rsidRPr="003A59AA">
        <w:rPr>
          <w:color w:val="000000" w:themeColor="text1"/>
        </w:rPr>
        <w:t xml:space="preserve"> Eine </w:t>
      </w:r>
      <w:r w:rsidR="00713C90">
        <w:rPr>
          <w:color w:val="000000" w:themeColor="text1"/>
        </w:rPr>
        <w:t>Schule von morgen</w:t>
      </w:r>
      <w:r w:rsidR="00D26233" w:rsidRPr="003A59AA">
        <w:rPr>
          <w:color w:val="000000" w:themeColor="text1"/>
        </w:rPr>
        <w:t xml:space="preserve"> sollte individualisierte Lernwege ermöglichen und Begabungen frühzeitig erkennen und fördern. Digitale Technologien und flexible Lernmodelle können hierbei unterstützend wirken. Lernende mit hohem </w:t>
      </w:r>
      <w:r w:rsidR="00D26233" w:rsidRPr="00236B99">
        <w:rPr>
          <w:color w:val="000000" w:themeColor="text1"/>
        </w:rPr>
        <w:t xml:space="preserve">Potenzial profitieren beispielsweise von projektbasierten Lernsituationen, </w:t>
      </w:r>
      <w:r w:rsidR="00C84BA3" w:rsidRPr="00236B99">
        <w:rPr>
          <w:color w:val="000000" w:themeColor="text1"/>
        </w:rPr>
        <w:t xml:space="preserve">die </w:t>
      </w:r>
      <w:r w:rsidR="00D26233" w:rsidRPr="00236B99">
        <w:rPr>
          <w:color w:val="000000" w:themeColor="text1"/>
        </w:rPr>
        <w:t xml:space="preserve">autonomes und selbstgesteuertes Lernen voraussetzen </w:t>
      </w:r>
      <w:r w:rsidR="00D26233" w:rsidRPr="00236B99">
        <w:rPr>
          <w:rFonts w:cs="Open Sans SemiCondensed"/>
          <w:color w:val="000000" w:themeColor="text1"/>
        </w:rPr>
        <w:t>(z.</w:t>
      </w:r>
      <w:r w:rsidR="00C84BA3" w:rsidRPr="00236B99">
        <w:rPr>
          <w:rFonts w:cs="Open Sans SemiCondensed"/>
          <w:color w:val="000000" w:themeColor="text1"/>
        </w:rPr>
        <w:t> </w:t>
      </w:r>
      <w:r w:rsidR="00D26233" w:rsidRPr="00236B99">
        <w:rPr>
          <w:rFonts w:cs="Open Sans SemiCondensed"/>
          <w:color w:val="000000" w:themeColor="text1"/>
        </w:rPr>
        <w:t>B. Fischer &amp; Fischer-Ontrup, 2022)</w:t>
      </w:r>
      <w:r w:rsidR="00D26233" w:rsidRPr="00236B99">
        <w:rPr>
          <w:color w:val="000000" w:themeColor="text1"/>
        </w:rPr>
        <w:t>.</w:t>
      </w:r>
    </w:p>
    <w:p w14:paraId="1BD0C72F" w14:textId="4E1F2DE6" w:rsidR="003470C0" w:rsidRPr="00E13BFF" w:rsidRDefault="00D26233" w:rsidP="0042013D">
      <w:pPr>
        <w:pStyle w:val="Textkrper"/>
        <w:ind w:firstLine="0"/>
      </w:pPr>
      <w:r w:rsidRPr="00867940">
        <w:rPr>
          <w:color w:val="000000" w:themeColor="text1"/>
        </w:rPr>
        <w:t>Um Schüler:innen bedürfnisorientiert zu fordern und fördern, ist entsprechendes Fachwissen an den Schulen unverzichtbar (</w:t>
      </w:r>
      <w:r w:rsidRPr="00236B99">
        <w:rPr>
          <w:color w:val="000000" w:themeColor="text1"/>
        </w:rPr>
        <w:t>z.</w:t>
      </w:r>
      <w:r w:rsidR="00940F69" w:rsidRPr="00236B99">
        <w:rPr>
          <w:rFonts w:hint="eastAsia"/>
          <w:color w:val="000000" w:themeColor="text1"/>
        </w:rPr>
        <w:t> </w:t>
      </w:r>
      <w:r w:rsidRPr="00236B99">
        <w:rPr>
          <w:color w:val="000000" w:themeColor="text1"/>
        </w:rPr>
        <w:t>B</w:t>
      </w:r>
      <w:r w:rsidRPr="00867940">
        <w:rPr>
          <w:color w:val="000000" w:themeColor="text1"/>
        </w:rPr>
        <w:t>. Golle et al., 2023).</w:t>
      </w:r>
      <w:r w:rsidR="003470C0" w:rsidRPr="00867940">
        <w:rPr>
          <w:color w:val="000000" w:themeColor="text1"/>
        </w:rPr>
        <w:t xml:space="preserve"> Doch</w:t>
      </w:r>
      <w:r w:rsidR="003470C0" w:rsidRPr="003A59AA">
        <w:rPr>
          <w:color w:val="000000" w:themeColor="text1"/>
        </w:rPr>
        <w:t xml:space="preserve"> ohne gezielte Aus- und Fortbildungen bleiben viele dieser Fachkräfte auf sich allein gestellt. Hier braucht es eine klare bildungspolitische Entscheidung: Die Begabtenförderung darf kein </w:t>
      </w:r>
      <w:r w:rsidR="00CB3244">
        <w:rPr>
          <w:rFonts w:cs="Open Sans SemiCondensed"/>
          <w:color w:val="000000" w:themeColor="text1"/>
        </w:rPr>
        <w:t>‹</w:t>
      </w:r>
      <w:r w:rsidR="003470C0" w:rsidRPr="003A59AA">
        <w:rPr>
          <w:color w:val="000000" w:themeColor="text1"/>
        </w:rPr>
        <w:t>Zuständigkeitsbereich ohne Fachwissen</w:t>
      </w:r>
      <w:r w:rsidR="00CB3244">
        <w:rPr>
          <w:rFonts w:cs="Open Sans SemiCondensed"/>
          <w:color w:val="000000" w:themeColor="text1"/>
        </w:rPr>
        <w:t>›</w:t>
      </w:r>
      <w:r w:rsidR="003470C0" w:rsidRPr="003A59AA">
        <w:rPr>
          <w:color w:val="000000" w:themeColor="text1"/>
        </w:rPr>
        <w:t xml:space="preserve"> bleiben</w:t>
      </w:r>
      <w:r w:rsidR="003470C0" w:rsidRPr="00E13BFF">
        <w:t>.</w:t>
      </w:r>
    </w:p>
    <w:p w14:paraId="2F18A3A5" w14:textId="38030BE7" w:rsidR="00D306D4" w:rsidRDefault="003470C0" w:rsidP="003470C0">
      <w:pPr>
        <w:pStyle w:val="Textkrper"/>
      </w:pPr>
      <w:r w:rsidRPr="00E13BFF">
        <w:t xml:space="preserve">Die Erkenntnisse aus der Studie </w:t>
      </w:r>
      <w:r w:rsidRPr="00236B99">
        <w:t>bieten wertvolle Anhaltspunkte für zukünftige Reformen</w:t>
      </w:r>
      <w:r w:rsidR="00BF2A30" w:rsidRPr="00236B99">
        <w:t>:</w:t>
      </w:r>
      <w:r w:rsidRPr="00236B99">
        <w:t xml:space="preserve"> </w:t>
      </w:r>
      <w:r w:rsidR="004B5449">
        <w:t>e</w:t>
      </w:r>
      <w:r w:rsidRPr="00236B99">
        <w:t>ine stärkere Integration von Begabtenförderung in die</w:t>
      </w:r>
      <w:r w:rsidR="004B5449">
        <w:t xml:space="preserve"> Ausbildung von</w:t>
      </w:r>
      <w:r w:rsidRPr="00236B99">
        <w:t xml:space="preserve"> Lehr</w:t>
      </w:r>
      <w:r w:rsidR="00976BA0">
        <w:t>personen</w:t>
      </w:r>
      <w:r w:rsidRPr="00236B99">
        <w:t xml:space="preserve"> </w:t>
      </w:r>
      <w:r w:rsidR="00BC59BB" w:rsidRPr="00236B99">
        <w:t>sowie</w:t>
      </w:r>
      <w:r w:rsidRPr="00236B99">
        <w:t xml:space="preserve"> Heilpädagog:innen, verbindliche</w:t>
      </w:r>
      <w:r w:rsidRPr="00E13BFF">
        <w:t xml:space="preserve"> Fortbildungsangebote </w:t>
      </w:r>
      <w:r w:rsidR="009020BF">
        <w:t>und</w:t>
      </w:r>
      <w:r w:rsidRPr="00E13BFF">
        <w:t xml:space="preserve"> eine klare institutionelle Verankerung sind zentrale Massnahmen, um die Lücke zwischen </w:t>
      </w:r>
      <w:r w:rsidR="00D00F70">
        <w:t xml:space="preserve">dem </w:t>
      </w:r>
      <w:r w:rsidRPr="00E13BFF">
        <w:t xml:space="preserve">Anspruch </w:t>
      </w:r>
      <w:r w:rsidR="00711002">
        <w:t>an</w:t>
      </w:r>
      <w:r w:rsidR="005A20DB">
        <w:t xml:space="preserve"> sonderpädagogische</w:t>
      </w:r>
      <w:r w:rsidR="006A6360">
        <w:t>r</w:t>
      </w:r>
      <w:r w:rsidR="005A20DB">
        <w:t xml:space="preserve"> Förderung von Schüler:innen </w:t>
      </w:r>
      <w:r w:rsidR="00711002">
        <w:t>mit hohem kognitivem Potenzial</w:t>
      </w:r>
      <w:r w:rsidR="00D00F70">
        <w:t xml:space="preserve"> </w:t>
      </w:r>
      <w:r w:rsidRPr="00E13BFF">
        <w:t xml:space="preserve">und </w:t>
      </w:r>
      <w:r w:rsidR="00D00F70">
        <w:t xml:space="preserve">der </w:t>
      </w:r>
      <w:r w:rsidRPr="00E13BFF">
        <w:t xml:space="preserve">Realität zu schliessen. Die Schule von </w:t>
      </w:r>
      <w:r w:rsidR="00C5100C">
        <w:t>m</w:t>
      </w:r>
      <w:r w:rsidRPr="00E13BFF">
        <w:t xml:space="preserve">orgen sollte ein Ort sein, an dem alle </w:t>
      </w:r>
      <w:r w:rsidR="00E023B0">
        <w:t>Begabungen</w:t>
      </w:r>
      <w:r w:rsidRPr="00E13BFF">
        <w:t xml:space="preserve"> </w:t>
      </w:r>
      <w:r w:rsidR="00E023B0">
        <w:t xml:space="preserve">erkannt und spezifisch </w:t>
      </w:r>
      <w:r w:rsidRPr="00E13BFF">
        <w:t xml:space="preserve">gefördert werden – unabhängig davon, </w:t>
      </w:r>
      <w:r w:rsidR="00610CDD">
        <w:t xml:space="preserve">wie stark diese ausgeprägt sind und </w:t>
      </w:r>
      <w:r w:rsidR="00C000E0">
        <w:t>in welchem Bereich sie liegen.</w:t>
      </w:r>
    </w:p>
    <w:tbl>
      <w:tblPr>
        <w:tblStyle w:val="Tabellenraster"/>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789"/>
      </w:tblGrid>
      <w:tr w:rsidR="00476AF8" w:rsidRPr="00153133" w14:paraId="7A730759" w14:textId="77777777" w:rsidTr="00D163BB">
        <w:tc>
          <w:tcPr>
            <w:tcW w:w="2695" w:type="pct"/>
            <w:vAlign w:val="center"/>
          </w:tcPr>
          <w:bookmarkEnd w:id="1"/>
          <w:p w14:paraId="51DF5D03" w14:textId="20DA23AD" w:rsidR="00CD2854" w:rsidRPr="00153133" w:rsidRDefault="00867940" w:rsidP="00476AF8">
            <w:pPr>
              <w:pStyle w:val="Textkrper"/>
              <w:ind w:firstLine="0"/>
              <w:rPr>
                <w:lang w:val="fr-CH"/>
              </w:rPr>
            </w:pPr>
            <w:r>
              <w:rPr>
                <w:noProof/>
                <w:lang w:val="fr-CH"/>
              </w:rPr>
              <w:lastRenderedPageBreak/>
              <w:drawing>
                <wp:inline distT="0" distB="0" distL="0" distR="0" wp14:anchorId="6B977657" wp14:editId="442FD805">
                  <wp:extent cx="1036926" cy="1036800"/>
                  <wp:effectExtent l="0" t="0" r="0" b="0"/>
                  <wp:docPr id="146911975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9755" name="Grafik 2"/>
                          <pic:cNvPicPr>
                            <a:picLocks noChangeAspect="1" noChangeArrowheads="1"/>
                          </pic:cNvPicPr>
                        </pic:nvPicPr>
                        <pic:blipFill>
                          <a:blip r:embed="rId15" cstate="print">
                            <a:extLst>
                              <a:ext uri="{28A0092B-C50C-407E-A947-70E740481C1C}">
                                <a14:useLocalDpi xmlns:a14="http://schemas.microsoft.com/office/drawing/2010/main" val="0"/>
                              </a:ext>
                            </a:extLst>
                          </a:blip>
                          <a:srcRect t="6" b="6"/>
                          <a:stretch>
                            <a:fillRect/>
                          </a:stretch>
                        </pic:blipFill>
                        <pic:spPr bwMode="auto">
                          <a:xfrm>
                            <a:off x="0" y="0"/>
                            <a:ext cx="1036926" cy="103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05" w:type="pct"/>
            <w:vAlign w:val="center"/>
          </w:tcPr>
          <w:p w14:paraId="01001004" w14:textId="675BDF85" w:rsidR="00CD2854" w:rsidRPr="00153133" w:rsidRDefault="00867940" w:rsidP="007F5E1D">
            <w:pPr>
              <w:pStyle w:val="Textkrper"/>
              <w:rPr>
                <w:noProof/>
                <w:lang w:val="fr-CH"/>
              </w:rPr>
            </w:pPr>
            <w:r>
              <w:rPr>
                <w:noProof/>
                <w:lang w:val="fr-CH"/>
              </w:rPr>
              <w:drawing>
                <wp:inline distT="0" distB="0" distL="0" distR="0" wp14:anchorId="0132888C" wp14:editId="5F3A0FE5">
                  <wp:extent cx="1051153" cy="1036800"/>
                  <wp:effectExtent l="0" t="0" r="0" b="0"/>
                  <wp:docPr id="86415704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57047" name="Grafik 6"/>
                          <pic:cNvPicPr>
                            <a:picLocks noChangeAspect="1" noChangeArrowheads="1"/>
                          </pic:cNvPicPr>
                        </pic:nvPicPr>
                        <pic:blipFill>
                          <a:blip r:embed="rId16" cstate="print">
                            <a:extLst>
                              <a:ext uri="{28A0092B-C50C-407E-A947-70E740481C1C}">
                                <a14:useLocalDpi xmlns:a14="http://schemas.microsoft.com/office/drawing/2010/main" val="0"/>
                              </a:ext>
                            </a:extLst>
                          </a:blip>
                          <a:srcRect t="683" b="683"/>
                          <a:stretch>
                            <a:fillRect/>
                          </a:stretch>
                        </pic:blipFill>
                        <pic:spPr bwMode="auto">
                          <a:xfrm>
                            <a:off x="0" y="0"/>
                            <a:ext cx="1051153" cy="103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6AF8" w:rsidRPr="00790847" w14:paraId="0A771E90" w14:textId="77777777" w:rsidTr="00D163BB">
        <w:trPr>
          <w:trHeight w:val="960"/>
        </w:trPr>
        <w:tc>
          <w:tcPr>
            <w:tcW w:w="2695" w:type="pct"/>
          </w:tcPr>
          <w:p w14:paraId="6F9934ED" w14:textId="194097CE" w:rsidR="00867940" w:rsidRPr="0025441D" w:rsidRDefault="00867940" w:rsidP="00867940">
            <w:pPr>
              <w:pStyle w:val="Textkrper3"/>
            </w:pPr>
            <w:r w:rsidRPr="0025441D">
              <w:t>Michelle Squindo</w:t>
            </w:r>
            <w:r w:rsidRPr="0025441D">
              <w:br/>
            </w:r>
            <w:r w:rsidR="006E6557">
              <w:t xml:space="preserve">MSc / </w:t>
            </w:r>
            <w:r w:rsidRPr="0025441D">
              <w:t>Junior Researcher</w:t>
            </w:r>
          </w:p>
          <w:p w14:paraId="63905484" w14:textId="77777777" w:rsidR="00867940" w:rsidRPr="00153133" w:rsidRDefault="00867940" w:rsidP="00867940">
            <w:pPr>
              <w:pStyle w:val="Textkrper3"/>
            </w:pPr>
            <w:r>
              <w:t xml:space="preserve">Interkantonale Hochschule für </w:t>
            </w:r>
            <w:r>
              <w:rPr>
                <w:noProof/>
              </w:rPr>
              <w:t>Heilpädagogik</w:t>
            </w:r>
          </w:p>
          <w:p w14:paraId="75112DEF" w14:textId="7355D71F" w:rsidR="000A12D4" w:rsidRPr="00153133" w:rsidRDefault="000A12D4" w:rsidP="00867940">
            <w:pPr>
              <w:pStyle w:val="Textkrper3"/>
            </w:pPr>
            <w:hyperlink r:id="rId17" w:history="1">
              <w:r w:rsidRPr="00D86FEA">
                <w:rPr>
                  <w:rStyle w:val="Hyperlink"/>
                </w:rPr>
                <w:t>michelle.squindo@hfh.ch</w:t>
              </w:r>
            </w:hyperlink>
          </w:p>
        </w:tc>
        <w:tc>
          <w:tcPr>
            <w:tcW w:w="2305" w:type="pct"/>
          </w:tcPr>
          <w:p w14:paraId="390FF711" w14:textId="50FE91B4" w:rsidR="00867940" w:rsidRPr="00153133" w:rsidRDefault="00EE2B7F" w:rsidP="00867940">
            <w:pPr>
              <w:pStyle w:val="Textkrper3"/>
            </w:pPr>
            <w:r>
              <w:t xml:space="preserve">Dr. phil. </w:t>
            </w:r>
            <w:r w:rsidR="00867940">
              <w:t>Anuschka Meier-Wyder</w:t>
            </w:r>
            <w:r w:rsidR="00867940" w:rsidRPr="00153133">
              <w:br/>
            </w:r>
            <w:r w:rsidR="00867940">
              <w:t>Senior Lecturer</w:t>
            </w:r>
          </w:p>
          <w:p w14:paraId="34862177" w14:textId="77777777" w:rsidR="00867940" w:rsidRPr="00153133" w:rsidRDefault="00867940" w:rsidP="00867940">
            <w:pPr>
              <w:pStyle w:val="Textkrper3"/>
            </w:pPr>
            <w:r>
              <w:t>Interkantonale Hochschule für Heilpädagogik</w:t>
            </w:r>
          </w:p>
          <w:p w14:paraId="5DA47DB3" w14:textId="13E4A930" w:rsidR="00CD2854" w:rsidRPr="00153133" w:rsidRDefault="000A12D4" w:rsidP="00867940">
            <w:pPr>
              <w:pStyle w:val="Textkrper3"/>
            </w:pPr>
            <w:hyperlink r:id="rId18" w:history="1">
              <w:r w:rsidRPr="00D86FEA">
                <w:rPr>
                  <w:rStyle w:val="Hyperlink"/>
                </w:rPr>
                <w:t>anuschka.meier@hfh.ch</w:t>
              </w:r>
            </w:hyperlink>
          </w:p>
        </w:tc>
      </w:tr>
    </w:tbl>
    <w:p w14:paraId="16DC2852" w14:textId="01500291" w:rsidR="00D232F1" w:rsidRPr="00D232F1" w:rsidRDefault="00D232F1" w:rsidP="007B4390">
      <w:pPr>
        <w:pStyle w:val="berschrift1"/>
      </w:pPr>
      <w:r w:rsidRPr="00D232F1">
        <w:t>Literatur</w:t>
      </w:r>
    </w:p>
    <w:p w14:paraId="37A34F12" w14:textId="352900A3" w:rsidR="00C5100C" w:rsidRDefault="00154A7A" w:rsidP="000A12D4">
      <w:pPr>
        <w:pStyle w:val="Literaturverzeichnis"/>
        <w:spacing w:line="276" w:lineRule="auto"/>
      </w:pPr>
      <w:r w:rsidRPr="000A12D4">
        <w:t xml:space="preserve">D-EDK </w:t>
      </w:r>
      <w:r w:rsidR="008057E4" w:rsidRPr="000A12D4">
        <w:t>(</w:t>
      </w:r>
      <w:r w:rsidR="006E6557">
        <w:t>Deutschschweizer Erziehungsdirektoren</w:t>
      </w:r>
      <w:r w:rsidR="0068735C">
        <w:t>-Konferenz</w:t>
      </w:r>
      <w:r w:rsidR="008057E4" w:rsidRPr="000A12D4">
        <w:t>)</w:t>
      </w:r>
      <w:r w:rsidRPr="000A12D4">
        <w:t xml:space="preserve"> (2014). </w:t>
      </w:r>
      <w:r w:rsidRPr="004D25F4">
        <w:rPr>
          <w:i/>
          <w:iCs/>
        </w:rPr>
        <w:t xml:space="preserve">Lehrplan 21. </w:t>
      </w:r>
      <w:hyperlink r:id="rId19" w:history="1">
        <w:r w:rsidR="00C5100C" w:rsidRPr="008142F4">
          <w:rPr>
            <w:rStyle w:val="Hyperlink"/>
          </w:rPr>
          <w:t>https://www.lehrplan.ch</w:t>
        </w:r>
      </w:hyperlink>
    </w:p>
    <w:p w14:paraId="13082F7C" w14:textId="336F97E5" w:rsidR="00954D58" w:rsidRPr="004D25F4" w:rsidRDefault="00154A7A" w:rsidP="00D03612">
      <w:pPr>
        <w:pStyle w:val="Literaturverzeichnis"/>
        <w:spacing w:line="276" w:lineRule="auto"/>
      </w:pPr>
      <w:r w:rsidRPr="000A12D4">
        <w:t>Fischer, C. &amp; Fischer-Ontrup, C. (2022). Begabungs- und Begabtenförderung im schulischen Kontext. In H.</w:t>
      </w:r>
      <w:r w:rsidR="004E27AE" w:rsidRPr="000A12D4">
        <w:t> </w:t>
      </w:r>
      <w:r w:rsidRPr="000A12D4">
        <w:t>Reinders, D.</w:t>
      </w:r>
      <w:r w:rsidR="007F38B3">
        <w:t> </w:t>
      </w:r>
      <w:r w:rsidRPr="000A12D4">
        <w:t xml:space="preserve">Bergs-Winkels, A. Prochnow &amp; I. Post (Hrsg.), </w:t>
      </w:r>
      <w:r w:rsidRPr="004D25F4">
        <w:rPr>
          <w:i/>
          <w:iCs/>
        </w:rPr>
        <w:t>Empirische Bildungsforschung</w:t>
      </w:r>
      <w:r w:rsidRPr="000A12D4">
        <w:t xml:space="preserve"> (S.</w:t>
      </w:r>
      <w:r w:rsidR="00880910" w:rsidRPr="000A12D4">
        <w:t> </w:t>
      </w:r>
      <w:r w:rsidRPr="000A12D4">
        <w:t xml:space="preserve">1221–1239). Springer Fachmedien. </w:t>
      </w:r>
      <w:hyperlink r:id="rId20" w:history="1">
        <w:r w:rsidR="00954D58" w:rsidRPr="004D25F4">
          <w:rPr>
            <w:rStyle w:val="Hyperlink"/>
          </w:rPr>
          <w:t>https://doi.org/10.1007/978-3-658-27277-7_63</w:t>
        </w:r>
      </w:hyperlink>
    </w:p>
    <w:p w14:paraId="17E2341B" w14:textId="0ACC24F6" w:rsidR="00154A7A" w:rsidRDefault="00154A7A" w:rsidP="000A12D4">
      <w:pPr>
        <w:pStyle w:val="Literaturverzeichnis"/>
        <w:spacing w:line="276" w:lineRule="auto"/>
        <w:rPr>
          <w:lang w:val="en-US"/>
        </w:rPr>
      </w:pPr>
      <w:r w:rsidRPr="00EC02C0">
        <w:rPr>
          <w:lang w:val="fr-CH"/>
        </w:rPr>
        <w:t xml:space="preserve">Golle, J., Schils, T., Borghans, L. &amp; Rose, N. (2023). </w:t>
      </w:r>
      <w:r w:rsidRPr="00751B8A">
        <w:rPr>
          <w:lang w:val="en-US"/>
        </w:rPr>
        <w:t xml:space="preserve">Who </w:t>
      </w:r>
      <w:r w:rsidR="004652F2" w:rsidRPr="00751B8A">
        <w:rPr>
          <w:lang w:val="en-US"/>
        </w:rPr>
        <w:t>i</w:t>
      </w:r>
      <w:r w:rsidRPr="00751B8A">
        <w:rPr>
          <w:lang w:val="en-US"/>
        </w:rPr>
        <w:t xml:space="preserve">s </w:t>
      </w:r>
      <w:r w:rsidR="004652F2" w:rsidRPr="00751B8A">
        <w:rPr>
          <w:lang w:val="en-US"/>
        </w:rPr>
        <w:t>c</w:t>
      </w:r>
      <w:r w:rsidRPr="00751B8A">
        <w:rPr>
          <w:lang w:val="en-US"/>
        </w:rPr>
        <w:t xml:space="preserve">onsidered </w:t>
      </w:r>
      <w:r w:rsidR="004652F2" w:rsidRPr="00751B8A">
        <w:rPr>
          <w:lang w:val="en-US"/>
        </w:rPr>
        <w:t>g</w:t>
      </w:r>
      <w:r w:rsidRPr="00751B8A">
        <w:rPr>
          <w:lang w:val="en-US"/>
        </w:rPr>
        <w:t xml:space="preserve">ifted </w:t>
      </w:r>
      <w:r w:rsidR="004652F2" w:rsidRPr="00751B8A">
        <w:rPr>
          <w:lang w:val="en-US"/>
        </w:rPr>
        <w:t>f</w:t>
      </w:r>
      <w:r w:rsidRPr="00751B8A">
        <w:rPr>
          <w:lang w:val="en-US"/>
        </w:rPr>
        <w:t xml:space="preserve">rom a </w:t>
      </w:r>
      <w:r w:rsidR="004652F2" w:rsidRPr="00751B8A">
        <w:rPr>
          <w:lang w:val="en-US"/>
        </w:rPr>
        <w:t>t</w:t>
      </w:r>
      <w:r w:rsidRPr="00751B8A">
        <w:rPr>
          <w:lang w:val="en-US"/>
        </w:rPr>
        <w:t xml:space="preserve">eacher’s </w:t>
      </w:r>
      <w:r w:rsidR="004652F2" w:rsidRPr="00751B8A">
        <w:rPr>
          <w:lang w:val="en-US"/>
        </w:rPr>
        <w:t>p</w:t>
      </w:r>
      <w:r w:rsidRPr="00751B8A">
        <w:rPr>
          <w:lang w:val="en-US"/>
        </w:rPr>
        <w:t xml:space="preserve">erspective? A </w:t>
      </w:r>
      <w:r w:rsidR="004652F2" w:rsidRPr="00751B8A">
        <w:rPr>
          <w:lang w:val="en-US"/>
        </w:rPr>
        <w:t>r</w:t>
      </w:r>
      <w:r w:rsidRPr="00751B8A">
        <w:rPr>
          <w:lang w:val="en-US"/>
        </w:rPr>
        <w:t xml:space="preserve">epresentative </w:t>
      </w:r>
      <w:r w:rsidR="004652F2" w:rsidRPr="00751B8A">
        <w:rPr>
          <w:lang w:val="en-US"/>
        </w:rPr>
        <w:t>l</w:t>
      </w:r>
      <w:r w:rsidRPr="00751B8A">
        <w:rPr>
          <w:lang w:val="en-US"/>
        </w:rPr>
        <w:t>arge-</w:t>
      </w:r>
      <w:r w:rsidR="004652F2" w:rsidRPr="00751B8A">
        <w:rPr>
          <w:lang w:val="en-US"/>
        </w:rPr>
        <w:t>s</w:t>
      </w:r>
      <w:r w:rsidRPr="00751B8A">
        <w:rPr>
          <w:lang w:val="en-US"/>
        </w:rPr>
        <w:t xml:space="preserve">cale </w:t>
      </w:r>
      <w:r w:rsidR="004652F2" w:rsidRPr="00751B8A">
        <w:rPr>
          <w:lang w:val="en-US"/>
        </w:rPr>
        <w:t>s</w:t>
      </w:r>
      <w:r w:rsidRPr="00751B8A">
        <w:rPr>
          <w:lang w:val="en-US"/>
        </w:rPr>
        <w:t xml:space="preserve">tudy. </w:t>
      </w:r>
      <w:r w:rsidRPr="004D25F4">
        <w:rPr>
          <w:i/>
          <w:iCs/>
          <w:lang w:val="en-US"/>
        </w:rPr>
        <w:t>Gifted Child Quarterly, 67</w:t>
      </w:r>
      <w:r w:rsidR="00F827F5" w:rsidRPr="00751B8A">
        <w:rPr>
          <w:lang w:val="en-US"/>
        </w:rPr>
        <w:t> </w:t>
      </w:r>
      <w:r w:rsidRPr="00751B8A">
        <w:rPr>
          <w:lang w:val="en-US"/>
        </w:rPr>
        <w:t xml:space="preserve">(1), 64–79. </w:t>
      </w:r>
      <w:hyperlink r:id="rId21" w:history="1">
        <w:r w:rsidR="006B530E" w:rsidRPr="008142F4">
          <w:rPr>
            <w:rStyle w:val="Hyperlink"/>
            <w:lang w:val="en-US"/>
          </w:rPr>
          <w:t>https://doi.org/10.1177/00169862221104026</w:t>
        </w:r>
      </w:hyperlink>
    </w:p>
    <w:p w14:paraId="5BF5B4F7" w14:textId="3E188593" w:rsidR="00154A7A" w:rsidRPr="00751B8A" w:rsidRDefault="00154A7A" w:rsidP="000A12D4">
      <w:pPr>
        <w:pStyle w:val="Literaturverzeichnis"/>
        <w:spacing w:line="276" w:lineRule="auto"/>
        <w:rPr>
          <w:lang w:val="en-US"/>
        </w:rPr>
      </w:pPr>
      <w:r w:rsidRPr="000A12D4">
        <w:t xml:space="preserve">Heinbokel, A. (2012). </w:t>
      </w:r>
      <w:r w:rsidRPr="004D25F4">
        <w:rPr>
          <w:i/>
          <w:iCs/>
        </w:rPr>
        <w:t>Handbuch Akzeleration: Was Hochbegabten nützt</w:t>
      </w:r>
      <w:r w:rsidRPr="000A12D4">
        <w:t xml:space="preserve"> (2. </w:t>
      </w:r>
      <w:r w:rsidRPr="00E7631D">
        <w:rPr>
          <w:lang w:val="en-US"/>
        </w:rPr>
        <w:t>Aufl</w:t>
      </w:r>
      <w:r w:rsidR="00C821AE" w:rsidRPr="00E7631D">
        <w:rPr>
          <w:lang w:val="en-US"/>
        </w:rPr>
        <w:t>.</w:t>
      </w:r>
      <w:r w:rsidRPr="00E7631D">
        <w:rPr>
          <w:lang w:val="en-US"/>
        </w:rPr>
        <w:t xml:space="preserve">). </w:t>
      </w:r>
      <w:r w:rsidRPr="00751B8A">
        <w:rPr>
          <w:lang w:val="en-US"/>
        </w:rPr>
        <w:t>LIT-Verl</w:t>
      </w:r>
      <w:r w:rsidR="002F0BE3" w:rsidRPr="00751B8A">
        <w:rPr>
          <w:lang w:val="en-US"/>
        </w:rPr>
        <w:t>ag.</w:t>
      </w:r>
    </w:p>
    <w:p w14:paraId="7C2C5AAB" w14:textId="54B2AF7B" w:rsidR="00154A7A" w:rsidRPr="000A12D4" w:rsidRDefault="00154A7A" w:rsidP="000A12D4">
      <w:pPr>
        <w:pStyle w:val="Literaturverzeichnis"/>
        <w:spacing w:line="276" w:lineRule="auto"/>
      </w:pPr>
      <w:r w:rsidRPr="00751B8A">
        <w:rPr>
          <w:lang w:val="en-US"/>
        </w:rPr>
        <w:t xml:space="preserve">Margolin, L. (2018). Gifted </w:t>
      </w:r>
      <w:r w:rsidR="004652F2" w:rsidRPr="00751B8A">
        <w:rPr>
          <w:lang w:val="en-US"/>
        </w:rPr>
        <w:t>e</w:t>
      </w:r>
      <w:r w:rsidRPr="00751B8A">
        <w:rPr>
          <w:lang w:val="en-US"/>
        </w:rPr>
        <w:t xml:space="preserve">ducation and the Matthew Effect. </w:t>
      </w:r>
      <w:r w:rsidRPr="000A12D4">
        <w:t xml:space="preserve">In </w:t>
      </w:r>
      <w:r w:rsidR="00462950" w:rsidRPr="000A12D4">
        <w:t xml:space="preserve">A. Böker &amp; </w:t>
      </w:r>
      <w:r w:rsidRPr="000A12D4">
        <w:t>K. Horvath (</w:t>
      </w:r>
      <w:r w:rsidR="00462950" w:rsidRPr="000A12D4">
        <w:t>Hrsg</w:t>
      </w:r>
      <w:r w:rsidRPr="000A12D4">
        <w:t xml:space="preserve">.), </w:t>
      </w:r>
      <w:r w:rsidRPr="004D25F4">
        <w:rPr>
          <w:i/>
          <w:iCs/>
        </w:rPr>
        <w:t>Begabung und Gesellschaft. Sozialwissenschaftliche Perspektiven auf Begabung und Begabtenförderung</w:t>
      </w:r>
      <w:r w:rsidRPr="000A12D4">
        <w:t xml:space="preserve"> (S.</w:t>
      </w:r>
      <w:r w:rsidR="001F40A8">
        <w:t> </w:t>
      </w:r>
      <w:r w:rsidRPr="000A12D4">
        <w:t>165–182). Springer VS.</w:t>
      </w:r>
    </w:p>
    <w:p w14:paraId="5D5330C6" w14:textId="1A022EF2" w:rsidR="00E7631D" w:rsidRDefault="00154A7A" w:rsidP="00E7631D">
      <w:pPr>
        <w:pStyle w:val="Literaturverzeichnis"/>
        <w:spacing w:line="276" w:lineRule="auto"/>
        <w:rPr>
          <w:lang w:val="it-IT"/>
        </w:rPr>
      </w:pPr>
      <w:r w:rsidRPr="000A12D4">
        <w:t>Meier-Wyder, A. &amp; Hagmann-von Arx, P. (2023). Begabungsdiagnostik unter der Lupe</w:t>
      </w:r>
      <w:r w:rsidRPr="004D25F4">
        <w:rPr>
          <w:i/>
          <w:iCs/>
        </w:rPr>
        <w:t>. Schweizerische Zeitschrift für Heilpädagogik, 29</w:t>
      </w:r>
      <w:r w:rsidR="00505919">
        <w:t> </w:t>
      </w:r>
      <w:r w:rsidRPr="000A12D4">
        <w:t>(8), 23–30.</w:t>
      </w:r>
      <w:r w:rsidR="006B530E" w:rsidRPr="004D25F4">
        <w:t xml:space="preserve"> </w:t>
      </w:r>
      <w:hyperlink r:id="rId22" w:history="1">
        <w:r w:rsidR="006B530E" w:rsidRPr="008142F4">
          <w:rPr>
            <w:rStyle w:val="Hyperlink"/>
            <w:lang w:val="it-IT"/>
          </w:rPr>
          <w:t>https://doi.org/10.57161/z2023-08-04</w:t>
        </w:r>
      </w:hyperlink>
    </w:p>
    <w:p w14:paraId="150F63F5" w14:textId="47C4BDBC" w:rsidR="00154A7A" w:rsidRDefault="00154A7A" w:rsidP="000A12D4">
      <w:pPr>
        <w:pStyle w:val="Literaturverzeichnis"/>
        <w:spacing w:line="276" w:lineRule="auto"/>
      </w:pPr>
      <w:r w:rsidRPr="0086103A">
        <w:rPr>
          <w:lang w:val="it-IT"/>
        </w:rPr>
        <w:t xml:space="preserve">Meier-Wyder, A., Squindo, M. &amp; Hofmann, C. (2024). </w:t>
      </w:r>
      <w:r w:rsidRPr="004D25F4">
        <w:rPr>
          <w:i/>
          <w:iCs/>
        </w:rPr>
        <w:t xml:space="preserve">Schlussbericht: Studie zur Angebotssituation der Begabungs- und Begabtenförderung in der Deutschschweiz und dem Fürstentum Liechtenstein. </w:t>
      </w:r>
      <w:r w:rsidRPr="00D36744">
        <w:t>Interkantonale Hochschule für Heilpädagogik.</w:t>
      </w:r>
      <w:r w:rsidRPr="000A12D4">
        <w:t xml:space="preserve"> </w:t>
      </w:r>
      <w:hyperlink r:id="rId23" w:history="1">
        <w:r w:rsidR="008B6F95" w:rsidRPr="008142F4">
          <w:rPr>
            <w:rStyle w:val="Hyperlink"/>
          </w:rPr>
          <w:t>https://www.hfh.ch/sites/default/files/documents/schlussbericht_bbf.pdf</w:t>
        </w:r>
      </w:hyperlink>
    </w:p>
    <w:p w14:paraId="0A7A6741" w14:textId="60CFB09C" w:rsidR="00154A7A" w:rsidRPr="000A12D4" w:rsidRDefault="00154A7A" w:rsidP="000A12D4">
      <w:pPr>
        <w:pStyle w:val="Literaturverzeichnis"/>
        <w:spacing w:line="276" w:lineRule="auto"/>
      </w:pPr>
      <w:r w:rsidRPr="000A12D4">
        <w:t xml:space="preserve">Müller-Oppliger, V. (2014). Selbstlernarchitekturen zu selbstgesteuerter Begabungsförderung. In G. Weigand, A. Hackl, V. Müller-Oppliger &amp; G. Schmid (Hrsg.), </w:t>
      </w:r>
      <w:r w:rsidRPr="004D25F4">
        <w:rPr>
          <w:i/>
          <w:iCs/>
        </w:rPr>
        <w:t>Personorientierte Begabungsförderung: Eine Einführung in Theorie und Praxis</w:t>
      </w:r>
      <w:r w:rsidRPr="000A12D4">
        <w:t xml:space="preserve"> (S.</w:t>
      </w:r>
      <w:r w:rsidR="00ED7B34">
        <w:t> </w:t>
      </w:r>
      <w:r w:rsidRPr="000A12D4">
        <w:t>115–127). Beltz.</w:t>
      </w:r>
    </w:p>
    <w:p w14:paraId="14D7D366" w14:textId="1AB74171" w:rsidR="00154A7A" w:rsidRPr="000A12D4" w:rsidRDefault="00154A7A" w:rsidP="000A12D4">
      <w:pPr>
        <w:pStyle w:val="Literaturverzeichnis"/>
        <w:spacing w:line="276" w:lineRule="auto"/>
      </w:pPr>
      <w:r w:rsidRPr="000A12D4">
        <w:t xml:space="preserve">Müller-Oppliger, V. (2021). Plurale Gesellschaft, Inklusion und Bildungsgerechtigkeit. In V. Müller-Oppliger &amp; G. Weigand (Hrsg.), </w:t>
      </w:r>
      <w:r w:rsidRPr="004D25F4">
        <w:rPr>
          <w:i/>
          <w:iCs/>
        </w:rPr>
        <w:t>Handbuch Begabung</w:t>
      </w:r>
      <w:r w:rsidRPr="000A12D4">
        <w:t xml:space="preserve"> (S.</w:t>
      </w:r>
      <w:r w:rsidR="00ED7B34">
        <w:t> </w:t>
      </w:r>
      <w:r w:rsidRPr="000A12D4">
        <w:t>32–45). Beltz.</w:t>
      </w:r>
    </w:p>
    <w:p w14:paraId="36D5BF08" w14:textId="686CEABF" w:rsidR="00154A7A" w:rsidRPr="000A12D4" w:rsidRDefault="00154A7A" w:rsidP="000A12D4">
      <w:pPr>
        <w:pStyle w:val="Literaturverzeichnis"/>
        <w:spacing w:line="276" w:lineRule="auto"/>
      </w:pPr>
      <w:r w:rsidRPr="000A12D4">
        <w:t>ÖZBF (Österreichisches Zentrum für Begabtenförderung und Begabungsforschung) (2022</w:t>
      </w:r>
      <w:r w:rsidRPr="004D25F4">
        <w:rPr>
          <w:i/>
          <w:iCs/>
        </w:rPr>
        <w:t>). Leitfaden Akzeleration: Vorzeitige Einschulung, Überspringen von Schulstufen, Wechsel von Schulstufen</w:t>
      </w:r>
      <w:r w:rsidRPr="000A12D4">
        <w:t>. Pädagogische Hochschule Salzburg Stefan Zweig.</w:t>
      </w:r>
    </w:p>
    <w:p w14:paraId="410E5A9E" w14:textId="655D2F4D" w:rsidR="00154A7A" w:rsidRDefault="00154A7A" w:rsidP="000A12D4">
      <w:pPr>
        <w:pStyle w:val="Literaturverzeichnis"/>
        <w:spacing w:line="276" w:lineRule="auto"/>
        <w:rPr>
          <w:lang w:val="en-US"/>
        </w:rPr>
      </w:pPr>
      <w:r w:rsidRPr="005B1D72">
        <w:t>Peters, S.</w:t>
      </w:r>
      <w:r w:rsidR="002028A4" w:rsidRPr="005B1D72">
        <w:t> </w:t>
      </w:r>
      <w:r w:rsidRPr="005B1D72">
        <w:t>J., Stambaugh, T., Makel, M.</w:t>
      </w:r>
      <w:r w:rsidR="002028A4" w:rsidRPr="005B1D72">
        <w:t> </w:t>
      </w:r>
      <w:r w:rsidRPr="005B1D72">
        <w:t>C., Lee, L.</w:t>
      </w:r>
      <w:r w:rsidR="002028A4" w:rsidRPr="005B1D72">
        <w:t> </w:t>
      </w:r>
      <w:r w:rsidRPr="005B1D72">
        <w:t>E., McBee, M.</w:t>
      </w:r>
      <w:r w:rsidR="002028A4" w:rsidRPr="005B1D72">
        <w:t> </w:t>
      </w:r>
      <w:r w:rsidRPr="005B1D72">
        <w:t>T., McCoach, D.</w:t>
      </w:r>
      <w:r w:rsidR="004471D6" w:rsidRPr="005B1D72">
        <w:t> </w:t>
      </w:r>
      <w:r w:rsidRPr="005B1D72">
        <w:t>B. &amp; Johnson, K.</w:t>
      </w:r>
      <w:r w:rsidR="004471D6" w:rsidRPr="005B1D72">
        <w:t> </w:t>
      </w:r>
      <w:r w:rsidRPr="005B1D72">
        <w:t xml:space="preserve">R. (2023). </w:t>
      </w:r>
      <w:r w:rsidRPr="00751B8A">
        <w:rPr>
          <w:lang w:val="en-US"/>
        </w:rPr>
        <w:t xml:space="preserve">The CASA </w:t>
      </w:r>
      <w:r w:rsidR="002233EC" w:rsidRPr="00751B8A">
        <w:rPr>
          <w:lang w:val="en-US"/>
        </w:rPr>
        <w:t>c</w:t>
      </w:r>
      <w:r w:rsidRPr="00751B8A">
        <w:rPr>
          <w:lang w:val="en-US"/>
        </w:rPr>
        <w:t xml:space="preserve">riteria for </w:t>
      </w:r>
      <w:r w:rsidR="002233EC" w:rsidRPr="00751B8A">
        <w:rPr>
          <w:lang w:val="en-US"/>
        </w:rPr>
        <w:t>e</w:t>
      </w:r>
      <w:r w:rsidRPr="00751B8A">
        <w:rPr>
          <w:lang w:val="en-US"/>
        </w:rPr>
        <w:t xml:space="preserve">valuating </w:t>
      </w:r>
      <w:r w:rsidR="002233EC" w:rsidRPr="00751B8A">
        <w:rPr>
          <w:lang w:val="en-US"/>
        </w:rPr>
        <w:t>g</w:t>
      </w:r>
      <w:r w:rsidRPr="00751B8A">
        <w:rPr>
          <w:lang w:val="en-US"/>
        </w:rPr>
        <w:t xml:space="preserve">ifted and </w:t>
      </w:r>
      <w:r w:rsidR="002233EC" w:rsidRPr="00751B8A">
        <w:rPr>
          <w:lang w:val="en-US"/>
        </w:rPr>
        <w:t>t</w:t>
      </w:r>
      <w:r w:rsidRPr="00751B8A">
        <w:rPr>
          <w:lang w:val="en-US"/>
        </w:rPr>
        <w:t xml:space="preserve">alented </w:t>
      </w:r>
      <w:r w:rsidR="002233EC" w:rsidRPr="00751B8A">
        <w:rPr>
          <w:lang w:val="en-US"/>
        </w:rPr>
        <w:t>i</w:t>
      </w:r>
      <w:r w:rsidRPr="00751B8A">
        <w:rPr>
          <w:lang w:val="en-US"/>
        </w:rPr>
        <w:t xml:space="preserve">dentification </w:t>
      </w:r>
      <w:r w:rsidR="002233EC" w:rsidRPr="00751B8A">
        <w:rPr>
          <w:lang w:val="en-US"/>
        </w:rPr>
        <w:t>s</w:t>
      </w:r>
      <w:r w:rsidRPr="00751B8A">
        <w:rPr>
          <w:lang w:val="en-US"/>
        </w:rPr>
        <w:t xml:space="preserve">ystems: Cost, </w:t>
      </w:r>
      <w:r w:rsidR="002233EC" w:rsidRPr="00751B8A">
        <w:rPr>
          <w:lang w:val="en-US"/>
        </w:rPr>
        <w:t>a</w:t>
      </w:r>
      <w:r w:rsidRPr="00751B8A">
        <w:rPr>
          <w:lang w:val="en-US"/>
        </w:rPr>
        <w:t xml:space="preserve">lignment, </w:t>
      </w:r>
      <w:r w:rsidR="002233EC" w:rsidRPr="00751B8A">
        <w:rPr>
          <w:lang w:val="en-US"/>
        </w:rPr>
        <w:t>s</w:t>
      </w:r>
      <w:r w:rsidRPr="00751B8A">
        <w:rPr>
          <w:lang w:val="en-US"/>
        </w:rPr>
        <w:t xml:space="preserve">ensitivity, and </w:t>
      </w:r>
      <w:r w:rsidR="002233EC" w:rsidRPr="00751B8A">
        <w:rPr>
          <w:lang w:val="en-US"/>
        </w:rPr>
        <w:t>a</w:t>
      </w:r>
      <w:r w:rsidRPr="00751B8A">
        <w:rPr>
          <w:lang w:val="en-US"/>
        </w:rPr>
        <w:t xml:space="preserve">ccess. </w:t>
      </w:r>
      <w:r w:rsidRPr="004D25F4">
        <w:rPr>
          <w:i/>
          <w:iCs/>
          <w:lang w:val="en-US"/>
        </w:rPr>
        <w:t>Gifted Child Quarterly, 67</w:t>
      </w:r>
      <w:r w:rsidR="004471D6" w:rsidRPr="00E7631D">
        <w:rPr>
          <w:lang w:val="en-US"/>
        </w:rPr>
        <w:t> </w:t>
      </w:r>
      <w:r w:rsidRPr="00E7631D">
        <w:rPr>
          <w:lang w:val="en-US"/>
        </w:rPr>
        <w:t xml:space="preserve">(2), 137–150. </w:t>
      </w:r>
      <w:hyperlink r:id="rId24" w:history="1">
        <w:r w:rsidR="001277F9" w:rsidRPr="003E2B65">
          <w:rPr>
            <w:rStyle w:val="Hyperlink"/>
            <w:lang w:val="en-US"/>
          </w:rPr>
          <w:t>https://doi.org/10.1177/00169862221124887</w:t>
        </w:r>
      </w:hyperlink>
    </w:p>
    <w:p w14:paraId="5EB72887" w14:textId="7386227C" w:rsidR="00154A7A" w:rsidRPr="000A12D4" w:rsidRDefault="00154A7A" w:rsidP="000A12D4">
      <w:pPr>
        <w:pStyle w:val="Literaturverzeichnis"/>
        <w:spacing w:line="276" w:lineRule="auto"/>
      </w:pPr>
      <w:r w:rsidRPr="00E7631D">
        <w:rPr>
          <w:lang w:val="en-US"/>
        </w:rPr>
        <w:t xml:space="preserve">Preckel, F. &amp; Vock, M. (2021). </w:t>
      </w:r>
      <w:r w:rsidRPr="004D25F4">
        <w:rPr>
          <w:i/>
          <w:iCs/>
        </w:rPr>
        <w:t>Hochbegabung: Ein Lehrbuch zu Grundlagen, Diagnostik und Fördermöglichkeiten</w:t>
      </w:r>
      <w:r w:rsidRPr="000A12D4">
        <w:t xml:space="preserve"> (2., überarb</w:t>
      </w:r>
      <w:r w:rsidR="00A12048" w:rsidRPr="000A12D4">
        <w:t>.</w:t>
      </w:r>
      <w:r w:rsidRPr="000A12D4">
        <w:t xml:space="preserve"> Aufl</w:t>
      </w:r>
      <w:r w:rsidR="00E92C7F" w:rsidRPr="000A12D4">
        <w:t>.</w:t>
      </w:r>
      <w:r w:rsidRPr="000A12D4">
        <w:t>). Hogrefe</w:t>
      </w:r>
      <w:r w:rsidR="001E2846" w:rsidRPr="000A12D4">
        <w:t>.</w:t>
      </w:r>
    </w:p>
    <w:p w14:paraId="339AA7AC" w14:textId="7BE5DDCA" w:rsidR="00154A7A" w:rsidRPr="000A12D4" w:rsidRDefault="00154A7A" w:rsidP="000A12D4">
      <w:pPr>
        <w:pStyle w:val="Literaturverzeichnis"/>
        <w:spacing w:line="276" w:lineRule="auto"/>
      </w:pPr>
      <w:r w:rsidRPr="000A12D4">
        <w:t xml:space="preserve">Quenzel, G. &amp; Hurrelmann, K. (Hrsg.) (2019). </w:t>
      </w:r>
      <w:r w:rsidRPr="004D25F4">
        <w:rPr>
          <w:i/>
          <w:iCs/>
        </w:rPr>
        <w:t>Handbuch Bildungsarmut</w:t>
      </w:r>
      <w:r w:rsidRPr="000A12D4">
        <w:t>. Springer VS.</w:t>
      </w:r>
    </w:p>
    <w:p w14:paraId="4F1F4926" w14:textId="6D467772" w:rsidR="00154A7A" w:rsidRPr="000A12D4" w:rsidRDefault="00154A7A" w:rsidP="000A12D4">
      <w:pPr>
        <w:pStyle w:val="Literaturverzeichnis"/>
        <w:spacing w:line="276" w:lineRule="auto"/>
      </w:pPr>
      <w:r w:rsidRPr="000A12D4">
        <w:t>Reintjes, C., Kunze, I. &amp; Ossowski, E. (2019). Editorial: Begabungsförderung und Professionalisierung</w:t>
      </w:r>
      <w:r w:rsidR="007A1D78" w:rsidRPr="000A12D4">
        <w:t xml:space="preserve"> – </w:t>
      </w:r>
      <w:r w:rsidRPr="000A12D4">
        <w:t xml:space="preserve">Befunde, Perspektiven, Herausforderungen. In C. Reintjes, I. Kunze &amp; E. Ossowski (Hrsg.), </w:t>
      </w:r>
      <w:r w:rsidRPr="004D25F4">
        <w:rPr>
          <w:i/>
          <w:iCs/>
        </w:rPr>
        <w:t>Begabungsförderung und Professionalisierung: Befunde, Perspektiven, Herausforderungen</w:t>
      </w:r>
      <w:r w:rsidRPr="000A12D4">
        <w:t xml:space="preserve"> (S.</w:t>
      </w:r>
      <w:r w:rsidR="00861373">
        <w:t> </w:t>
      </w:r>
      <w:r w:rsidRPr="000A12D4">
        <w:t>7–18). Klinkhardt.</w:t>
      </w:r>
    </w:p>
    <w:p w14:paraId="7E462492" w14:textId="4361345E" w:rsidR="00154A7A" w:rsidRPr="000A12D4" w:rsidRDefault="00154A7A" w:rsidP="000A12D4">
      <w:pPr>
        <w:pStyle w:val="Literaturverzeichnis"/>
        <w:spacing w:line="276" w:lineRule="auto"/>
      </w:pPr>
      <w:r w:rsidRPr="000A12D4">
        <w:lastRenderedPageBreak/>
        <w:t>Sedmak, C. &amp; Kapferer, E. (2021). Begabtenförderung und Bildungsgerechtigkeit. In V. Müller-Oppliger &amp; G.</w:t>
      </w:r>
      <w:r w:rsidR="004E27AE" w:rsidRPr="000A12D4">
        <w:t> </w:t>
      </w:r>
      <w:r w:rsidRPr="000A12D4">
        <w:t xml:space="preserve">Weigand (Hrsg.), </w:t>
      </w:r>
      <w:r w:rsidRPr="004D25F4">
        <w:rPr>
          <w:i/>
          <w:iCs/>
        </w:rPr>
        <w:t>Handbuch Begabung</w:t>
      </w:r>
      <w:r w:rsidRPr="000A12D4">
        <w:t xml:space="preserve"> (S.</w:t>
      </w:r>
      <w:r w:rsidR="00E03635">
        <w:t> </w:t>
      </w:r>
      <w:r w:rsidRPr="000A12D4">
        <w:t>65–76). Beltz.</w:t>
      </w:r>
    </w:p>
    <w:p w14:paraId="63F5F936" w14:textId="6BF74DE3" w:rsidR="00154A7A" w:rsidRPr="000A12D4" w:rsidRDefault="00154A7A" w:rsidP="000A12D4">
      <w:pPr>
        <w:pStyle w:val="Literaturverzeichnis"/>
        <w:spacing w:line="276" w:lineRule="auto"/>
      </w:pPr>
      <w:r w:rsidRPr="004D7F49">
        <w:t>Sliwka, A. &amp; Nguyen, T.</w:t>
      </w:r>
      <w:r w:rsidR="00E03635" w:rsidRPr="004D7F49">
        <w:t> </w:t>
      </w:r>
      <w:r w:rsidRPr="004D7F49">
        <w:t xml:space="preserve">L. (2017). </w:t>
      </w:r>
      <w:r w:rsidRPr="000A12D4">
        <w:t xml:space="preserve">Zur Bedeutung der schulischen Organisation und der Kompetenzen von Lehrkräften für die Talentidentifikation und -förderung. In U. Trautwein &amp; M. Hasselhorn (Hrsg.), </w:t>
      </w:r>
      <w:r w:rsidRPr="004D25F4">
        <w:rPr>
          <w:i/>
          <w:iCs/>
        </w:rPr>
        <w:t>Begabungen und Talente</w:t>
      </w:r>
      <w:r w:rsidRPr="000A12D4">
        <w:t xml:space="preserve"> (S.</w:t>
      </w:r>
      <w:r w:rsidR="00E03635">
        <w:t> </w:t>
      </w:r>
      <w:r w:rsidRPr="000A12D4">
        <w:t>17–30). Hogrefe.</w:t>
      </w:r>
    </w:p>
    <w:p w14:paraId="6E667657" w14:textId="40B23EFD" w:rsidR="00154A7A" w:rsidRPr="000A12D4" w:rsidRDefault="00154A7A" w:rsidP="000A12D4">
      <w:pPr>
        <w:pStyle w:val="Literaturverzeichnis"/>
        <w:spacing w:line="276" w:lineRule="auto"/>
      </w:pPr>
      <w:r w:rsidRPr="000A12D4">
        <w:t>Solzbacher, C. &amp; Behrensen, B. (2015). Inklusive Begabungsförderung und individuelle Förderung. Grundlegungen, Chancen und Herausforderungen einer vielversprechenden Symbiose. In C. Solzbacher, G.</w:t>
      </w:r>
      <w:r w:rsidR="004E27AE" w:rsidRPr="000A12D4">
        <w:t> </w:t>
      </w:r>
      <w:r w:rsidRPr="000A12D4">
        <w:t>Weigand &amp; P.</w:t>
      </w:r>
      <w:r w:rsidR="003D55AB">
        <w:t> </w:t>
      </w:r>
      <w:r w:rsidRPr="000A12D4">
        <w:t xml:space="preserve">Schreiber (Hrsg.), </w:t>
      </w:r>
      <w:r w:rsidRPr="004D25F4">
        <w:rPr>
          <w:i/>
          <w:iCs/>
        </w:rPr>
        <w:t>Begabungsförderung kontrovers? Konzepte im Spiegel der Inklusion</w:t>
      </w:r>
      <w:r w:rsidRPr="000A12D4">
        <w:t xml:space="preserve"> (S.</w:t>
      </w:r>
      <w:r w:rsidR="003D55AB">
        <w:t> </w:t>
      </w:r>
      <w:r w:rsidRPr="000A12D4">
        <w:t>13–27). Beltz.</w:t>
      </w:r>
    </w:p>
    <w:p w14:paraId="6BD6CCC2" w14:textId="4C37FFA8" w:rsidR="00154A7A" w:rsidRPr="000A12D4" w:rsidRDefault="00154A7A" w:rsidP="000A12D4">
      <w:pPr>
        <w:pStyle w:val="Literaturverzeichnis"/>
        <w:spacing w:line="276" w:lineRule="auto"/>
      </w:pPr>
      <w:r w:rsidRPr="000A12D4">
        <w:t xml:space="preserve">Vock, M. (2021). Akzeleration – schneller durch die Schule? Effekte, Gelingensbedingungen und Risiken von Akzelerationsmaßnahmen. In V. Müller-Oppliger &amp; G. Weigand (Hrsg.), </w:t>
      </w:r>
      <w:r w:rsidRPr="004D25F4">
        <w:rPr>
          <w:i/>
          <w:iCs/>
        </w:rPr>
        <w:t>Handbuch Begabung</w:t>
      </w:r>
      <w:r w:rsidRPr="000A12D4">
        <w:t xml:space="preserve"> (S.</w:t>
      </w:r>
      <w:r w:rsidR="004E27AE" w:rsidRPr="000A12D4">
        <w:t> </w:t>
      </w:r>
      <w:r w:rsidRPr="000A12D4">
        <w:t>319–332). Beltz.</w:t>
      </w:r>
    </w:p>
    <w:p w14:paraId="2A7A10B6" w14:textId="56E3F0DC" w:rsidR="00154A7A" w:rsidRPr="000A12D4" w:rsidRDefault="00154A7A" w:rsidP="000A12D4">
      <w:pPr>
        <w:pStyle w:val="Literaturverzeichnis"/>
        <w:spacing w:line="276" w:lineRule="auto"/>
      </w:pPr>
      <w:r w:rsidRPr="000A12D4">
        <w:t xml:space="preserve">Vock, M., Penk, C. &amp; Köller, O. (2014). Wer überspringt eine Schulklasse? Befunde zum Klassenüberspringen in Deutschland. </w:t>
      </w:r>
      <w:r w:rsidRPr="004D25F4">
        <w:rPr>
          <w:i/>
          <w:iCs/>
        </w:rPr>
        <w:t>Psychologie in Erziehung und Unterricht, 61</w:t>
      </w:r>
      <w:r w:rsidR="00D42718">
        <w:t> </w:t>
      </w:r>
      <w:r w:rsidRPr="000A12D4">
        <w:t>(3), 153</w:t>
      </w:r>
      <w:r w:rsidR="007C7936" w:rsidRPr="000A12D4">
        <w:t>–164</w:t>
      </w:r>
      <w:r w:rsidRPr="000A12D4">
        <w:t xml:space="preserve">. </w:t>
      </w:r>
    </w:p>
    <w:sectPr w:rsidR="00154A7A" w:rsidRPr="000A12D4" w:rsidSect="00216052">
      <w:headerReference w:type="even" r:id="rId25"/>
      <w:headerReference w:type="default" r:id="rId26"/>
      <w:footerReference w:type="even" r:id="rId27"/>
      <w:footerReference w:type="default" r:id="rId28"/>
      <w:headerReference w:type="first" r:id="rId29"/>
      <w:footerReference w:type="first" r:id="rId30"/>
      <w:pgSz w:w="11907" w:h="16840" w:code="9"/>
      <w:pgMar w:top="1418" w:right="1418" w:bottom="1134" w:left="1418" w:header="720" w:footer="567" w:gutter="0"/>
      <w:pgNumType w:start="3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5173" w14:textId="77777777" w:rsidR="00677583" w:rsidRDefault="00677583">
      <w:pPr>
        <w:spacing w:line="240" w:lineRule="auto"/>
      </w:pPr>
      <w:r>
        <w:separator/>
      </w:r>
    </w:p>
  </w:endnote>
  <w:endnote w:type="continuationSeparator" w:id="0">
    <w:p w14:paraId="6FAC09FE" w14:textId="77777777" w:rsidR="00677583" w:rsidRDefault="00677583">
      <w:pPr>
        <w:spacing w:line="240" w:lineRule="auto"/>
      </w:pPr>
      <w:r>
        <w:continuationSeparator/>
      </w:r>
    </w:p>
  </w:endnote>
  <w:endnote w:type="continuationNotice" w:id="1">
    <w:p w14:paraId="781D4291" w14:textId="77777777" w:rsidR="00677583" w:rsidRDefault="006775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535A1D41-A9A8-44B0-8B42-4D842FD6C7BB}"/>
    <w:embedBold r:id="rId2" w:fontKey="{717A1A0C-4C0C-40A4-A9CC-69090E520730}"/>
    <w:embedItalic r:id="rId3" w:fontKey="{530FF5A9-710F-46C2-B697-EAD8AB00DB2C}"/>
    <w:embedBoldItalic r:id="rId4" w:fontKey="{35474940-B2F2-4B12-9A67-D7E4549976B1}"/>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2F97" w14:textId="77777777" w:rsidR="00B27FB0" w:rsidRDefault="00B27F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408A"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2A85A5EC" wp14:editId="643B0A00">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5761" w14:textId="77777777" w:rsidR="00B27FB0" w:rsidRDefault="00B27F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1668" w14:textId="77777777" w:rsidR="00677583" w:rsidRPr="00777A2F" w:rsidRDefault="0067758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2E2554E" w14:textId="77777777" w:rsidR="00677583" w:rsidRDefault="00677583">
      <w:r>
        <w:continuationSeparator/>
      </w:r>
    </w:p>
  </w:footnote>
  <w:footnote w:type="continuationNotice" w:id="1">
    <w:p w14:paraId="43B2382F" w14:textId="77777777" w:rsidR="00677583" w:rsidRDefault="00677583">
      <w:pPr>
        <w:spacing w:line="240" w:lineRule="auto"/>
      </w:pPr>
    </w:p>
  </w:footnote>
  <w:footnote w:id="2">
    <w:p w14:paraId="73DE625D" w14:textId="180B4F6F" w:rsidR="00FE2E45" w:rsidRDefault="00FE2E45" w:rsidP="00FE2E45">
      <w:pPr>
        <w:pStyle w:val="Funotentext"/>
      </w:pPr>
      <w:r w:rsidRPr="00DB252C">
        <w:rPr>
          <w:rStyle w:val="Funotenzeichen"/>
          <w:sz w:val="18"/>
          <w:szCs w:val="18"/>
        </w:rPr>
        <w:footnoteRef/>
      </w:r>
      <w:r w:rsidRPr="00776B56">
        <w:rPr>
          <w:szCs w:val="18"/>
        </w:rPr>
        <w:t xml:space="preserve"> Fachlehrpersonen </w:t>
      </w:r>
      <w:r w:rsidR="00BA6B7C" w:rsidRPr="00776B56">
        <w:rPr>
          <w:szCs w:val="18"/>
        </w:rPr>
        <w:t xml:space="preserve">für </w:t>
      </w:r>
      <w:r w:rsidRPr="00776B56">
        <w:rPr>
          <w:szCs w:val="18"/>
        </w:rPr>
        <w:t xml:space="preserve">Begabungs- und Begabtenförderung </w:t>
      </w:r>
      <w:r w:rsidR="00C20E7C" w:rsidRPr="00776B56">
        <w:rPr>
          <w:szCs w:val="18"/>
        </w:rPr>
        <w:t>sind</w:t>
      </w:r>
      <w:r w:rsidRPr="00776B56">
        <w:rPr>
          <w:szCs w:val="18"/>
        </w:rPr>
        <w:t xml:space="preserve"> Lehrpersonen und/oder SHP, </w:t>
      </w:r>
      <w:r w:rsidR="00C20E7C" w:rsidRPr="00776B56">
        <w:rPr>
          <w:szCs w:val="18"/>
        </w:rPr>
        <w:t>die</w:t>
      </w:r>
      <w:r w:rsidRPr="00776B56">
        <w:rPr>
          <w:szCs w:val="18"/>
        </w:rPr>
        <w:t xml:space="preserve"> eine spezifische Weiterbildung</w:t>
      </w:r>
      <w:r w:rsidRPr="00BA2A6C">
        <w:t xml:space="preserve"> im Bereich Begabungs- und Begabtenförderung absolviert haben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27B6" w14:textId="77777777" w:rsidR="00B27FB0" w:rsidRDefault="00B27F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58A8" w14:textId="166FA38A" w:rsidR="007B448B" w:rsidRPr="000E76E6" w:rsidRDefault="00307EC7" w:rsidP="007B448B">
    <w:pPr>
      <w:pStyle w:val="Themenschwerpunkt"/>
      <w:rPr>
        <w:lang w:val="de-CH"/>
      </w:rPr>
    </w:pPr>
    <w:r w:rsidRPr="007C2058">
      <mc:AlternateContent>
        <mc:Choice Requires="wps">
          <w:drawing>
            <wp:anchor distT="0" distB="0" distL="114299" distR="114299" simplePos="0" relativeHeight="251658240" behindDoc="0" locked="0" layoutInCell="1" allowOverlap="1" wp14:anchorId="0FA118D3" wp14:editId="324209FB">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0AC74"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0E76E6">
      <w:rPr>
        <w:lang w:val="de-CH"/>
      </w:rPr>
      <w:t>DIE SCHULE VON MORGEN</w:t>
    </w:r>
    <w:r w:rsidR="007B448B" w:rsidRPr="007C2058">
      <w:rPr>
        <w:lang w:val="de-CH"/>
      </w:rPr>
      <w:tab/>
    </w:r>
    <w:r w:rsidR="007B448B" w:rsidRPr="007C2058">
      <w:rPr>
        <w:lang w:val="de-CH"/>
      </w:rPr>
      <w:tab/>
    </w:r>
    <w:r w:rsidR="00237079" w:rsidRPr="007C2058">
      <w:rPr>
        <w:b w:val="0"/>
        <w:bCs/>
        <w:lang w:val="de-CH"/>
      </w:rPr>
      <w:t xml:space="preserve">Schweizerische Zeitschrift für Heilpädagogik, Jg. </w:t>
    </w:r>
    <w:r w:rsidR="000E76E6">
      <w:rPr>
        <w:b w:val="0"/>
        <w:bCs/>
        <w:lang w:val="de-CH"/>
      </w:rPr>
      <w:t>31</w:t>
    </w:r>
    <w:r w:rsidR="00237079" w:rsidRPr="007C2058">
      <w:rPr>
        <w:b w:val="0"/>
        <w:bCs/>
        <w:lang w:val="de-CH"/>
      </w:rPr>
      <w:t xml:space="preserve">, </w:t>
    </w:r>
    <w:r w:rsidR="000E76E6">
      <w:rPr>
        <w:b w:val="0"/>
        <w:bCs/>
        <w:lang w:val="de-CH"/>
      </w:rPr>
      <w:t>05</w:t>
    </w:r>
    <w:r w:rsidR="00237079" w:rsidRPr="007C2058">
      <w:rPr>
        <w:b w:val="0"/>
        <w:bCs/>
        <w:lang w:val="de-CH"/>
      </w:rPr>
      <w:t>/</w:t>
    </w:r>
    <w:r w:rsidR="000E76E6">
      <w:rPr>
        <w:b w:val="0"/>
        <w:bCs/>
        <w:lang w:val="de-CH"/>
      </w:rPr>
      <w:t>2025</w:t>
    </w:r>
  </w:p>
  <w:p w14:paraId="71A44884" w14:textId="68B91944" w:rsidR="00237079" w:rsidRPr="000E76E6" w:rsidRDefault="00B7489C" w:rsidP="007A6BCC">
    <w:pPr>
      <w:pStyle w:val="Themenschwerpunkt"/>
    </w:pPr>
    <w:r w:rsidRPr="000E76E6">
      <w:rPr>
        <w:b w:val="0"/>
        <w:bCs/>
        <w:lang w:val="de-CH"/>
      </w:rPr>
      <w:t xml:space="preserve">| </w:t>
    </w:r>
    <w:r w:rsidR="00B71621" w:rsidRPr="000E76E6">
      <w:rPr>
        <w:b w:val="0"/>
        <w:bCs/>
        <w:lang w:val="de-CH"/>
      </w:rPr>
      <w:t>ARTI</w:t>
    </w:r>
    <w:r w:rsidR="00237079" w:rsidRPr="000E76E6">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32AE" w14:textId="77777777" w:rsidR="00B27FB0" w:rsidRDefault="00B27F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E47D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A2027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68438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FE0F34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56C958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6783DA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DC78CC"/>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1699356">
    <w:abstractNumId w:val="6"/>
  </w:num>
  <w:num w:numId="2" w16cid:durableId="1816487952">
    <w:abstractNumId w:val="8"/>
  </w:num>
  <w:num w:numId="3" w16cid:durableId="379716589">
    <w:abstractNumId w:val="9"/>
  </w:num>
  <w:num w:numId="4" w16cid:durableId="1479614155">
    <w:abstractNumId w:val="7"/>
  </w:num>
  <w:num w:numId="5" w16cid:durableId="1966891632">
    <w:abstractNumId w:val="5"/>
  </w:num>
  <w:num w:numId="6" w16cid:durableId="612781957">
    <w:abstractNumId w:val="4"/>
  </w:num>
  <w:num w:numId="7" w16cid:durableId="1020661686">
    <w:abstractNumId w:val="3"/>
  </w:num>
  <w:num w:numId="8" w16cid:durableId="2024160266">
    <w:abstractNumId w:val="2"/>
  </w:num>
  <w:num w:numId="9" w16cid:durableId="965886692">
    <w:abstractNumId w:val="1"/>
  </w:num>
  <w:num w:numId="10" w16cid:durableId="523448261">
    <w:abstractNumId w:val="0"/>
  </w:num>
  <w:num w:numId="11" w16cid:durableId="1243876185">
    <w:abstractNumId w:val="1"/>
  </w:num>
  <w:num w:numId="12" w16cid:durableId="246966902">
    <w:abstractNumId w:val="0"/>
  </w:num>
  <w:num w:numId="13" w16cid:durableId="20865200">
    <w:abstractNumId w:val="1"/>
  </w:num>
  <w:num w:numId="14" w16cid:durableId="344136463">
    <w:abstractNumId w:val="0"/>
  </w:num>
  <w:num w:numId="15" w16cid:durableId="1685281087">
    <w:abstractNumId w:val="1"/>
  </w:num>
  <w:num w:numId="16" w16cid:durableId="617831375">
    <w:abstractNumId w:val="0"/>
  </w:num>
  <w:num w:numId="17" w16cid:durableId="549610790">
    <w:abstractNumId w:val="1"/>
  </w:num>
  <w:num w:numId="18" w16cid:durableId="121808350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30"/>
    <w:rsid w:val="00004559"/>
    <w:rsid w:val="00004F24"/>
    <w:rsid w:val="00004F77"/>
    <w:rsid w:val="00005D2E"/>
    <w:rsid w:val="000064FD"/>
    <w:rsid w:val="00006D13"/>
    <w:rsid w:val="0000750B"/>
    <w:rsid w:val="00016BFF"/>
    <w:rsid w:val="00020BEA"/>
    <w:rsid w:val="00020C28"/>
    <w:rsid w:val="000211A3"/>
    <w:rsid w:val="00021561"/>
    <w:rsid w:val="00021B86"/>
    <w:rsid w:val="00021F20"/>
    <w:rsid w:val="00022255"/>
    <w:rsid w:val="0002350A"/>
    <w:rsid w:val="00024143"/>
    <w:rsid w:val="00024424"/>
    <w:rsid w:val="0003002A"/>
    <w:rsid w:val="000302CB"/>
    <w:rsid w:val="00030CDE"/>
    <w:rsid w:val="000320D8"/>
    <w:rsid w:val="000321F7"/>
    <w:rsid w:val="0003314D"/>
    <w:rsid w:val="000350FC"/>
    <w:rsid w:val="000352CE"/>
    <w:rsid w:val="00036544"/>
    <w:rsid w:val="000365F0"/>
    <w:rsid w:val="00036AFC"/>
    <w:rsid w:val="000409BA"/>
    <w:rsid w:val="00040FD2"/>
    <w:rsid w:val="00041343"/>
    <w:rsid w:val="00042C4D"/>
    <w:rsid w:val="00044338"/>
    <w:rsid w:val="000459EF"/>
    <w:rsid w:val="000512EC"/>
    <w:rsid w:val="00053353"/>
    <w:rsid w:val="00055A5F"/>
    <w:rsid w:val="000629A7"/>
    <w:rsid w:val="00063286"/>
    <w:rsid w:val="00063DEE"/>
    <w:rsid w:val="000642D4"/>
    <w:rsid w:val="00064ACB"/>
    <w:rsid w:val="00070D33"/>
    <w:rsid w:val="000759D7"/>
    <w:rsid w:val="00082507"/>
    <w:rsid w:val="00086363"/>
    <w:rsid w:val="000907A6"/>
    <w:rsid w:val="00091421"/>
    <w:rsid w:val="00092D68"/>
    <w:rsid w:val="00093372"/>
    <w:rsid w:val="000A12D4"/>
    <w:rsid w:val="000A62E6"/>
    <w:rsid w:val="000A7236"/>
    <w:rsid w:val="000B0E90"/>
    <w:rsid w:val="000B35EF"/>
    <w:rsid w:val="000B5154"/>
    <w:rsid w:val="000B5BB8"/>
    <w:rsid w:val="000B5EC3"/>
    <w:rsid w:val="000B7BCE"/>
    <w:rsid w:val="000B7E21"/>
    <w:rsid w:val="000C0531"/>
    <w:rsid w:val="000C2CFB"/>
    <w:rsid w:val="000C3078"/>
    <w:rsid w:val="000C3782"/>
    <w:rsid w:val="000C748D"/>
    <w:rsid w:val="000D06A9"/>
    <w:rsid w:val="000D3765"/>
    <w:rsid w:val="000D37D8"/>
    <w:rsid w:val="000D3C1B"/>
    <w:rsid w:val="000D56F0"/>
    <w:rsid w:val="000D59A0"/>
    <w:rsid w:val="000D7529"/>
    <w:rsid w:val="000D759A"/>
    <w:rsid w:val="000E1CA2"/>
    <w:rsid w:val="000E2AD4"/>
    <w:rsid w:val="000E4162"/>
    <w:rsid w:val="000E4C54"/>
    <w:rsid w:val="000E58AE"/>
    <w:rsid w:val="000E5A93"/>
    <w:rsid w:val="000E6453"/>
    <w:rsid w:val="000E6A66"/>
    <w:rsid w:val="000E732C"/>
    <w:rsid w:val="000E76E6"/>
    <w:rsid w:val="000F0956"/>
    <w:rsid w:val="000F14CE"/>
    <w:rsid w:val="000F303A"/>
    <w:rsid w:val="000F4B54"/>
    <w:rsid w:val="000F4C2F"/>
    <w:rsid w:val="000F5288"/>
    <w:rsid w:val="0010109D"/>
    <w:rsid w:val="001032DA"/>
    <w:rsid w:val="0010334E"/>
    <w:rsid w:val="0010445E"/>
    <w:rsid w:val="00105AF3"/>
    <w:rsid w:val="00110812"/>
    <w:rsid w:val="00110FC4"/>
    <w:rsid w:val="001114E2"/>
    <w:rsid w:val="00112EBB"/>
    <w:rsid w:val="00114461"/>
    <w:rsid w:val="001150A5"/>
    <w:rsid w:val="00115EF5"/>
    <w:rsid w:val="001161D6"/>
    <w:rsid w:val="00117142"/>
    <w:rsid w:val="001203C1"/>
    <w:rsid w:val="00120CBF"/>
    <w:rsid w:val="0012185F"/>
    <w:rsid w:val="00122A4A"/>
    <w:rsid w:val="00123FCA"/>
    <w:rsid w:val="0012513A"/>
    <w:rsid w:val="0012743D"/>
    <w:rsid w:val="00127564"/>
    <w:rsid w:val="001277F9"/>
    <w:rsid w:val="00127A1D"/>
    <w:rsid w:val="0013018F"/>
    <w:rsid w:val="0013195A"/>
    <w:rsid w:val="00132F34"/>
    <w:rsid w:val="00135C32"/>
    <w:rsid w:val="00136356"/>
    <w:rsid w:val="001412DD"/>
    <w:rsid w:val="00144218"/>
    <w:rsid w:val="00144A55"/>
    <w:rsid w:val="0014541C"/>
    <w:rsid w:val="00147039"/>
    <w:rsid w:val="001472E8"/>
    <w:rsid w:val="00151A4A"/>
    <w:rsid w:val="00151BCA"/>
    <w:rsid w:val="00152C97"/>
    <w:rsid w:val="00153133"/>
    <w:rsid w:val="00153403"/>
    <w:rsid w:val="00154A7A"/>
    <w:rsid w:val="00157D7E"/>
    <w:rsid w:val="0016002A"/>
    <w:rsid w:val="00162AE7"/>
    <w:rsid w:val="00162C71"/>
    <w:rsid w:val="001643B3"/>
    <w:rsid w:val="00164EDF"/>
    <w:rsid w:val="00165E9C"/>
    <w:rsid w:val="001662B7"/>
    <w:rsid w:val="00166A34"/>
    <w:rsid w:val="00167858"/>
    <w:rsid w:val="00171769"/>
    <w:rsid w:val="00172EE2"/>
    <w:rsid w:val="00175B2F"/>
    <w:rsid w:val="00176031"/>
    <w:rsid w:val="00176A66"/>
    <w:rsid w:val="00183470"/>
    <w:rsid w:val="001848F0"/>
    <w:rsid w:val="0018692F"/>
    <w:rsid w:val="0019070B"/>
    <w:rsid w:val="00191A3B"/>
    <w:rsid w:val="001A1179"/>
    <w:rsid w:val="001A2EEC"/>
    <w:rsid w:val="001A37E8"/>
    <w:rsid w:val="001A46EE"/>
    <w:rsid w:val="001A5D96"/>
    <w:rsid w:val="001A624A"/>
    <w:rsid w:val="001B05BD"/>
    <w:rsid w:val="001B0DB1"/>
    <w:rsid w:val="001B13DC"/>
    <w:rsid w:val="001B16E8"/>
    <w:rsid w:val="001B2174"/>
    <w:rsid w:val="001B2219"/>
    <w:rsid w:val="001B25F3"/>
    <w:rsid w:val="001B498A"/>
    <w:rsid w:val="001B7781"/>
    <w:rsid w:val="001B79C9"/>
    <w:rsid w:val="001C20FB"/>
    <w:rsid w:val="001C2D89"/>
    <w:rsid w:val="001C474F"/>
    <w:rsid w:val="001C4ECC"/>
    <w:rsid w:val="001C58DC"/>
    <w:rsid w:val="001C5A77"/>
    <w:rsid w:val="001C6517"/>
    <w:rsid w:val="001D3BFB"/>
    <w:rsid w:val="001D6F6C"/>
    <w:rsid w:val="001D7CFD"/>
    <w:rsid w:val="001E0AD1"/>
    <w:rsid w:val="001E176F"/>
    <w:rsid w:val="001E1F4D"/>
    <w:rsid w:val="001E20D8"/>
    <w:rsid w:val="001E2846"/>
    <w:rsid w:val="001E37A0"/>
    <w:rsid w:val="001E3BE9"/>
    <w:rsid w:val="001E3C58"/>
    <w:rsid w:val="001E4D22"/>
    <w:rsid w:val="001E5B1E"/>
    <w:rsid w:val="001E672B"/>
    <w:rsid w:val="001E69D1"/>
    <w:rsid w:val="001F066E"/>
    <w:rsid w:val="001F1CDF"/>
    <w:rsid w:val="001F23DB"/>
    <w:rsid w:val="001F2A01"/>
    <w:rsid w:val="001F2C53"/>
    <w:rsid w:val="001F36CB"/>
    <w:rsid w:val="001F40A8"/>
    <w:rsid w:val="00201B50"/>
    <w:rsid w:val="002028A4"/>
    <w:rsid w:val="00202A19"/>
    <w:rsid w:val="0020358C"/>
    <w:rsid w:val="0020467E"/>
    <w:rsid w:val="00205999"/>
    <w:rsid w:val="00205BC2"/>
    <w:rsid w:val="00210362"/>
    <w:rsid w:val="00216052"/>
    <w:rsid w:val="002224A2"/>
    <w:rsid w:val="002226C1"/>
    <w:rsid w:val="00222EB7"/>
    <w:rsid w:val="002233EC"/>
    <w:rsid w:val="002236BE"/>
    <w:rsid w:val="00230227"/>
    <w:rsid w:val="00231A52"/>
    <w:rsid w:val="00232306"/>
    <w:rsid w:val="002333D9"/>
    <w:rsid w:val="00233C1E"/>
    <w:rsid w:val="00234061"/>
    <w:rsid w:val="0023486E"/>
    <w:rsid w:val="00235A6C"/>
    <w:rsid w:val="002360E6"/>
    <w:rsid w:val="00236B99"/>
    <w:rsid w:val="00237079"/>
    <w:rsid w:val="002403DE"/>
    <w:rsid w:val="00240FAF"/>
    <w:rsid w:val="00241303"/>
    <w:rsid w:val="002413B6"/>
    <w:rsid w:val="00243912"/>
    <w:rsid w:val="00243B64"/>
    <w:rsid w:val="002443A6"/>
    <w:rsid w:val="00246C6B"/>
    <w:rsid w:val="0025441D"/>
    <w:rsid w:val="00260AF7"/>
    <w:rsid w:val="00262ADC"/>
    <w:rsid w:val="0027096A"/>
    <w:rsid w:val="00272C69"/>
    <w:rsid w:val="00273A69"/>
    <w:rsid w:val="00276544"/>
    <w:rsid w:val="00276B2C"/>
    <w:rsid w:val="002804B8"/>
    <w:rsid w:val="002805AA"/>
    <w:rsid w:val="0028148C"/>
    <w:rsid w:val="002836FF"/>
    <w:rsid w:val="002837C6"/>
    <w:rsid w:val="00284EA0"/>
    <w:rsid w:val="00284F32"/>
    <w:rsid w:val="0028583B"/>
    <w:rsid w:val="002862AA"/>
    <w:rsid w:val="0028787F"/>
    <w:rsid w:val="00290062"/>
    <w:rsid w:val="00291E10"/>
    <w:rsid w:val="002959FB"/>
    <w:rsid w:val="002965A8"/>
    <w:rsid w:val="00296E04"/>
    <w:rsid w:val="002A42D1"/>
    <w:rsid w:val="002A7C35"/>
    <w:rsid w:val="002A7DBB"/>
    <w:rsid w:val="002B0B5B"/>
    <w:rsid w:val="002B1C29"/>
    <w:rsid w:val="002B28D4"/>
    <w:rsid w:val="002B423A"/>
    <w:rsid w:val="002B6313"/>
    <w:rsid w:val="002C5235"/>
    <w:rsid w:val="002C57E9"/>
    <w:rsid w:val="002C6F6E"/>
    <w:rsid w:val="002D39A1"/>
    <w:rsid w:val="002D4309"/>
    <w:rsid w:val="002E13B6"/>
    <w:rsid w:val="002E2B72"/>
    <w:rsid w:val="002E2F9B"/>
    <w:rsid w:val="002E3785"/>
    <w:rsid w:val="002E5374"/>
    <w:rsid w:val="002E6418"/>
    <w:rsid w:val="002E68F0"/>
    <w:rsid w:val="002F0BE3"/>
    <w:rsid w:val="002F0CE8"/>
    <w:rsid w:val="002F50E4"/>
    <w:rsid w:val="002F6CAE"/>
    <w:rsid w:val="0030447C"/>
    <w:rsid w:val="00306E8E"/>
    <w:rsid w:val="003073DB"/>
    <w:rsid w:val="00307A7B"/>
    <w:rsid w:val="00307EC7"/>
    <w:rsid w:val="00313E05"/>
    <w:rsid w:val="0031469A"/>
    <w:rsid w:val="00316DC7"/>
    <w:rsid w:val="00317FCA"/>
    <w:rsid w:val="00320129"/>
    <w:rsid w:val="00320CE8"/>
    <w:rsid w:val="00322024"/>
    <w:rsid w:val="003222A6"/>
    <w:rsid w:val="003237B7"/>
    <w:rsid w:val="003248AF"/>
    <w:rsid w:val="003248C6"/>
    <w:rsid w:val="00327D72"/>
    <w:rsid w:val="00330457"/>
    <w:rsid w:val="00333568"/>
    <w:rsid w:val="003339D7"/>
    <w:rsid w:val="0033605C"/>
    <w:rsid w:val="00336D06"/>
    <w:rsid w:val="00340D33"/>
    <w:rsid w:val="003451F3"/>
    <w:rsid w:val="003470C0"/>
    <w:rsid w:val="003514C3"/>
    <w:rsid w:val="0035419F"/>
    <w:rsid w:val="003542E3"/>
    <w:rsid w:val="00360D6A"/>
    <w:rsid w:val="00363306"/>
    <w:rsid w:val="003652AD"/>
    <w:rsid w:val="0036569A"/>
    <w:rsid w:val="00365730"/>
    <w:rsid w:val="00370DD5"/>
    <w:rsid w:val="003716C0"/>
    <w:rsid w:val="00371866"/>
    <w:rsid w:val="00372215"/>
    <w:rsid w:val="00373C37"/>
    <w:rsid w:val="0037468A"/>
    <w:rsid w:val="00375748"/>
    <w:rsid w:val="00376D6D"/>
    <w:rsid w:val="00377A5E"/>
    <w:rsid w:val="003819B7"/>
    <w:rsid w:val="00382314"/>
    <w:rsid w:val="00383074"/>
    <w:rsid w:val="00383745"/>
    <w:rsid w:val="003841CC"/>
    <w:rsid w:val="00386CFF"/>
    <w:rsid w:val="003878FA"/>
    <w:rsid w:val="003A0EA7"/>
    <w:rsid w:val="003A2717"/>
    <w:rsid w:val="003A3136"/>
    <w:rsid w:val="003A31A0"/>
    <w:rsid w:val="003A59AA"/>
    <w:rsid w:val="003A6023"/>
    <w:rsid w:val="003A62F7"/>
    <w:rsid w:val="003A675D"/>
    <w:rsid w:val="003A7C94"/>
    <w:rsid w:val="003B459A"/>
    <w:rsid w:val="003B4C81"/>
    <w:rsid w:val="003B7859"/>
    <w:rsid w:val="003B7F00"/>
    <w:rsid w:val="003C3376"/>
    <w:rsid w:val="003C3E45"/>
    <w:rsid w:val="003C4E3B"/>
    <w:rsid w:val="003D17AA"/>
    <w:rsid w:val="003D221C"/>
    <w:rsid w:val="003D3648"/>
    <w:rsid w:val="003D3660"/>
    <w:rsid w:val="003D46BB"/>
    <w:rsid w:val="003D4F23"/>
    <w:rsid w:val="003D502F"/>
    <w:rsid w:val="003D55AB"/>
    <w:rsid w:val="003D6075"/>
    <w:rsid w:val="003D7050"/>
    <w:rsid w:val="003E022D"/>
    <w:rsid w:val="003E0578"/>
    <w:rsid w:val="003E12A2"/>
    <w:rsid w:val="003E17C5"/>
    <w:rsid w:val="003E1B4A"/>
    <w:rsid w:val="003E22DA"/>
    <w:rsid w:val="003E4E93"/>
    <w:rsid w:val="003E7E16"/>
    <w:rsid w:val="003F05EA"/>
    <w:rsid w:val="003F08C1"/>
    <w:rsid w:val="003F3A38"/>
    <w:rsid w:val="003F55DF"/>
    <w:rsid w:val="003F6A6B"/>
    <w:rsid w:val="003F78C2"/>
    <w:rsid w:val="00400A6A"/>
    <w:rsid w:val="004027D5"/>
    <w:rsid w:val="00402889"/>
    <w:rsid w:val="00404F18"/>
    <w:rsid w:val="00407D47"/>
    <w:rsid w:val="004108D3"/>
    <w:rsid w:val="004133FD"/>
    <w:rsid w:val="00413702"/>
    <w:rsid w:val="00414332"/>
    <w:rsid w:val="004157C2"/>
    <w:rsid w:val="00415D3E"/>
    <w:rsid w:val="00417293"/>
    <w:rsid w:val="00417334"/>
    <w:rsid w:val="0042013D"/>
    <w:rsid w:val="00421D05"/>
    <w:rsid w:val="00422046"/>
    <w:rsid w:val="0042219C"/>
    <w:rsid w:val="0042354C"/>
    <w:rsid w:val="004241B6"/>
    <w:rsid w:val="004248EB"/>
    <w:rsid w:val="0042578B"/>
    <w:rsid w:val="00425898"/>
    <w:rsid w:val="00426392"/>
    <w:rsid w:val="00426606"/>
    <w:rsid w:val="00430242"/>
    <w:rsid w:val="00431807"/>
    <w:rsid w:val="00432F97"/>
    <w:rsid w:val="00435E27"/>
    <w:rsid w:val="00437867"/>
    <w:rsid w:val="00441F45"/>
    <w:rsid w:val="004421C7"/>
    <w:rsid w:val="004425C6"/>
    <w:rsid w:val="00443A5B"/>
    <w:rsid w:val="00446494"/>
    <w:rsid w:val="004471D6"/>
    <w:rsid w:val="00450551"/>
    <w:rsid w:val="0045068C"/>
    <w:rsid w:val="0045144F"/>
    <w:rsid w:val="004533E5"/>
    <w:rsid w:val="0045402F"/>
    <w:rsid w:val="00454BCF"/>
    <w:rsid w:val="00454C20"/>
    <w:rsid w:val="004561DA"/>
    <w:rsid w:val="00457A48"/>
    <w:rsid w:val="00457AA4"/>
    <w:rsid w:val="00457BCD"/>
    <w:rsid w:val="004609F9"/>
    <w:rsid w:val="00462950"/>
    <w:rsid w:val="00463793"/>
    <w:rsid w:val="004648F0"/>
    <w:rsid w:val="00464CA3"/>
    <w:rsid w:val="004652F2"/>
    <w:rsid w:val="00465B8D"/>
    <w:rsid w:val="004668CF"/>
    <w:rsid w:val="00467E46"/>
    <w:rsid w:val="0047168D"/>
    <w:rsid w:val="004727AF"/>
    <w:rsid w:val="00472BBE"/>
    <w:rsid w:val="00472E06"/>
    <w:rsid w:val="00474275"/>
    <w:rsid w:val="004749BD"/>
    <w:rsid w:val="004753C7"/>
    <w:rsid w:val="00476AF8"/>
    <w:rsid w:val="00480736"/>
    <w:rsid w:val="00481558"/>
    <w:rsid w:val="004815EE"/>
    <w:rsid w:val="00482FEA"/>
    <w:rsid w:val="004840BF"/>
    <w:rsid w:val="0048510D"/>
    <w:rsid w:val="0048575D"/>
    <w:rsid w:val="00485BB4"/>
    <w:rsid w:val="00486270"/>
    <w:rsid w:val="00490406"/>
    <w:rsid w:val="004923BF"/>
    <w:rsid w:val="004927CF"/>
    <w:rsid w:val="00492CC9"/>
    <w:rsid w:val="004937A3"/>
    <w:rsid w:val="0049456E"/>
    <w:rsid w:val="00495252"/>
    <w:rsid w:val="004968D9"/>
    <w:rsid w:val="004A2340"/>
    <w:rsid w:val="004A2626"/>
    <w:rsid w:val="004A2854"/>
    <w:rsid w:val="004A3A0E"/>
    <w:rsid w:val="004A77EA"/>
    <w:rsid w:val="004B1035"/>
    <w:rsid w:val="004B1834"/>
    <w:rsid w:val="004B29F8"/>
    <w:rsid w:val="004B3001"/>
    <w:rsid w:val="004B3A29"/>
    <w:rsid w:val="004B437C"/>
    <w:rsid w:val="004B47AB"/>
    <w:rsid w:val="004B5449"/>
    <w:rsid w:val="004C0B61"/>
    <w:rsid w:val="004C12A4"/>
    <w:rsid w:val="004C13EB"/>
    <w:rsid w:val="004C239F"/>
    <w:rsid w:val="004C4A76"/>
    <w:rsid w:val="004D25F4"/>
    <w:rsid w:val="004D289E"/>
    <w:rsid w:val="004D542D"/>
    <w:rsid w:val="004D5626"/>
    <w:rsid w:val="004D58AC"/>
    <w:rsid w:val="004D7F39"/>
    <w:rsid w:val="004D7F49"/>
    <w:rsid w:val="004E232F"/>
    <w:rsid w:val="004E27AE"/>
    <w:rsid w:val="004E2F2F"/>
    <w:rsid w:val="004E3691"/>
    <w:rsid w:val="004E481D"/>
    <w:rsid w:val="004E69CD"/>
    <w:rsid w:val="004E717B"/>
    <w:rsid w:val="004F0035"/>
    <w:rsid w:val="004F0CA8"/>
    <w:rsid w:val="004F0E17"/>
    <w:rsid w:val="004F43C7"/>
    <w:rsid w:val="004F4D34"/>
    <w:rsid w:val="004F5774"/>
    <w:rsid w:val="004F5C23"/>
    <w:rsid w:val="004F72F6"/>
    <w:rsid w:val="00501FD1"/>
    <w:rsid w:val="00503B81"/>
    <w:rsid w:val="00503D63"/>
    <w:rsid w:val="005055D5"/>
    <w:rsid w:val="00505919"/>
    <w:rsid w:val="0050676E"/>
    <w:rsid w:val="0051156B"/>
    <w:rsid w:val="005117FD"/>
    <w:rsid w:val="00512FDA"/>
    <w:rsid w:val="0051575D"/>
    <w:rsid w:val="00516247"/>
    <w:rsid w:val="0051654E"/>
    <w:rsid w:val="00516F3D"/>
    <w:rsid w:val="0051748B"/>
    <w:rsid w:val="00521559"/>
    <w:rsid w:val="00522B40"/>
    <w:rsid w:val="00523CF5"/>
    <w:rsid w:val="005244BE"/>
    <w:rsid w:val="005261AE"/>
    <w:rsid w:val="00526471"/>
    <w:rsid w:val="005301CD"/>
    <w:rsid w:val="00530CF3"/>
    <w:rsid w:val="00530E98"/>
    <w:rsid w:val="00531F94"/>
    <w:rsid w:val="00532056"/>
    <w:rsid w:val="00533DA1"/>
    <w:rsid w:val="0053533A"/>
    <w:rsid w:val="005363DC"/>
    <w:rsid w:val="005372FC"/>
    <w:rsid w:val="00537675"/>
    <w:rsid w:val="0054150E"/>
    <w:rsid w:val="005418E7"/>
    <w:rsid w:val="00546490"/>
    <w:rsid w:val="0055060F"/>
    <w:rsid w:val="005573DA"/>
    <w:rsid w:val="00560EF7"/>
    <w:rsid w:val="005618B7"/>
    <w:rsid w:val="0056274C"/>
    <w:rsid w:val="00564996"/>
    <w:rsid w:val="0056578A"/>
    <w:rsid w:val="0056595B"/>
    <w:rsid w:val="0056799C"/>
    <w:rsid w:val="00571774"/>
    <w:rsid w:val="00571C0D"/>
    <w:rsid w:val="00572C4C"/>
    <w:rsid w:val="005735EE"/>
    <w:rsid w:val="00575AB3"/>
    <w:rsid w:val="0057605E"/>
    <w:rsid w:val="00576771"/>
    <w:rsid w:val="00576E09"/>
    <w:rsid w:val="00577261"/>
    <w:rsid w:val="00577CA1"/>
    <w:rsid w:val="00577DF3"/>
    <w:rsid w:val="00580389"/>
    <w:rsid w:val="00581A50"/>
    <w:rsid w:val="00581DB2"/>
    <w:rsid w:val="00585ED0"/>
    <w:rsid w:val="005867AE"/>
    <w:rsid w:val="00587EED"/>
    <w:rsid w:val="00587EF6"/>
    <w:rsid w:val="00590636"/>
    <w:rsid w:val="00592444"/>
    <w:rsid w:val="00592B57"/>
    <w:rsid w:val="00594747"/>
    <w:rsid w:val="00594844"/>
    <w:rsid w:val="005A20DB"/>
    <w:rsid w:val="005A416B"/>
    <w:rsid w:val="005A4DAD"/>
    <w:rsid w:val="005A53E4"/>
    <w:rsid w:val="005A5DA1"/>
    <w:rsid w:val="005A646E"/>
    <w:rsid w:val="005A6F41"/>
    <w:rsid w:val="005A7AE7"/>
    <w:rsid w:val="005A7BA3"/>
    <w:rsid w:val="005A7C67"/>
    <w:rsid w:val="005B0D02"/>
    <w:rsid w:val="005B1D72"/>
    <w:rsid w:val="005B1FFC"/>
    <w:rsid w:val="005B2C1F"/>
    <w:rsid w:val="005B3AE3"/>
    <w:rsid w:val="005B69C8"/>
    <w:rsid w:val="005B6EE5"/>
    <w:rsid w:val="005C4C24"/>
    <w:rsid w:val="005C6DD2"/>
    <w:rsid w:val="005C786B"/>
    <w:rsid w:val="005D15B8"/>
    <w:rsid w:val="005D6895"/>
    <w:rsid w:val="005D7D65"/>
    <w:rsid w:val="005E150A"/>
    <w:rsid w:val="005E18C1"/>
    <w:rsid w:val="005E28CB"/>
    <w:rsid w:val="005E7A7A"/>
    <w:rsid w:val="005E7DD5"/>
    <w:rsid w:val="005F0A78"/>
    <w:rsid w:val="005F2B38"/>
    <w:rsid w:val="005F4885"/>
    <w:rsid w:val="005F54EB"/>
    <w:rsid w:val="005F577E"/>
    <w:rsid w:val="005F6237"/>
    <w:rsid w:val="006001B7"/>
    <w:rsid w:val="006019F4"/>
    <w:rsid w:val="00601F6A"/>
    <w:rsid w:val="0060470D"/>
    <w:rsid w:val="00605504"/>
    <w:rsid w:val="00610B6A"/>
    <w:rsid w:val="00610CDD"/>
    <w:rsid w:val="006111D5"/>
    <w:rsid w:val="006111F5"/>
    <w:rsid w:val="00613A7F"/>
    <w:rsid w:val="00615F34"/>
    <w:rsid w:val="00617A73"/>
    <w:rsid w:val="00620033"/>
    <w:rsid w:val="00623541"/>
    <w:rsid w:val="00623746"/>
    <w:rsid w:val="00623E11"/>
    <w:rsid w:val="00625148"/>
    <w:rsid w:val="0063052C"/>
    <w:rsid w:val="00630CBB"/>
    <w:rsid w:val="00631215"/>
    <w:rsid w:val="00631278"/>
    <w:rsid w:val="00632CCD"/>
    <w:rsid w:val="00635662"/>
    <w:rsid w:val="00635B3B"/>
    <w:rsid w:val="006360D7"/>
    <w:rsid w:val="00637C16"/>
    <w:rsid w:val="006411DE"/>
    <w:rsid w:val="00641774"/>
    <w:rsid w:val="006448C5"/>
    <w:rsid w:val="00644930"/>
    <w:rsid w:val="00644A42"/>
    <w:rsid w:val="0064715A"/>
    <w:rsid w:val="00650939"/>
    <w:rsid w:val="00653363"/>
    <w:rsid w:val="00653D93"/>
    <w:rsid w:val="006555BD"/>
    <w:rsid w:val="00655F3A"/>
    <w:rsid w:val="00656764"/>
    <w:rsid w:val="006568CD"/>
    <w:rsid w:val="0066009A"/>
    <w:rsid w:val="006606B2"/>
    <w:rsid w:val="00660AD9"/>
    <w:rsid w:val="00660B7C"/>
    <w:rsid w:val="00662004"/>
    <w:rsid w:val="006676E2"/>
    <w:rsid w:val="006712FA"/>
    <w:rsid w:val="00672149"/>
    <w:rsid w:val="00672F89"/>
    <w:rsid w:val="00674909"/>
    <w:rsid w:val="00675AE1"/>
    <w:rsid w:val="00675C47"/>
    <w:rsid w:val="00676759"/>
    <w:rsid w:val="00677583"/>
    <w:rsid w:val="00677BDD"/>
    <w:rsid w:val="00677C27"/>
    <w:rsid w:val="00682349"/>
    <w:rsid w:val="00682B8C"/>
    <w:rsid w:val="00682BCD"/>
    <w:rsid w:val="0068341F"/>
    <w:rsid w:val="00683ED1"/>
    <w:rsid w:val="00685EB4"/>
    <w:rsid w:val="00686246"/>
    <w:rsid w:val="00687142"/>
    <w:rsid w:val="0068735C"/>
    <w:rsid w:val="006918B9"/>
    <w:rsid w:val="00696681"/>
    <w:rsid w:val="00697872"/>
    <w:rsid w:val="00697C3A"/>
    <w:rsid w:val="006A0180"/>
    <w:rsid w:val="006A154B"/>
    <w:rsid w:val="006A30AE"/>
    <w:rsid w:val="006A3D63"/>
    <w:rsid w:val="006A4C05"/>
    <w:rsid w:val="006A4D07"/>
    <w:rsid w:val="006A6360"/>
    <w:rsid w:val="006A7B02"/>
    <w:rsid w:val="006A7CE6"/>
    <w:rsid w:val="006B38B5"/>
    <w:rsid w:val="006B530E"/>
    <w:rsid w:val="006B5540"/>
    <w:rsid w:val="006B5B83"/>
    <w:rsid w:val="006B6CCF"/>
    <w:rsid w:val="006C0680"/>
    <w:rsid w:val="006C0ECE"/>
    <w:rsid w:val="006C2A1D"/>
    <w:rsid w:val="006C2B84"/>
    <w:rsid w:val="006C39E8"/>
    <w:rsid w:val="006C3DFC"/>
    <w:rsid w:val="006C498B"/>
    <w:rsid w:val="006C562D"/>
    <w:rsid w:val="006C64AB"/>
    <w:rsid w:val="006C69C0"/>
    <w:rsid w:val="006D1672"/>
    <w:rsid w:val="006D2FA6"/>
    <w:rsid w:val="006D5D28"/>
    <w:rsid w:val="006D6F24"/>
    <w:rsid w:val="006D6FA0"/>
    <w:rsid w:val="006D722D"/>
    <w:rsid w:val="006D7703"/>
    <w:rsid w:val="006D7902"/>
    <w:rsid w:val="006E210A"/>
    <w:rsid w:val="006E231E"/>
    <w:rsid w:val="006E260B"/>
    <w:rsid w:val="006E335B"/>
    <w:rsid w:val="006E5CD5"/>
    <w:rsid w:val="006E6557"/>
    <w:rsid w:val="006E78BC"/>
    <w:rsid w:val="006F22E9"/>
    <w:rsid w:val="006F250C"/>
    <w:rsid w:val="006F3C01"/>
    <w:rsid w:val="006F49E8"/>
    <w:rsid w:val="0070215D"/>
    <w:rsid w:val="00702BE5"/>
    <w:rsid w:val="007065C3"/>
    <w:rsid w:val="00707524"/>
    <w:rsid w:val="00710490"/>
    <w:rsid w:val="00711002"/>
    <w:rsid w:val="00713C90"/>
    <w:rsid w:val="00713ECB"/>
    <w:rsid w:val="007155B8"/>
    <w:rsid w:val="00720114"/>
    <w:rsid w:val="00721676"/>
    <w:rsid w:val="00722108"/>
    <w:rsid w:val="007232B2"/>
    <w:rsid w:val="00724FEB"/>
    <w:rsid w:val="00725DA1"/>
    <w:rsid w:val="007302C3"/>
    <w:rsid w:val="00731D87"/>
    <w:rsid w:val="00732E49"/>
    <w:rsid w:val="00734500"/>
    <w:rsid w:val="00736084"/>
    <w:rsid w:val="007373E7"/>
    <w:rsid w:val="007378AA"/>
    <w:rsid w:val="00741E1B"/>
    <w:rsid w:val="007424F5"/>
    <w:rsid w:val="0074442C"/>
    <w:rsid w:val="00745BF0"/>
    <w:rsid w:val="00750D38"/>
    <w:rsid w:val="00750F02"/>
    <w:rsid w:val="00751B8A"/>
    <w:rsid w:val="00752CEB"/>
    <w:rsid w:val="00753192"/>
    <w:rsid w:val="007541EE"/>
    <w:rsid w:val="007545FE"/>
    <w:rsid w:val="00764FC4"/>
    <w:rsid w:val="00766D03"/>
    <w:rsid w:val="007706C4"/>
    <w:rsid w:val="0077226B"/>
    <w:rsid w:val="0077290B"/>
    <w:rsid w:val="00773C3F"/>
    <w:rsid w:val="007747C5"/>
    <w:rsid w:val="00775449"/>
    <w:rsid w:val="0077653D"/>
    <w:rsid w:val="00776B56"/>
    <w:rsid w:val="00777A2F"/>
    <w:rsid w:val="0078620B"/>
    <w:rsid w:val="00786AAA"/>
    <w:rsid w:val="00787B6E"/>
    <w:rsid w:val="00790847"/>
    <w:rsid w:val="00791112"/>
    <w:rsid w:val="0079496D"/>
    <w:rsid w:val="0079633A"/>
    <w:rsid w:val="00796E3A"/>
    <w:rsid w:val="007A1D78"/>
    <w:rsid w:val="007A1E1A"/>
    <w:rsid w:val="007A2052"/>
    <w:rsid w:val="007A2131"/>
    <w:rsid w:val="007A2E0F"/>
    <w:rsid w:val="007A3489"/>
    <w:rsid w:val="007A6BCC"/>
    <w:rsid w:val="007A75E1"/>
    <w:rsid w:val="007B05DC"/>
    <w:rsid w:val="007B0EAE"/>
    <w:rsid w:val="007B1552"/>
    <w:rsid w:val="007B285D"/>
    <w:rsid w:val="007B4390"/>
    <w:rsid w:val="007B448B"/>
    <w:rsid w:val="007B450A"/>
    <w:rsid w:val="007B4F54"/>
    <w:rsid w:val="007B5701"/>
    <w:rsid w:val="007B62B5"/>
    <w:rsid w:val="007B7621"/>
    <w:rsid w:val="007B78A6"/>
    <w:rsid w:val="007C0AD9"/>
    <w:rsid w:val="007C2058"/>
    <w:rsid w:val="007C5AB3"/>
    <w:rsid w:val="007C7936"/>
    <w:rsid w:val="007D004E"/>
    <w:rsid w:val="007D609C"/>
    <w:rsid w:val="007D6CC2"/>
    <w:rsid w:val="007E0407"/>
    <w:rsid w:val="007E183A"/>
    <w:rsid w:val="007E396D"/>
    <w:rsid w:val="007E3CCB"/>
    <w:rsid w:val="007E54E7"/>
    <w:rsid w:val="007E557A"/>
    <w:rsid w:val="007E6864"/>
    <w:rsid w:val="007E78D0"/>
    <w:rsid w:val="007F2038"/>
    <w:rsid w:val="007F38B3"/>
    <w:rsid w:val="007F43B0"/>
    <w:rsid w:val="007F4AC1"/>
    <w:rsid w:val="007F4AC4"/>
    <w:rsid w:val="007F5E1D"/>
    <w:rsid w:val="007F6883"/>
    <w:rsid w:val="007F6C69"/>
    <w:rsid w:val="007F730D"/>
    <w:rsid w:val="007F7691"/>
    <w:rsid w:val="007F7DC3"/>
    <w:rsid w:val="0080008D"/>
    <w:rsid w:val="008057E4"/>
    <w:rsid w:val="00805B91"/>
    <w:rsid w:val="0080610A"/>
    <w:rsid w:val="00806B16"/>
    <w:rsid w:val="00807F64"/>
    <w:rsid w:val="008108EC"/>
    <w:rsid w:val="008152E5"/>
    <w:rsid w:val="00816950"/>
    <w:rsid w:val="00817D30"/>
    <w:rsid w:val="008208E8"/>
    <w:rsid w:val="00822A53"/>
    <w:rsid w:val="00826F68"/>
    <w:rsid w:val="00830610"/>
    <w:rsid w:val="00830A17"/>
    <w:rsid w:val="0083129B"/>
    <w:rsid w:val="008313F5"/>
    <w:rsid w:val="00832E45"/>
    <w:rsid w:val="00834D62"/>
    <w:rsid w:val="008351F7"/>
    <w:rsid w:val="008357FB"/>
    <w:rsid w:val="00836EE4"/>
    <w:rsid w:val="00851EA3"/>
    <w:rsid w:val="00853805"/>
    <w:rsid w:val="008540A9"/>
    <w:rsid w:val="00854BFA"/>
    <w:rsid w:val="00855097"/>
    <w:rsid w:val="00855B7A"/>
    <w:rsid w:val="0085678D"/>
    <w:rsid w:val="00856EF7"/>
    <w:rsid w:val="0086103A"/>
    <w:rsid w:val="00861373"/>
    <w:rsid w:val="0086305F"/>
    <w:rsid w:val="00864625"/>
    <w:rsid w:val="0086583B"/>
    <w:rsid w:val="00867940"/>
    <w:rsid w:val="0087013D"/>
    <w:rsid w:val="00870508"/>
    <w:rsid w:val="00872F1F"/>
    <w:rsid w:val="00873354"/>
    <w:rsid w:val="00874AF0"/>
    <w:rsid w:val="00874CC1"/>
    <w:rsid w:val="00880910"/>
    <w:rsid w:val="008815C9"/>
    <w:rsid w:val="00881E7A"/>
    <w:rsid w:val="00882B9B"/>
    <w:rsid w:val="00882FE4"/>
    <w:rsid w:val="008854C8"/>
    <w:rsid w:val="008864D2"/>
    <w:rsid w:val="00890151"/>
    <w:rsid w:val="00891E7D"/>
    <w:rsid w:val="008924D4"/>
    <w:rsid w:val="008939C8"/>
    <w:rsid w:val="00894059"/>
    <w:rsid w:val="00896F8A"/>
    <w:rsid w:val="00897B37"/>
    <w:rsid w:val="008A126D"/>
    <w:rsid w:val="008A1810"/>
    <w:rsid w:val="008A2229"/>
    <w:rsid w:val="008A27CE"/>
    <w:rsid w:val="008A2ED3"/>
    <w:rsid w:val="008A66F9"/>
    <w:rsid w:val="008A6D27"/>
    <w:rsid w:val="008B1A11"/>
    <w:rsid w:val="008B28DD"/>
    <w:rsid w:val="008B3830"/>
    <w:rsid w:val="008B57E2"/>
    <w:rsid w:val="008B6F95"/>
    <w:rsid w:val="008B712A"/>
    <w:rsid w:val="008C14BB"/>
    <w:rsid w:val="008C3A4A"/>
    <w:rsid w:val="008C5DAC"/>
    <w:rsid w:val="008C5E25"/>
    <w:rsid w:val="008C6EDB"/>
    <w:rsid w:val="008D0693"/>
    <w:rsid w:val="008D06C9"/>
    <w:rsid w:val="008D07E2"/>
    <w:rsid w:val="008D1807"/>
    <w:rsid w:val="008D1C1D"/>
    <w:rsid w:val="008E1842"/>
    <w:rsid w:val="008E2433"/>
    <w:rsid w:val="008E5319"/>
    <w:rsid w:val="008F20AA"/>
    <w:rsid w:val="008F2E4E"/>
    <w:rsid w:val="008F4D07"/>
    <w:rsid w:val="008F5DB8"/>
    <w:rsid w:val="008F7B64"/>
    <w:rsid w:val="009008AB"/>
    <w:rsid w:val="00901E4D"/>
    <w:rsid w:val="009020BF"/>
    <w:rsid w:val="00905CDC"/>
    <w:rsid w:val="00906EC8"/>
    <w:rsid w:val="009113F6"/>
    <w:rsid w:val="00911696"/>
    <w:rsid w:val="00912E02"/>
    <w:rsid w:val="00915184"/>
    <w:rsid w:val="00917596"/>
    <w:rsid w:val="00917B97"/>
    <w:rsid w:val="00920846"/>
    <w:rsid w:val="00920A21"/>
    <w:rsid w:val="00921A3D"/>
    <w:rsid w:val="009239AF"/>
    <w:rsid w:val="00924503"/>
    <w:rsid w:val="00924706"/>
    <w:rsid w:val="0093100F"/>
    <w:rsid w:val="0093551E"/>
    <w:rsid w:val="0093624A"/>
    <w:rsid w:val="00940F69"/>
    <w:rsid w:val="0094130B"/>
    <w:rsid w:val="009429B2"/>
    <w:rsid w:val="0094357E"/>
    <w:rsid w:val="00943B46"/>
    <w:rsid w:val="0094528C"/>
    <w:rsid w:val="0094640A"/>
    <w:rsid w:val="009469D9"/>
    <w:rsid w:val="0095059E"/>
    <w:rsid w:val="00950A25"/>
    <w:rsid w:val="00951D7E"/>
    <w:rsid w:val="00953BD9"/>
    <w:rsid w:val="009549CB"/>
    <w:rsid w:val="00954B08"/>
    <w:rsid w:val="00954D58"/>
    <w:rsid w:val="009552F9"/>
    <w:rsid w:val="009554F3"/>
    <w:rsid w:val="00956F25"/>
    <w:rsid w:val="00956FA7"/>
    <w:rsid w:val="00961056"/>
    <w:rsid w:val="00961F40"/>
    <w:rsid w:val="00962F95"/>
    <w:rsid w:val="00963AEC"/>
    <w:rsid w:val="00964403"/>
    <w:rsid w:val="0096579B"/>
    <w:rsid w:val="009660DC"/>
    <w:rsid w:val="00967D5F"/>
    <w:rsid w:val="0097058D"/>
    <w:rsid w:val="00973856"/>
    <w:rsid w:val="0097586F"/>
    <w:rsid w:val="009762B8"/>
    <w:rsid w:val="00976BA0"/>
    <w:rsid w:val="009779D2"/>
    <w:rsid w:val="00980568"/>
    <w:rsid w:val="00985126"/>
    <w:rsid w:val="00985165"/>
    <w:rsid w:val="00985CD4"/>
    <w:rsid w:val="00987388"/>
    <w:rsid w:val="00987EA3"/>
    <w:rsid w:val="00991856"/>
    <w:rsid w:val="00997665"/>
    <w:rsid w:val="009A04F5"/>
    <w:rsid w:val="009A0984"/>
    <w:rsid w:val="009A0B42"/>
    <w:rsid w:val="009A0E81"/>
    <w:rsid w:val="009A40AE"/>
    <w:rsid w:val="009A452B"/>
    <w:rsid w:val="009A4B12"/>
    <w:rsid w:val="009A4C61"/>
    <w:rsid w:val="009A57A5"/>
    <w:rsid w:val="009A7061"/>
    <w:rsid w:val="009A73FC"/>
    <w:rsid w:val="009A7FF6"/>
    <w:rsid w:val="009B50CA"/>
    <w:rsid w:val="009B5334"/>
    <w:rsid w:val="009B7C8B"/>
    <w:rsid w:val="009C16D5"/>
    <w:rsid w:val="009C2D5E"/>
    <w:rsid w:val="009C4DE5"/>
    <w:rsid w:val="009C6886"/>
    <w:rsid w:val="009D1630"/>
    <w:rsid w:val="009D1A1B"/>
    <w:rsid w:val="009D33CB"/>
    <w:rsid w:val="009D4CCF"/>
    <w:rsid w:val="009D61F0"/>
    <w:rsid w:val="009D7899"/>
    <w:rsid w:val="009E17F1"/>
    <w:rsid w:val="009E22A4"/>
    <w:rsid w:val="009E32CB"/>
    <w:rsid w:val="009E5005"/>
    <w:rsid w:val="009E537F"/>
    <w:rsid w:val="009F19DD"/>
    <w:rsid w:val="009F26B1"/>
    <w:rsid w:val="009F4CD6"/>
    <w:rsid w:val="009F6A07"/>
    <w:rsid w:val="009F6BC8"/>
    <w:rsid w:val="00A00A7D"/>
    <w:rsid w:val="00A01A8C"/>
    <w:rsid w:val="00A027F5"/>
    <w:rsid w:val="00A076FA"/>
    <w:rsid w:val="00A07E7B"/>
    <w:rsid w:val="00A10362"/>
    <w:rsid w:val="00A11404"/>
    <w:rsid w:val="00A11653"/>
    <w:rsid w:val="00A12048"/>
    <w:rsid w:val="00A14A08"/>
    <w:rsid w:val="00A15A83"/>
    <w:rsid w:val="00A15C89"/>
    <w:rsid w:val="00A218AF"/>
    <w:rsid w:val="00A22CEF"/>
    <w:rsid w:val="00A22DE6"/>
    <w:rsid w:val="00A24A89"/>
    <w:rsid w:val="00A24D4D"/>
    <w:rsid w:val="00A2510A"/>
    <w:rsid w:val="00A25FFD"/>
    <w:rsid w:val="00A263C7"/>
    <w:rsid w:val="00A26B13"/>
    <w:rsid w:val="00A373A9"/>
    <w:rsid w:val="00A37E53"/>
    <w:rsid w:val="00A40392"/>
    <w:rsid w:val="00A40DE9"/>
    <w:rsid w:val="00A443B1"/>
    <w:rsid w:val="00A446C4"/>
    <w:rsid w:val="00A446FF"/>
    <w:rsid w:val="00A47798"/>
    <w:rsid w:val="00A50A1E"/>
    <w:rsid w:val="00A5103C"/>
    <w:rsid w:val="00A526D1"/>
    <w:rsid w:val="00A5361D"/>
    <w:rsid w:val="00A543D6"/>
    <w:rsid w:val="00A5488E"/>
    <w:rsid w:val="00A549A1"/>
    <w:rsid w:val="00A54A66"/>
    <w:rsid w:val="00A55E72"/>
    <w:rsid w:val="00A577DB"/>
    <w:rsid w:val="00A60376"/>
    <w:rsid w:val="00A61330"/>
    <w:rsid w:val="00A62D7E"/>
    <w:rsid w:val="00A6414D"/>
    <w:rsid w:val="00A6463C"/>
    <w:rsid w:val="00A65751"/>
    <w:rsid w:val="00A679DC"/>
    <w:rsid w:val="00A71E02"/>
    <w:rsid w:val="00A736B4"/>
    <w:rsid w:val="00A738BD"/>
    <w:rsid w:val="00A75A4A"/>
    <w:rsid w:val="00A83E40"/>
    <w:rsid w:val="00A842FF"/>
    <w:rsid w:val="00A85CC2"/>
    <w:rsid w:val="00A9537C"/>
    <w:rsid w:val="00A96B9D"/>
    <w:rsid w:val="00AA0A97"/>
    <w:rsid w:val="00AA2F41"/>
    <w:rsid w:val="00AA64F9"/>
    <w:rsid w:val="00AA657F"/>
    <w:rsid w:val="00AA6D28"/>
    <w:rsid w:val="00AA715E"/>
    <w:rsid w:val="00AA7D4C"/>
    <w:rsid w:val="00AB014B"/>
    <w:rsid w:val="00AB10A5"/>
    <w:rsid w:val="00AB4BB5"/>
    <w:rsid w:val="00AB6D20"/>
    <w:rsid w:val="00AB7501"/>
    <w:rsid w:val="00AC1542"/>
    <w:rsid w:val="00AC20F1"/>
    <w:rsid w:val="00AC25E4"/>
    <w:rsid w:val="00AC40F0"/>
    <w:rsid w:val="00AC471D"/>
    <w:rsid w:val="00AC4CEB"/>
    <w:rsid w:val="00AC4D65"/>
    <w:rsid w:val="00AC6AAA"/>
    <w:rsid w:val="00AC7517"/>
    <w:rsid w:val="00AC7A7E"/>
    <w:rsid w:val="00AD20EF"/>
    <w:rsid w:val="00AD39E9"/>
    <w:rsid w:val="00AD438A"/>
    <w:rsid w:val="00AD66BB"/>
    <w:rsid w:val="00AD7943"/>
    <w:rsid w:val="00AD7C7B"/>
    <w:rsid w:val="00AE143E"/>
    <w:rsid w:val="00AE1DD1"/>
    <w:rsid w:val="00AE2B00"/>
    <w:rsid w:val="00AE583E"/>
    <w:rsid w:val="00AE5B14"/>
    <w:rsid w:val="00AE5D15"/>
    <w:rsid w:val="00AE631D"/>
    <w:rsid w:val="00AF16EB"/>
    <w:rsid w:val="00AF1F03"/>
    <w:rsid w:val="00AF2C76"/>
    <w:rsid w:val="00AF547E"/>
    <w:rsid w:val="00AF63F5"/>
    <w:rsid w:val="00B00C87"/>
    <w:rsid w:val="00B10699"/>
    <w:rsid w:val="00B11378"/>
    <w:rsid w:val="00B14DE5"/>
    <w:rsid w:val="00B14E96"/>
    <w:rsid w:val="00B211CA"/>
    <w:rsid w:val="00B23E15"/>
    <w:rsid w:val="00B23FEC"/>
    <w:rsid w:val="00B24543"/>
    <w:rsid w:val="00B24C90"/>
    <w:rsid w:val="00B27008"/>
    <w:rsid w:val="00B27FB0"/>
    <w:rsid w:val="00B32441"/>
    <w:rsid w:val="00B3261A"/>
    <w:rsid w:val="00B33E50"/>
    <w:rsid w:val="00B4080D"/>
    <w:rsid w:val="00B42D95"/>
    <w:rsid w:val="00B44D06"/>
    <w:rsid w:val="00B450D3"/>
    <w:rsid w:val="00B45DC7"/>
    <w:rsid w:val="00B462BB"/>
    <w:rsid w:val="00B50E21"/>
    <w:rsid w:val="00B513A0"/>
    <w:rsid w:val="00B54E5C"/>
    <w:rsid w:val="00B5517F"/>
    <w:rsid w:val="00B55733"/>
    <w:rsid w:val="00B60F4C"/>
    <w:rsid w:val="00B64745"/>
    <w:rsid w:val="00B64EBE"/>
    <w:rsid w:val="00B6598C"/>
    <w:rsid w:val="00B71621"/>
    <w:rsid w:val="00B73747"/>
    <w:rsid w:val="00B7489C"/>
    <w:rsid w:val="00B7596B"/>
    <w:rsid w:val="00B846D1"/>
    <w:rsid w:val="00B861EA"/>
    <w:rsid w:val="00B90FA5"/>
    <w:rsid w:val="00B91D9E"/>
    <w:rsid w:val="00B949C4"/>
    <w:rsid w:val="00B960D4"/>
    <w:rsid w:val="00BA2A6C"/>
    <w:rsid w:val="00BA3000"/>
    <w:rsid w:val="00BA385E"/>
    <w:rsid w:val="00BA50D5"/>
    <w:rsid w:val="00BA6749"/>
    <w:rsid w:val="00BA6B7C"/>
    <w:rsid w:val="00BA7133"/>
    <w:rsid w:val="00BB013B"/>
    <w:rsid w:val="00BB07FE"/>
    <w:rsid w:val="00BB0BB7"/>
    <w:rsid w:val="00BB3270"/>
    <w:rsid w:val="00BB3A13"/>
    <w:rsid w:val="00BB6407"/>
    <w:rsid w:val="00BB7EDB"/>
    <w:rsid w:val="00BC059C"/>
    <w:rsid w:val="00BC0CF4"/>
    <w:rsid w:val="00BC27D0"/>
    <w:rsid w:val="00BC3107"/>
    <w:rsid w:val="00BC32F4"/>
    <w:rsid w:val="00BC4CAD"/>
    <w:rsid w:val="00BC52CD"/>
    <w:rsid w:val="00BC59BB"/>
    <w:rsid w:val="00BD0098"/>
    <w:rsid w:val="00BD253F"/>
    <w:rsid w:val="00BD368C"/>
    <w:rsid w:val="00BD4FAD"/>
    <w:rsid w:val="00BD67D0"/>
    <w:rsid w:val="00BD7280"/>
    <w:rsid w:val="00BD74F7"/>
    <w:rsid w:val="00BE0F43"/>
    <w:rsid w:val="00BE1C13"/>
    <w:rsid w:val="00BE321F"/>
    <w:rsid w:val="00BE4E69"/>
    <w:rsid w:val="00BE4E6F"/>
    <w:rsid w:val="00BE5709"/>
    <w:rsid w:val="00BE6068"/>
    <w:rsid w:val="00BE75C2"/>
    <w:rsid w:val="00BF040A"/>
    <w:rsid w:val="00BF1B0D"/>
    <w:rsid w:val="00BF2A30"/>
    <w:rsid w:val="00BF359F"/>
    <w:rsid w:val="00BF5DB9"/>
    <w:rsid w:val="00BF6BF8"/>
    <w:rsid w:val="00C000E0"/>
    <w:rsid w:val="00C0141D"/>
    <w:rsid w:val="00C02390"/>
    <w:rsid w:val="00C047F4"/>
    <w:rsid w:val="00C06C73"/>
    <w:rsid w:val="00C10440"/>
    <w:rsid w:val="00C104F2"/>
    <w:rsid w:val="00C11858"/>
    <w:rsid w:val="00C1249D"/>
    <w:rsid w:val="00C133CB"/>
    <w:rsid w:val="00C14BC6"/>
    <w:rsid w:val="00C157AF"/>
    <w:rsid w:val="00C161CD"/>
    <w:rsid w:val="00C161D2"/>
    <w:rsid w:val="00C169C8"/>
    <w:rsid w:val="00C16C97"/>
    <w:rsid w:val="00C17903"/>
    <w:rsid w:val="00C17BCD"/>
    <w:rsid w:val="00C17C6C"/>
    <w:rsid w:val="00C201F8"/>
    <w:rsid w:val="00C20E7C"/>
    <w:rsid w:val="00C21AA0"/>
    <w:rsid w:val="00C236A3"/>
    <w:rsid w:val="00C24833"/>
    <w:rsid w:val="00C25EFB"/>
    <w:rsid w:val="00C263B8"/>
    <w:rsid w:val="00C26F3A"/>
    <w:rsid w:val="00C271C0"/>
    <w:rsid w:val="00C350DC"/>
    <w:rsid w:val="00C373AF"/>
    <w:rsid w:val="00C43705"/>
    <w:rsid w:val="00C50499"/>
    <w:rsid w:val="00C50710"/>
    <w:rsid w:val="00C5100C"/>
    <w:rsid w:val="00C516CA"/>
    <w:rsid w:val="00C51EDB"/>
    <w:rsid w:val="00C52A22"/>
    <w:rsid w:val="00C53FDC"/>
    <w:rsid w:val="00C5682A"/>
    <w:rsid w:val="00C63ADB"/>
    <w:rsid w:val="00C67317"/>
    <w:rsid w:val="00C678D9"/>
    <w:rsid w:val="00C704A5"/>
    <w:rsid w:val="00C72C0A"/>
    <w:rsid w:val="00C7380F"/>
    <w:rsid w:val="00C7447F"/>
    <w:rsid w:val="00C76A86"/>
    <w:rsid w:val="00C7727E"/>
    <w:rsid w:val="00C77A29"/>
    <w:rsid w:val="00C77A77"/>
    <w:rsid w:val="00C77C22"/>
    <w:rsid w:val="00C81745"/>
    <w:rsid w:val="00C821AE"/>
    <w:rsid w:val="00C8342E"/>
    <w:rsid w:val="00C840B9"/>
    <w:rsid w:val="00C84971"/>
    <w:rsid w:val="00C84BA3"/>
    <w:rsid w:val="00C85052"/>
    <w:rsid w:val="00C850B3"/>
    <w:rsid w:val="00C90953"/>
    <w:rsid w:val="00C91244"/>
    <w:rsid w:val="00C93153"/>
    <w:rsid w:val="00C94857"/>
    <w:rsid w:val="00C975DB"/>
    <w:rsid w:val="00CA1142"/>
    <w:rsid w:val="00CA1C17"/>
    <w:rsid w:val="00CA4931"/>
    <w:rsid w:val="00CB03AF"/>
    <w:rsid w:val="00CB0E5C"/>
    <w:rsid w:val="00CB0FD1"/>
    <w:rsid w:val="00CB18CF"/>
    <w:rsid w:val="00CB2CA6"/>
    <w:rsid w:val="00CB3244"/>
    <w:rsid w:val="00CB3801"/>
    <w:rsid w:val="00CB415F"/>
    <w:rsid w:val="00CB542E"/>
    <w:rsid w:val="00CB635A"/>
    <w:rsid w:val="00CB6A78"/>
    <w:rsid w:val="00CC1689"/>
    <w:rsid w:val="00CC3578"/>
    <w:rsid w:val="00CD2854"/>
    <w:rsid w:val="00CD34EB"/>
    <w:rsid w:val="00CD3AC6"/>
    <w:rsid w:val="00CD6A90"/>
    <w:rsid w:val="00CD7FC6"/>
    <w:rsid w:val="00CE15E2"/>
    <w:rsid w:val="00CE228F"/>
    <w:rsid w:val="00CE4B07"/>
    <w:rsid w:val="00CE6D96"/>
    <w:rsid w:val="00CF3099"/>
    <w:rsid w:val="00CF4C21"/>
    <w:rsid w:val="00CF5385"/>
    <w:rsid w:val="00CF7210"/>
    <w:rsid w:val="00CF788D"/>
    <w:rsid w:val="00D00F70"/>
    <w:rsid w:val="00D02DE1"/>
    <w:rsid w:val="00D03612"/>
    <w:rsid w:val="00D04F70"/>
    <w:rsid w:val="00D04FAF"/>
    <w:rsid w:val="00D0740D"/>
    <w:rsid w:val="00D10C71"/>
    <w:rsid w:val="00D10CB6"/>
    <w:rsid w:val="00D15845"/>
    <w:rsid w:val="00D163BB"/>
    <w:rsid w:val="00D17F8E"/>
    <w:rsid w:val="00D213F8"/>
    <w:rsid w:val="00D222A9"/>
    <w:rsid w:val="00D232F1"/>
    <w:rsid w:val="00D24090"/>
    <w:rsid w:val="00D24341"/>
    <w:rsid w:val="00D255BF"/>
    <w:rsid w:val="00D26233"/>
    <w:rsid w:val="00D2674E"/>
    <w:rsid w:val="00D30491"/>
    <w:rsid w:val="00D304AF"/>
    <w:rsid w:val="00D306D4"/>
    <w:rsid w:val="00D31B3E"/>
    <w:rsid w:val="00D33A34"/>
    <w:rsid w:val="00D33FAF"/>
    <w:rsid w:val="00D36744"/>
    <w:rsid w:val="00D377BB"/>
    <w:rsid w:val="00D400A9"/>
    <w:rsid w:val="00D410EA"/>
    <w:rsid w:val="00D410EE"/>
    <w:rsid w:val="00D42718"/>
    <w:rsid w:val="00D43411"/>
    <w:rsid w:val="00D4492A"/>
    <w:rsid w:val="00D45554"/>
    <w:rsid w:val="00D46C56"/>
    <w:rsid w:val="00D500D2"/>
    <w:rsid w:val="00D53A01"/>
    <w:rsid w:val="00D542B3"/>
    <w:rsid w:val="00D55316"/>
    <w:rsid w:val="00D573C7"/>
    <w:rsid w:val="00D6040D"/>
    <w:rsid w:val="00D614DC"/>
    <w:rsid w:val="00D62CC8"/>
    <w:rsid w:val="00D65100"/>
    <w:rsid w:val="00D652E2"/>
    <w:rsid w:val="00D671C9"/>
    <w:rsid w:val="00D72499"/>
    <w:rsid w:val="00D72790"/>
    <w:rsid w:val="00D73F0E"/>
    <w:rsid w:val="00D75B90"/>
    <w:rsid w:val="00D76C95"/>
    <w:rsid w:val="00D771BE"/>
    <w:rsid w:val="00D82E06"/>
    <w:rsid w:val="00D83316"/>
    <w:rsid w:val="00D8353B"/>
    <w:rsid w:val="00D8642D"/>
    <w:rsid w:val="00D90CC1"/>
    <w:rsid w:val="00D9463F"/>
    <w:rsid w:val="00D9605C"/>
    <w:rsid w:val="00D969AF"/>
    <w:rsid w:val="00D975EC"/>
    <w:rsid w:val="00D9760B"/>
    <w:rsid w:val="00DA1315"/>
    <w:rsid w:val="00DA1D76"/>
    <w:rsid w:val="00DA2E9E"/>
    <w:rsid w:val="00DA3CEB"/>
    <w:rsid w:val="00DA59E3"/>
    <w:rsid w:val="00DA7062"/>
    <w:rsid w:val="00DA7F22"/>
    <w:rsid w:val="00DB085C"/>
    <w:rsid w:val="00DB1F8B"/>
    <w:rsid w:val="00DB252C"/>
    <w:rsid w:val="00DB33CB"/>
    <w:rsid w:val="00DB4494"/>
    <w:rsid w:val="00DB5151"/>
    <w:rsid w:val="00DB5625"/>
    <w:rsid w:val="00DB762E"/>
    <w:rsid w:val="00DB7E47"/>
    <w:rsid w:val="00DC0AB5"/>
    <w:rsid w:val="00DC2FF7"/>
    <w:rsid w:val="00DC399A"/>
    <w:rsid w:val="00DC46AE"/>
    <w:rsid w:val="00DC57CD"/>
    <w:rsid w:val="00DC5D16"/>
    <w:rsid w:val="00DD0CA0"/>
    <w:rsid w:val="00DD26FA"/>
    <w:rsid w:val="00DE2D19"/>
    <w:rsid w:val="00DE312C"/>
    <w:rsid w:val="00DE5AE5"/>
    <w:rsid w:val="00DE6B7F"/>
    <w:rsid w:val="00DE7F91"/>
    <w:rsid w:val="00DF0630"/>
    <w:rsid w:val="00DF11B1"/>
    <w:rsid w:val="00DF23E9"/>
    <w:rsid w:val="00DF2A27"/>
    <w:rsid w:val="00DF3974"/>
    <w:rsid w:val="00DF5157"/>
    <w:rsid w:val="00E020DA"/>
    <w:rsid w:val="00E023B0"/>
    <w:rsid w:val="00E027DB"/>
    <w:rsid w:val="00E03635"/>
    <w:rsid w:val="00E03695"/>
    <w:rsid w:val="00E040AC"/>
    <w:rsid w:val="00E0516B"/>
    <w:rsid w:val="00E05786"/>
    <w:rsid w:val="00E06098"/>
    <w:rsid w:val="00E06F57"/>
    <w:rsid w:val="00E10734"/>
    <w:rsid w:val="00E1092F"/>
    <w:rsid w:val="00E10D12"/>
    <w:rsid w:val="00E11D45"/>
    <w:rsid w:val="00E13BFF"/>
    <w:rsid w:val="00E152F9"/>
    <w:rsid w:val="00E15B23"/>
    <w:rsid w:val="00E218D8"/>
    <w:rsid w:val="00E23124"/>
    <w:rsid w:val="00E23550"/>
    <w:rsid w:val="00E26A47"/>
    <w:rsid w:val="00E26E5F"/>
    <w:rsid w:val="00E26F3D"/>
    <w:rsid w:val="00E27AE9"/>
    <w:rsid w:val="00E31225"/>
    <w:rsid w:val="00E33AA0"/>
    <w:rsid w:val="00E34799"/>
    <w:rsid w:val="00E34931"/>
    <w:rsid w:val="00E35ECB"/>
    <w:rsid w:val="00E36642"/>
    <w:rsid w:val="00E40538"/>
    <w:rsid w:val="00E41D16"/>
    <w:rsid w:val="00E42E44"/>
    <w:rsid w:val="00E430C5"/>
    <w:rsid w:val="00E46A34"/>
    <w:rsid w:val="00E46B21"/>
    <w:rsid w:val="00E50462"/>
    <w:rsid w:val="00E50A20"/>
    <w:rsid w:val="00E543F6"/>
    <w:rsid w:val="00E54DD0"/>
    <w:rsid w:val="00E553BC"/>
    <w:rsid w:val="00E57186"/>
    <w:rsid w:val="00E60604"/>
    <w:rsid w:val="00E61ECD"/>
    <w:rsid w:val="00E6236B"/>
    <w:rsid w:val="00E62BE4"/>
    <w:rsid w:val="00E63BDE"/>
    <w:rsid w:val="00E65C07"/>
    <w:rsid w:val="00E74270"/>
    <w:rsid w:val="00E753D5"/>
    <w:rsid w:val="00E7631D"/>
    <w:rsid w:val="00E765DB"/>
    <w:rsid w:val="00E7780E"/>
    <w:rsid w:val="00E805B8"/>
    <w:rsid w:val="00E81BAF"/>
    <w:rsid w:val="00E81E05"/>
    <w:rsid w:val="00E8583C"/>
    <w:rsid w:val="00E8625B"/>
    <w:rsid w:val="00E86D81"/>
    <w:rsid w:val="00E9142E"/>
    <w:rsid w:val="00E91623"/>
    <w:rsid w:val="00E92C7F"/>
    <w:rsid w:val="00E93ED7"/>
    <w:rsid w:val="00E9459D"/>
    <w:rsid w:val="00E94DBE"/>
    <w:rsid w:val="00E95C6E"/>
    <w:rsid w:val="00E95FA7"/>
    <w:rsid w:val="00E9601F"/>
    <w:rsid w:val="00E96E69"/>
    <w:rsid w:val="00EA15F8"/>
    <w:rsid w:val="00EA2D4D"/>
    <w:rsid w:val="00EA2E40"/>
    <w:rsid w:val="00EA379F"/>
    <w:rsid w:val="00EA4676"/>
    <w:rsid w:val="00EA484D"/>
    <w:rsid w:val="00EA5995"/>
    <w:rsid w:val="00EA63D8"/>
    <w:rsid w:val="00EB2A81"/>
    <w:rsid w:val="00EC02C0"/>
    <w:rsid w:val="00EC050F"/>
    <w:rsid w:val="00EC094D"/>
    <w:rsid w:val="00EC0A4F"/>
    <w:rsid w:val="00EC17C1"/>
    <w:rsid w:val="00EC4365"/>
    <w:rsid w:val="00EC61B0"/>
    <w:rsid w:val="00EC7977"/>
    <w:rsid w:val="00ED02B7"/>
    <w:rsid w:val="00ED1ACD"/>
    <w:rsid w:val="00ED473A"/>
    <w:rsid w:val="00ED52C7"/>
    <w:rsid w:val="00ED75F4"/>
    <w:rsid w:val="00ED7B34"/>
    <w:rsid w:val="00EE0857"/>
    <w:rsid w:val="00EE1CDC"/>
    <w:rsid w:val="00EE2B7F"/>
    <w:rsid w:val="00EE2E91"/>
    <w:rsid w:val="00EF0903"/>
    <w:rsid w:val="00EF1743"/>
    <w:rsid w:val="00EF3D3A"/>
    <w:rsid w:val="00EF4AC2"/>
    <w:rsid w:val="00EF4C1D"/>
    <w:rsid w:val="00EF51F4"/>
    <w:rsid w:val="00EF5908"/>
    <w:rsid w:val="00EF7CFB"/>
    <w:rsid w:val="00F01F5C"/>
    <w:rsid w:val="00F0408C"/>
    <w:rsid w:val="00F04889"/>
    <w:rsid w:val="00F04C5A"/>
    <w:rsid w:val="00F0673D"/>
    <w:rsid w:val="00F077EB"/>
    <w:rsid w:val="00F116F5"/>
    <w:rsid w:val="00F11CA4"/>
    <w:rsid w:val="00F12F64"/>
    <w:rsid w:val="00F22478"/>
    <w:rsid w:val="00F256F7"/>
    <w:rsid w:val="00F27110"/>
    <w:rsid w:val="00F277AA"/>
    <w:rsid w:val="00F328CA"/>
    <w:rsid w:val="00F34879"/>
    <w:rsid w:val="00F3525B"/>
    <w:rsid w:val="00F40D7E"/>
    <w:rsid w:val="00F41C47"/>
    <w:rsid w:val="00F42799"/>
    <w:rsid w:val="00F451CB"/>
    <w:rsid w:val="00F453EE"/>
    <w:rsid w:val="00F45C13"/>
    <w:rsid w:val="00F45F2C"/>
    <w:rsid w:val="00F473B5"/>
    <w:rsid w:val="00F47AD4"/>
    <w:rsid w:val="00F51560"/>
    <w:rsid w:val="00F5281B"/>
    <w:rsid w:val="00F533CC"/>
    <w:rsid w:val="00F53CBD"/>
    <w:rsid w:val="00F53EB2"/>
    <w:rsid w:val="00F54201"/>
    <w:rsid w:val="00F548DB"/>
    <w:rsid w:val="00F6011B"/>
    <w:rsid w:val="00F60291"/>
    <w:rsid w:val="00F6383B"/>
    <w:rsid w:val="00F63D23"/>
    <w:rsid w:val="00F70415"/>
    <w:rsid w:val="00F7322A"/>
    <w:rsid w:val="00F73B15"/>
    <w:rsid w:val="00F74E4B"/>
    <w:rsid w:val="00F76632"/>
    <w:rsid w:val="00F767F6"/>
    <w:rsid w:val="00F76CB2"/>
    <w:rsid w:val="00F8084A"/>
    <w:rsid w:val="00F827F5"/>
    <w:rsid w:val="00F82B1B"/>
    <w:rsid w:val="00F83104"/>
    <w:rsid w:val="00F83A13"/>
    <w:rsid w:val="00F84026"/>
    <w:rsid w:val="00F861FC"/>
    <w:rsid w:val="00F92B31"/>
    <w:rsid w:val="00F93E83"/>
    <w:rsid w:val="00F94019"/>
    <w:rsid w:val="00F9621D"/>
    <w:rsid w:val="00FA0683"/>
    <w:rsid w:val="00FA2930"/>
    <w:rsid w:val="00FA2C51"/>
    <w:rsid w:val="00FA489A"/>
    <w:rsid w:val="00FA5CBF"/>
    <w:rsid w:val="00FB147C"/>
    <w:rsid w:val="00FB2600"/>
    <w:rsid w:val="00FB2DAA"/>
    <w:rsid w:val="00FB43DA"/>
    <w:rsid w:val="00FB48D2"/>
    <w:rsid w:val="00FB7742"/>
    <w:rsid w:val="00FB7922"/>
    <w:rsid w:val="00FB7B82"/>
    <w:rsid w:val="00FB7E04"/>
    <w:rsid w:val="00FC1676"/>
    <w:rsid w:val="00FC29A9"/>
    <w:rsid w:val="00FC317A"/>
    <w:rsid w:val="00FC3AC9"/>
    <w:rsid w:val="00FC3C1C"/>
    <w:rsid w:val="00FC6082"/>
    <w:rsid w:val="00FC7953"/>
    <w:rsid w:val="00FD2D6B"/>
    <w:rsid w:val="00FD3179"/>
    <w:rsid w:val="00FD4BF8"/>
    <w:rsid w:val="00FD5708"/>
    <w:rsid w:val="00FD6C0C"/>
    <w:rsid w:val="00FD7018"/>
    <w:rsid w:val="00FE2E45"/>
    <w:rsid w:val="00FE386E"/>
    <w:rsid w:val="00FE38CB"/>
    <w:rsid w:val="00FE57F9"/>
    <w:rsid w:val="00FE65A8"/>
    <w:rsid w:val="00FF0C30"/>
    <w:rsid w:val="00FF2E2B"/>
    <w:rsid w:val="025AA0D9"/>
    <w:rsid w:val="04A19C5B"/>
    <w:rsid w:val="04D18640"/>
    <w:rsid w:val="06477540"/>
    <w:rsid w:val="071B7702"/>
    <w:rsid w:val="077FAE52"/>
    <w:rsid w:val="0AC0ADAF"/>
    <w:rsid w:val="0AC1579C"/>
    <w:rsid w:val="0C066F73"/>
    <w:rsid w:val="0E97F40F"/>
    <w:rsid w:val="13570D23"/>
    <w:rsid w:val="13EBE3C0"/>
    <w:rsid w:val="15EBE302"/>
    <w:rsid w:val="17716668"/>
    <w:rsid w:val="1999873F"/>
    <w:rsid w:val="1D301872"/>
    <w:rsid w:val="1DE41A73"/>
    <w:rsid w:val="20152CCA"/>
    <w:rsid w:val="211FD9EE"/>
    <w:rsid w:val="2209B982"/>
    <w:rsid w:val="22F2E650"/>
    <w:rsid w:val="2397BDDE"/>
    <w:rsid w:val="2480F557"/>
    <w:rsid w:val="249E4FF5"/>
    <w:rsid w:val="254CDAEE"/>
    <w:rsid w:val="256CB655"/>
    <w:rsid w:val="25F22989"/>
    <w:rsid w:val="26CD14DD"/>
    <w:rsid w:val="28435BF6"/>
    <w:rsid w:val="28D8C63F"/>
    <w:rsid w:val="295D70F4"/>
    <w:rsid w:val="29E00762"/>
    <w:rsid w:val="2B76D694"/>
    <w:rsid w:val="2CD19699"/>
    <w:rsid w:val="2F098FFF"/>
    <w:rsid w:val="326CD4D7"/>
    <w:rsid w:val="327AE585"/>
    <w:rsid w:val="32B03D58"/>
    <w:rsid w:val="3416826B"/>
    <w:rsid w:val="35523DF6"/>
    <w:rsid w:val="35C84BC4"/>
    <w:rsid w:val="364FACB7"/>
    <w:rsid w:val="367B88F2"/>
    <w:rsid w:val="3D3C4942"/>
    <w:rsid w:val="3D56EEFB"/>
    <w:rsid w:val="3F873F48"/>
    <w:rsid w:val="40ABD2C9"/>
    <w:rsid w:val="41748441"/>
    <w:rsid w:val="42B3663A"/>
    <w:rsid w:val="43A7DABA"/>
    <w:rsid w:val="443769B6"/>
    <w:rsid w:val="443D1794"/>
    <w:rsid w:val="44898B3D"/>
    <w:rsid w:val="4645BFF8"/>
    <w:rsid w:val="469B48F9"/>
    <w:rsid w:val="4A7DD976"/>
    <w:rsid w:val="4AE68811"/>
    <w:rsid w:val="4B584334"/>
    <w:rsid w:val="4CD4BEB0"/>
    <w:rsid w:val="4D9CC8B4"/>
    <w:rsid w:val="4EEB5B1E"/>
    <w:rsid w:val="50C50B33"/>
    <w:rsid w:val="50FACBC3"/>
    <w:rsid w:val="52290B9B"/>
    <w:rsid w:val="526F1A32"/>
    <w:rsid w:val="52DCFA02"/>
    <w:rsid w:val="52FF97CC"/>
    <w:rsid w:val="5344DE43"/>
    <w:rsid w:val="54144DE7"/>
    <w:rsid w:val="54BDB5A7"/>
    <w:rsid w:val="5619B011"/>
    <w:rsid w:val="576ABFAF"/>
    <w:rsid w:val="5854D41A"/>
    <w:rsid w:val="58A25C70"/>
    <w:rsid w:val="597D5081"/>
    <w:rsid w:val="5C8BE69D"/>
    <w:rsid w:val="5D781A39"/>
    <w:rsid w:val="5EDCBCF1"/>
    <w:rsid w:val="600F51EF"/>
    <w:rsid w:val="6112341C"/>
    <w:rsid w:val="619567C1"/>
    <w:rsid w:val="649830CC"/>
    <w:rsid w:val="65A3449B"/>
    <w:rsid w:val="669A9055"/>
    <w:rsid w:val="67BBF011"/>
    <w:rsid w:val="67C9CEFA"/>
    <w:rsid w:val="6A51B629"/>
    <w:rsid w:val="6AEFE8C3"/>
    <w:rsid w:val="6B0BB744"/>
    <w:rsid w:val="6E842798"/>
    <w:rsid w:val="6FB51543"/>
    <w:rsid w:val="6FD5F357"/>
    <w:rsid w:val="732E47A0"/>
    <w:rsid w:val="7422B539"/>
    <w:rsid w:val="746BE5F7"/>
    <w:rsid w:val="7479E658"/>
    <w:rsid w:val="77A0E475"/>
    <w:rsid w:val="7A1C5E59"/>
    <w:rsid w:val="7B95563A"/>
    <w:rsid w:val="7E0440A3"/>
    <w:rsid w:val="7E57989F"/>
    <w:rsid w:val="7E9AE388"/>
    <w:rsid w:val="7EB305D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2BE7"/>
  <w15:docId w15:val="{22AECCE2-AAE2-474F-9521-690F0169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spacing w:line="480" w:lineRule="auto"/>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2"/>
      </w:numPr>
      <w:ind w:left="454" w:hanging="284"/>
      <w:contextualSpacing/>
    </w:pPr>
  </w:style>
  <w:style w:type="paragraph" w:styleId="Liste2">
    <w:name w:val="List 2"/>
    <w:basedOn w:val="Standard"/>
    <w:unhideWhenUsed/>
    <w:rsid w:val="00ED473A"/>
    <w:pPr>
      <w:numPr>
        <w:ilvl w:val="1"/>
        <w:numId w:val="2"/>
      </w:numPr>
      <w:ind w:left="794" w:hanging="284"/>
      <w:contextualSpacing/>
    </w:pPr>
  </w:style>
  <w:style w:type="paragraph" w:styleId="Liste3">
    <w:name w:val="List 3"/>
    <w:basedOn w:val="Standard"/>
    <w:unhideWhenUsed/>
    <w:rsid w:val="00ED473A"/>
    <w:pPr>
      <w:numPr>
        <w:ilvl w:val="2"/>
        <w:numId w:val="2"/>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3"/>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Aufzhlungszeichen">
    <w:name w:val="List Bullet"/>
    <w:basedOn w:val="Standard"/>
    <w:unhideWhenUsed/>
    <w:rsid w:val="00E26A47"/>
    <w:pPr>
      <w:numPr>
        <w:numId w:val="1"/>
      </w:numPr>
      <w:contextualSpacing/>
    </w:pPr>
  </w:style>
  <w:style w:type="character" w:styleId="Hervorhebung">
    <w:name w:val="Emphasis"/>
    <w:basedOn w:val="Absatz-Standardschriftart"/>
    <w:rsid w:val="009805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41661">
      <w:bodyDiv w:val="1"/>
      <w:marLeft w:val="0"/>
      <w:marRight w:val="0"/>
      <w:marTop w:val="0"/>
      <w:marBottom w:val="0"/>
      <w:divBdr>
        <w:top w:val="none" w:sz="0" w:space="0" w:color="auto"/>
        <w:left w:val="none" w:sz="0" w:space="0" w:color="auto"/>
        <w:bottom w:val="none" w:sz="0" w:space="0" w:color="auto"/>
        <w:right w:val="none" w:sz="0" w:space="0" w:color="auto"/>
      </w:divBdr>
    </w:div>
    <w:div w:id="749430036">
      <w:bodyDiv w:val="1"/>
      <w:marLeft w:val="0"/>
      <w:marRight w:val="0"/>
      <w:marTop w:val="0"/>
      <w:marBottom w:val="0"/>
      <w:divBdr>
        <w:top w:val="none" w:sz="0" w:space="0" w:color="auto"/>
        <w:left w:val="none" w:sz="0" w:space="0" w:color="auto"/>
        <w:bottom w:val="none" w:sz="0" w:space="0" w:color="auto"/>
        <w:right w:val="none" w:sz="0" w:space="0" w:color="auto"/>
      </w:divBdr>
    </w:div>
    <w:div w:id="839851507">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anuschka.meier@hfh.ch"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oi.org/10.1177/00169862221104026"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michelle.squindo@hfh.c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1007/978-3-658-27277-7_6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5-06" TargetMode="External"/><Relationship Id="rId24" Type="http://schemas.openxmlformats.org/officeDocument/2006/relationships/hyperlink" Target="https://doi.org/10.1177/0016986222112488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hfh.ch/sites/default/files/documents/schlussbericht_bbf.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hrplan.c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s://doi.org/10.57161/z2023-08-04" TargetMode="External"/><Relationship Id="rId27" Type="http://schemas.openxmlformats.org/officeDocument/2006/relationships/footer" Target="footer1.xml"/><Relationship Id="rId30"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Sheet1!$F$4</c:f>
              <c:strCache>
                <c:ptCount val="1"/>
                <c:pt idx="0">
                  <c:v>Ja</c:v>
                </c:pt>
              </c:strCache>
            </c:strRef>
          </c:tx>
          <c:spPr>
            <a:solidFill>
              <a:schemeClr val="accent1"/>
            </a:solidFill>
            <a:ln>
              <a:noFill/>
            </a:ln>
            <a:effectLst/>
          </c:spPr>
          <c:invertIfNegative val="0"/>
          <c:dLbls>
            <c:dLbl>
              <c:idx val="0"/>
              <c:tx>
                <c:rich>
                  <a:bodyPr/>
                  <a:lstStyle/>
                  <a:p>
                    <a:fld id="{156EACDB-FF81-45CB-B03C-590CDA4C9C44}" type="VALUE">
                      <a:rPr lang="en-US"/>
                      <a:pPr/>
                      <a:t>[WERT]</a:t>
                    </a:fld>
                    <a:r>
                      <a:rPr lang="en-US"/>
                      <a:t> (44.7%)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AFE-4189-A661-46F3BA543685}"/>
                </c:ext>
              </c:extLst>
            </c:dLbl>
            <c:dLbl>
              <c:idx val="1"/>
              <c:tx>
                <c:rich>
                  <a:bodyPr/>
                  <a:lstStyle/>
                  <a:p>
                    <a:fld id="{83AB37EC-E617-4756-A9D1-1CFDAE39E178}" type="VALUE">
                      <a:rPr lang="en-US"/>
                      <a:pPr/>
                      <a:t>[WERT]</a:t>
                    </a:fld>
                    <a:r>
                      <a:rPr lang="en-US"/>
                      <a:t> (28.9%)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AFE-4189-A661-46F3BA543685}"/>
                </c:ext>
              </c:extLst>
            </c:dLbl>
            <c:dLbl>
              <c:idx val="2"/>
              <c:tx>
                <c:rich>
                  <a:bodyPr/>
                  <a:lstStyle/>
                  <a:p>
                    <a:fld id="{71269120-132D-4EB0-AF8B-20B438C3E34B}" type="VALUE">
                      <a:rPr lang="en-US"/>
                      <a:pPr/>
                      <a:t>[WERT]</a:t>
                    </a:fld>
                    <a:r>
                      <a:rPr lang="en-US"/>
                      <a:t> (71.7%)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AFE-4189-A661-46F3BA543685}"/>
                </c:ext>
              </c:extLst>
            </c:dLbl>
            <c:dLbl>
              <c:idx val="3"/>
              <c:tx>
                <c:rich>
                  <a:bodyPr/>
                  <a:lstStyle/>
                  <a:p>
                    <a:fld id="{6E0488A0-5DD6-4030-82C2-CEA51CD30AE3}" type="VALUE">
                      <a:rPr lang="en-US"/>
                      <a:pPr/>
                      <a:t>[WERT]</a:t>
                    </a:fld>
                    <a:r>
                      <a:rPr lang="en-US"/>
                      <a:t> (45.9%)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AFE-4189-A661-46F3BA543685}"/>
                </c:ext>
              </c:extLst>
            </c:dLbl>
            <c:dLbl>
              <c:idx val="4"/>
              <c:tx>
                <c:rich>
                  <a:bodyPr/>
                  <a:lstStyle/>
                  <a:p>
                    <a:fld id="{0F1FFE86-ACDC-4464-8A79-D1D89BB60760}" type="VALUE">
                      <a:rPr lang="en-US"/>
                      <a:pPr/>
                      <a:t>[WERT]</a:t>
                    </a:fld>
                    <a:r>
                      <a:rPr lang="en-US"/>
                      <a:t> (17.2%)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AFE-4189-A661-46F3BA543685}"/>
                </c:ext>
              </c:extLst>
            </c:dLbl>
            <c:dLbl>
              <c:idx val="5"/>
              <c:tx>
                <c:rich>
                  <a:bodyPr/>
                  <a:lstStyle/>
                  <a:p>
                    <a:fld id="{93B9E397-C283-45F3-B17F-3694100EBFA5}" type="VALUE">
                      <a:rPr lang="en-US"/>
                      <a:pPr/>
                      <a:t>[WERT]</a:t>
                    </a:fld>
                    <a:r>
                      <a:rPr lang="en-US"/>
                      <a:t> (73.2%)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AFE-4189-A661-46F3BA543685}"/>
                </c:ext>
              </c:extLst>
            </c:dLbl>
            <c:dLbl>
              <c:idx val="6"/>
              <c:tx>
                <c:rich>
                  <a:bodyPr/>
                  <a:lstStyle/>
                  <a:p>
                    <a:fld id="{D28973FD-2175-4ED5-B377-12D7AA6EA501}" type="VALUE">
                      <a:rPr lang="en-US"/>
                      <a:pPr/>
                      <a:t>[WERT]</a:t>
                    </a:fld>
                    <a:r>
                      <a:rPr lang="en-US"/>
                      <a:t> (58.2%)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AFE-4189-A661-46F3BA543685}"/>
                </c:ext>
              </c:extLst>
            </c:dLbl>
            <c:dLbl>
              <c:idx val="7"/>
              <c:tx>
                <c:rich>
                  <a:bodyPr/>
                  <a:lstStyle/>
                  <a:p>
                    <a:fld id="{37145EE0-5913-4F2C-A3B4-8F7E1937C197}" type="VALUE">
                      <a:rPr lang="en-US"/>
                      <a:pPr/>
                      <a:t>[WERT]</a:t>
                    </a:fld>
                    <a:r>
                      <a:rPr lang="en-US"/>
                      <a:t> (21.0%)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AFE-4189-A661-46F3BA543685}"/>
                </c:ext>
              </c:extLst>
            </c:dLbl>
            <c:numFmt formatCode="General" sourceLinked="0"/>
            <c:spPr>
              <a:noFill/>
              <a:ln>
                <a:noFill/>
              </a:ln>
              <a:effectLst/>
            </c:spPr>
            <c:txPr>
              <a:bodyPr rot="0" spcFirstLastPara="1" vertOverflow="overflow" horzOverflow="overflow" vert="horz" wrap="square" anchor="ctr" anchorCtr="1">
                <a:spAutoFit/>
              </a:bodyPr>
              <a:lstStyle/>
              <a:p>
                <a:pPr>
                  <a:defRPr sz="800" b="0" i="0" u="none" strike="noStrike" kern="1200" baseline="0">
                    <a:solidFill>
                      <a:sysClr val="windowText" lastClr="000000"/>
                    </a:solidFill>
                    <a:latin typeface="+mn-lt"/>
                    <a:ea typeface="+mn-ea"/>
                    <a:cs typeface="Arial" panose="020B0604020202020204" pitchFamily="34" charset="0"/>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Sheet1!$G$3:$N$3</c:f>
              <c:strCache>
                <c:ptCount val="8"/>
                <c:pt idx="0">
                  <c:v>Dispensation vom Unterricht (n = 1017)</c:v>
                </c:pt>
                <c:pt idx="1">
                  <c:v>Früheinschulung (n = 755)</c:v>
                </c:pt>
                <c:pt idx="2">
                  <c:v>Überspringen einer Klasse (n = 1002)</c:v>
                </c:pt>
                <c:pt idx="3">
                  <c:v>Verdichten des Schulstoffes (n = 991)</c:v>
                </c:pt>
                <c:pt idx="4">
                  <c:v>Besuchen einzelner Fächer
in höheren Klassen (n = 985)</c:v>
                </c:pt>
                <c:pt idx="5">
                  <c:v>Projektarbeit während Unterrichtszeit, 
innerhalb Klasse (n = 961)</c:v>
                </c:pt>
                <c:pt idx="6">
                  <c:v>Projektarbeit während Unterrichtszeit, 
ausserhalb Klasse (n = 787)</c:v>
                </c:pt>
                <c:pt idx="7">
                  <c:v>Projektarbeit ausserhalb 
Unterrichtszeit (n = 810)</c:v>
                </c:pt>
              </c:strCache>
            </c:strRef>
          </c:cat>
          <c:val>
            <c:numRef>
              <c:f>Sheet1!$G$4:$N$4</c:f>
              <c:numCache>
                <c:formatCode>General</c:formatCode>
                <c:ptCount val="8"/>
                <c:pt idx="0">
                  <c:v>455</c:v>
                </c:pt>
                <c:pt idx="1">
                  <c:v>218</c:v>
                </c:pt>
                <c:pt idx="2">
                  <c:v>718</c:v>
                </c:pt>
                <c:pt idx="3">
                  <c:v>455</c:v>
                </c:pt>
                <c:pt idx="4">
                  <c:v>169</c:v>
                </c:pt>
                <c:pt idx="5">
                  <c:v>703</c:v>
                </c:pt>
                <c:pt idx="6">
                  <c:v>458</c:v>
                </c:pt>
                <c:pt idx="7">
                  <c:v>170</c:v>
                </c:pt>
              </c:numCache>
            </c:numRef>
          </c:val>
          <c:extLst>
            <c:ext xmlns:c16="http://schemas.microsoft.com/office/drawing/2014/chart" uri="{C3380CC4-5D6E-409C-BE32-E72D297353CC}">
              <c16:uniqueId val="{00000008-7AFE-4189-A661-46F3BA543685}"/>
            </c:ext>
          </c:extLst>
        </c:ser>
        <c:ser>
          <c:idx val="1"/>
          <c:order val="1"/>
          <c:tx>
            <c:strRef>
              <c:f>Sheet1!$F$5</c:f>
              <c:strCache>
                <c:ptCount val="1"/>
                <c:pt idx="0">
                  <c:v>ja, ist geplant</c:v>
                </c:pt>
              </c:strCache>
            </c:strRef>
          </c:tx>
          <c:spPr>
            <a:solidFill>
              <a:schemeClr val="accent3">
                <a:lumMod val="40000"/>
                <a:lumOff val="60000"/>
              </a:schemeClr>
            </a:solidFill>
            <a:ln>
              <a:noFill/>
            </a:ln>
            <a:effectLst/>
          </c:spPr>
          <c:invertIfNegative val="0"/>
          <c:dLbls>
            <c:dLbl>
              <c:idx val="0"/>
              <c:layout>
                <c:manualLayout>
                  <c:x val="-2.6775043862252131E-3"/>
                  <c:y val="-1.4076169050297285E-2"/>
                </c:manualLayout>
              </c:layout>
              <c:tx>
                <c:rich>
                  <a:bodyPr/>
                  <a:lstStyle/>
                  <a:p>
                    <a:fld id="{F1E47A60-F94B-4EEF-B993-881935809149}" type="VALUE">
                      <a:rPr lang="en-US"/>
                      <a:pPr/>
                      <a:t>[WERT]</a:t>
                    </a:fld>
                    <a:r>
                      <a:rPr lang="en-US"/>
                      <a:t> (1.9%)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AFE-4189-A661-46F3BA543685}"/>
                </c:ext>
              </c:extLst>
            </c:dLbl>
            <c:dLbl>
              <c:idx val="1"/>
              <c:layout>
                <c:manualLayout>
                  <c:x val="1.5069967707212056E-2"/>
                  <c:y val="-2.6321388397878835E-2"/>
                </c:manualLayout>
              </c:layout>
              <c:tx>
                <c:rich>
                  <a:bodyPr/>
                  <a:lstStyle/>
                  <a:p>
                    <a:fld id="{01AF6A69-22BA-442E-9090-8141ECFD6DF3}" type="VALUE">
                      <a:rPr lang="en-US"/>
                      <a:pPr/>
                      <a:t>[WERT]</a:t>
                    </a:fld>
                    <a:r>
                      <a:rPr lang="en-US"/>
                      <a:t> (1.1%)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7AFE-4189-A661-46F3BA543685}"/>
                </c:ext>
              </c:extLst>
            </c:dLbl>
            <c:dLbl>
              <c:idx val="2"/>
              <c:layout>
                <c:manualLayout>
                  <c:x val="0"/>
                  <c:y val="-2.4120199260806684E-2"/>
                </c:manualLayout>
              </c:layout>
              <c:tx>
                <c:rich>
                  <a:bodyPr/>
                  <a:lstStyle/>
                  <a:p>
                    <a:fld id="{E9CE4918-6155-481E-B4B9-7E4F954893C9}" type="VALUE">
                      <a:rPr lang="en-US"/>
                      <a:pPr/>
                      <a:t>[WERT]</a:t>
                    </a:fld>
                    <a:r>
                      <a:rPr lang="en-US"/>
                      <a:t> (0.5%)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AFE-4189-A661-46F3BA543685}"/>
                </c:ext>
              </c:extLst>
            </c:dLbl>
            <c:dLbl>
              <c:idx val="3"/>
              <c:layout>
                <c:manualLayout>
                  <c:x val="0"/>
                  <c:y val="-2.4120199260806611E-2"/>
                </c:manualLayout>
              </c:layout>
              <c:tx>
                <c:rich>
                  <a:bodyPr/>
                  <a:lstStyle/>
                  <a:p>
                    <a:fld id="{75C58A4D-069C-47B7-8D12-BE2A488909FB}" type="VALUE">
                      <a:rPr lang="en-US"/>
                      <a:pPr/>
                      <a:t>[WERT]</a:t>
                    </a:fld>
                    <a:r>
                      <a:rPr lang="en-US"/>
                      <a:t> (2.0%)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7AFE-4189-A661-46F3BA543685}"/>
                </c:ext>
              </c:extLst>
            </c:dLbl>
            <c:dLbl>
              <c:idx val="4"/>
              <c:layout>
                <c:manualLayout>
                  <c:x val="2.1362060635854319E-2"/>
                  <c:y val="-2.6304033424393379E-2"/>
                </c:manualLayout>
              </c:layout>
              <c:tx>
                <c:rich>
                  <a:bodyPr/>
                  <a:lstStyle/>
                  <a:p>
                    <a:fld id="{92285761-57D9-4EFC-A159-01AA7A25F169}" type="VALUE">
                      <a:rPr lang="en-US" sz="800">
                        <a:latin typeface="+mn-lt"/>
                      </a:rPr>
                      <a:pPr/>
                      <a:t>[WERT]</a:t>
                    </a:fld>
                    <a:r>
                      <a:rPr lang="en-US" sz="800">
                        <a:latin typeface="+mn-lt"/>
                      </a:rPr>
                      <a:t> (2.4%)</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7AFE-4189-A661-46F3BA543685}"/>
                </c:ext>
              </c:extLst>
            </c:dLbl>
            <c:spPr>
              <a:solidFill>
                <a:schemeClr val="accent3">
                  <a:lumMod val="60000"/>
                  <a:lumOff val="40000"/>
                </a:schemeClr>
              </a:solidFill>
              <a:ln>
                <a:noFill/>
              </a:ln>
              <a:effectLst/>
            </c:spPr>
            <c:txPr>
              <a:bodyPr rot="0" spcFirstLastPara="1" vertOverflow="overflow" horzOverflow="overflow" vert="horz" wrap="square" lIns="0" tIns="0" rIns="0" bIns="0" anchor="t" anchorCtr="1">
                <a:spAutoFit/>
              </a:bodyPr>
              <a:lstStyle/>
              <a:p>
                <a:pPr>
                  <a:defRPr sz="800" b="0" i="0" u="none" strike="noStrike" kern="1200" baseline="0">
                    <a:solidFill>
                      <a:sysClr val="windowText" lastClr="000000"/>
                    </a:solidFill>
                    <a:latin typeface="+mn-lt"/>
                    <a:ea typeface="+mn-ea"/>
                    <a:cs typeface="Arial" panose="020B0604020202020204" pitchFamily="34" charset="0"/>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Sheet1!$G$3:$N$3</c:f>
              <c:strCache>
                <c:ptCount val="8"/>
                <c:pt idx="0">
                  <c:v>Dispensation vom Unterricht (n = 1017)</c:v>
                </c:pt>
                <c:pt idx="1">
                  <c:v>Früheinschulung (n = 755)</c:v>
                </c:pt>
                <c:pt idx="2">
                  <c:v>Überspringen einer Klasse (n = 1002)</c:v>
                </c:pt>
                <c:pt idx="3">
                  <c:v>Verdichten des Schulstoffes (n = 991)</c:v>
                </c:pt>
                <c:pt idx="4">
                  <c:v>Besuchen einzelner Fächer
in höheren Klassen (n = 985)</c:v>
                </c:pt>
                <c:pt idx="5">
                  <c:v>Projektarbeit während Unterrichtszeit, 
innerhalb Klasse (n = 961)</c:v>
                </c:pt>
                <c:pt idx="6">
                  <c:v>Projektarbeit während Unterrichtszeit, 
ausserhalb Klasse (n = 787)</c:v>
                </c:pt>
                <c:pt idx="7">
                  <c:v>Projektarbeit ausserhalb 
Unterrichtszeit (n = 810)</c:v>
                </c:pt>
              </c:strCache>
            </c:strRef>
          </c:cat>
          <c:val>
            <c:numRef>
              <c:f>Sheet1!$G$5:$N$5</c:f>
              <c:numCache>
                <c:formatCode>General</c:formatCode>
                <c:ptCount val="8"/>
                <c:pt idx="0">
                  <c:v>19</c:v>
                </c:pt>
                <c:pt idx="1">
                  <c:v>8</c:v>
                </c:pt>
                <c:pt idx="2">
                  <c:v>5</c:v>
                </c:pt>
                <c:pt idx="3">
                  <c:v>20</c:v>
                </c:pt>
                <c:pt idx="4">
                  <c:v>24</c:v>
                </c:pt>
              </c:numCache>
            </c:numRef>
          </c:val>
          <c:extLst>
            <c:ext xmlns:c16="http://schemas.microsoft.com/office/drawing/2014/chart" uri="{C3380CC4-5D6E-409C-BE32-E72D297353CC}">
              <c16:uniqueId val="{0000000E-7AFE-4189-A661-46F3BA543685}"/>
            </c:ext>
          </c:extLst>
        </c:ser>
        <c:ser>
          <c:idx val="2"/>
          <c:order val="2"/>
          <c:tx>
            <c:strRef>
              <c:f>Sheet1!$F$6</c:f>
              <c:strCache>
                <c:ptCount val="1"/>
                <c:pt idx="0">
                  <c:v>möglicherweise, ist im Gespräch</c:v>
                </c:pt>
              </c:strCache>
            </c:strRef>
          </c:tx>
          <c:spPr>
            <a:solidFill>
              <a:schemeClr val="accent5">
                <a:lumMod val="40000"/>
                <a:lumOff val="60000"/>
              </a:schemeClr>
            </a:solidFill>
            <a:ln>
              <a:noFill/>
            </a:ln>
            <a:effectLst/>
          </c:spPr>
          <c:invertIfNegative val="0"/>
          <c:dLbls>
            <c:dLbl>
              <c:idx val="0"/>
              <c:layout>
                <c:manualLayout>
                  <c:x val="2.6275649881762626E-2"/>
                  <c:y val="3.5129037441748355E-2"/>
                </c:manualLayout>
              </c:layout>
              <c:tx>
                <c:rich>
                  <a:bodyPr/>
                  <a:lstStyle/>
                  <a:p>
                    <a:fld id="{5BE0F5D4-0321-474B-B4DB-E6F2A661F402}" type="VALUE">
                      <a:rPr lang="en-US"/>
                      <a:pPr/>
                      <a:t>[WERT]</a:t>
                    </a:fld>
                    <a:r>
                      <a:rPr lang="en-US"/>
                      <a:t> (8.6%)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7AFE-4189-A661-46F3BA543685}"/>
                </c:ext>
              </c:extLst>
            </c:dLbl>
            <c:dLbl>
              <c:idx val="1"/>
              <c:layout>
                <c:manualLayout>
                  <c:x val="2.1445123449988557E-2"/>
                  <c:y val="2.2562108307890103E-2"/>
                </c:manualLayout>
              </c:layout>
              <c:tx>
                <c:rich>
                  <a:bodyPr/>
                  <a:lstStyle/>
                  <a:p>
                    <a:fld id="{AFBE3BA6-DCD3-4684-8581-B7BE07E3061E}" type="VALUE">
                      <a:rPr lang="en-US"/>
                      <a:pPr/>
                      <a:t>[WERT]</a:t>
                    </a:fld>
                    <a:r>
                      <a:rPr lang="en-US"/>
                      <a:t> (9.8%)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7AFE-4189-A661-46F3BA543685}"/>
                </c:ext>
              </c:extLst>
            </c:dLbl>
            <c:dLbl>
              <c:idx val="2"/>
              <c:layout>
                <c:manualLayout>
                  <c:x val="1.5427977323956973E-2"/>
                  <c:y val="2.2561838499452168E-2"/>
                </c:manualLayout>
              </c:layout>
              <c:tx>
                <c:rich>
                  <a:bodyPr/>
                  <a:lstStyle/>
                  <a:p>
                    <a:fld id="{838B6351-F21E-4AD2-8BA9-481E826AE970}" type="VALUE">
                      <a:rPr lang="en-US"/>
                      <a:pPr/>
                      <a:t>[WERT]</a:t>
                    </a:fld>
                    <a:r>
                      <a:rPr lang="en-US"/>
                      <a:t> (5.8%)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7AFE-4189-A661-46F3BA543685}"/>
                </c:ext>
              </c:extLst>
            </c:dLbl>
            <c:dLbl>
              <c:idx val="3"/>
              <c:layout>
                <c:manualLayout>
                  <c:x val="1.0764262648008532E-2"/>
                  <c:y val="2.1967539771814273E-2"/>
                </c:manualLayout>
              </c:layout>
              <c:tx>
                <c:rich>
                  <a:bodyPr/>
                  <a:lstStyle/>
                  <a:p>
                    <a:fld id="{C5DA1931-FFB6-4603-8AA9-264F7ECFCE62}" type="VALUE">
                      <a:rPr lang="en-US"/>
                      <a:pPr/>
                      <a:t>[WERT]</a:t>
                    </a:fld>
                    <a:r>
                      <a:rPr lang="en-US"/>
                      <a:t> (15.5%)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7AFE-4189-A661-46F3BA543685}"/>
                </c:ext>
              </c:extLst>
            </c:dLbl>
            <c:dLbl>
              <c:idx val="4"/>
              <c:layout>
                <c:manualLayout>
                  <c:x val="-7.8937014198272504E-17"/>
                  <c:y val="2.1003374578177726E-2"/>
                </c:manualLayout>
              </c:layout>
              <c:tx>
                <c:rich>
                  <a:bodyPr/>
                  <a:lstStyle/>
                  <a:p>
                    <a:fld id="{9E31BEB8-C236-4C0E-9085-0CEF69A7CB67}" type="VALUE">
                      <a:rPr lang="en-US"/>
                      <a:pPr/>
                      <a:t>[WERT]</a:t>
                    </a:fld>
                    <a:r>
                      <a:rPr lang="en-US"/>
                      <a:t> (18.3%)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7AFE-4189-A661-46F3BA543685}"/>
                </c:ext>
              </c:extLst>
            </c:dLbl>
            <c:spPr>
              <a:solidFill>
                <a:schemeClr val="accent5">
                  <a:lumMod val="60000"/>
                  <a:lumOff val="40000"/>
                </a:schemeClr>
              </a:solidFill>
              <a:ln>
                <a:noFill/>
              </a:ln>
              <a:effectLst/>
            </c:spPr>
            <c:txPr>
              <a:bodyPr rot="0" spcFirstLastPara="1" vertOverflow="overflow" horzOverflow="overflow" vert="horz" wrap="square" lIns="0" tIns="0" rIns="0" bIns="0" anchor="t" anchorCtr="1">
                <a:spAutoFit/>
              </a:bodyPr>
              <a:lstStyle/>
              <a:p>
                <a:pPr>
                  <a:defRPr sz="800" b="0" i="0" u="none" strike="noStrike" kern="1200" baseline="0">
                    <a:solidFill>
                      <a:sysClr val="windowText" lastClr="000000"/>
                    </a:solidFill>
                    <a:latin typeface="+mn-lt"/>
                    <a:ea typeface="+mn-ea"/>
                    <a:cs typeface="Arial" panose="020B0604020202020204" pitchFamily="34" charset="0"/>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Sheet1!$G$3:$N$3</c:f>
              <c:strCache>
                <c:ptCount val="8"/>
                <c:pt idx="0">
                  <c:v>Dispensation vom Unterricht (n = 1017)</c:v>
                </c:pt>
                <c:pt idx="1">
                  <c:v>Früheinschulung (n = 755)</c:v>
                </c:pt>
                <c:pt idx="2">
                  <c:v>Überspringen einer Klasse (n = 1002)</c:v>
                </c:pt>
                <c:pt idx="3">
                  <c:v>Verdichten des Schulstoffes (n = 991)</c:v>
                </c:pt>
                <c:pt idx="4">
                  <c:v>Besuchen einzelner Fächer
in höheren Klassen (n = 985)</c:v>
                </c:pt>
                <c:pt idx="5">
                  <c:v>Projektarbeit während Unterrichtszeit, 
innerhalb Klasse (n = 961)</c:v>
                </c:pt>
                <c:pt idx="6">
                  <c:v>Projektarbeit während Unterrichtszeit, 
ausserhalb Klasse (n = 787)</c:v>
                </c:pt>
                <c:pt idx="7">
                  <c:v>Projektarbeit ausserhalb 
Unterrichtszeit (n = 810)</c:v>
                </c:pt>
              </c:strCache>
            </c:strRef>
          </c:cat>
          <c:val>
            <c:numRef>
              <c:f>Sheet1!$G$6:$N$6</c:f>
              <c:numCache>
                <c:formatCode>General</c:formatCode>
                <c:ptCount val="8"/>
                <c:pt idx="0">
                  <c:v>87</c:v>
                </c:pt>
                <c:pt idx="1">
                  <c:v>74</c:v>
                </c:pt>
                <c:pt idx="2">
                  <c:v>58</c:v>
                </c:pt>
                <c:pt idx="3">
                  <c:v>154</c:v>
                </c:pt>
                <c:pt idx="4">
                  <c:v>180</c:v>
                </c:pt>
              </c:numCache>
            </c:numRef>
          </c:val>
          <c:extLst>
            <c:ext xmlns:c16="http://schemas.microsoft.com/office/drawing/2014/chart" uri="{C3380CC4-5D6E-409C-BE32-E72D297353CC}">
              <c16:uniqueId val="{00000014-7AFE-4189-A661-46F3BA543685}"/>
            </c:ext>
          </c:extLst>
        </c:ser>
        <c:ser>
          <c:idx val="3"/>
          <c:order val="3"/>
          <c:tx>
            <c:strRef>
              <c:f>Sheet1!$F$7</c:f>
              <c:strCache>
                <c:ptCount val="1"/>
                <c:pt idx="0">
                  <c:v>nein, ist kein Thema</c:v>
                </c:pt>
              </c:strCache>
            </c:strRef>
          </c:tx>
          <c:spPr>
            <a:solidFill>
              <a:schemeClr val="accent6">
                <a:lumMod val="40000"/>
                <a:lumOff val="60000"/>
              </a:schemeClr>
            </a:solidFill>
            <a:ln>
              <a:noFill/>
            </a:ln>
            <a:effectLst/>
          </c:spPr>
          <c:invertIfNegative val="0"/>
          <c:dLbls>
            <c:dLbl>
              <c:idx val="0"/>
              <c:tx>
                <c:rich>
                  <a:bodyPr/>
                  <a:lstStyle/>
                  <a:p>
                    <a:fld id="{E5E19CFD-6B36-40E5-96E4-0629CF9B233A}" type="VALUE">
                      <a:rPr lang="en-US"/>
                      <a:pPr/>
                      <a:t>[WERT]</a:t>
                    </a:fld>
                    <a:r>
                      <a:rPr lang="en-US"/>
                      <a:t> (44.8%)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7AFE-4189-A661-46F3BA543685}"/>
                </c:ext>
              </c:extLst>
            </c:dLbl>
            <c:dLbl>
              <c:idx val="1"/>
              <c:tx>
                <c:rich>
                  <a:bodyPr/>
                  <a:lstStyle/>
                  <a:p>
                    <a:fld id="{90A0C633-715D-4A2F-A2F9-9208BD731133}" type="VALUE">
                      <a:rPr lang="en-US"/>
                      <a:pPr/>
                      <a:t>[WERT]</a:t>
                    </a:fld>
                    <a:r>
                      <a:rPr lang="en-US"/>
                      <a:t> (60.3%)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7AFE-4189-A661-46F3BA543685}"/>
                </c:ext>
              </c:extLst>
            </c:dLbl>
            <c:dLbl>
              <c:idx val="2"/>
              <c:tx>
                <c:rich>
                  <a:bodyPr/>
                  <a:lstStyle/>
                  <a:p>
                    <a:fld id="{141708F6-583C-4E5A-AF56-FFCC0234B41F}" type="VALUE">
                      <a:rPr lang="en-US"/>
                      <a:pPr/>
                      <a:t>[WERT]</a:t>
                    </a:fld>
                    <a:r>
                      <a:rPr lang="en-US"/>
                      <a:t> (22.1%)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7AFE-4189-A661-46F3BA543685}"/>
                </c:ext>
              </c:extLst>
            </c:dLbl>
            <c:dLbl>
              <c:idx val="3"/>
              <c:tx>
                <c:rich>
                  <a:bodyPr/>
                  <a:lstStyle/>
                  <a:p>
                    <a:fld id="{C7F084FD-727C-4A4E-8F83-519B786D12A4}" type="VALUE">
                      <a:rPr lang="en-US"/>
                      <a:pPr/>
                      <a:t>[WERT]</a:t>
                    </a:fld>
                    <a:r>
                      <a:rPr lang="en-US"/>
                      <a:t> (36.5%)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7AFE-4189-A661-46F3BA543685}"/>
                </c:ext>
              </c:extLst>
            </c:dLbl>
            <c:dLbl>
              <c:idx val="4"/>
              <c:tx>
                <c:rich>
                  <a:bodyPr/>
                  <a:lstStyle/>
                  <a:p>
                    <a:fld id="{1BAA31B3-940D-455E-933C-0BB912E12F55}" type="VALUE">
                      <a:rPr lang="en-US"/>
                      <a:pPr/>
                      <a:t>[WERT]</a:t>
                    </a:fld>
                    <a:r>
                      <a:rPr lang="en-US"/>
                      <a:t> (62.1%)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7AFE-4189-A661-46F3BA543685}"/>
                </c:ext>
              </c:extLst>
            </c:dLbl>
            <c:dLbl>
              <c:idx val="5"/>
              <c:tx>
                <c:rich>
                  <a:bodyPr/>
                  <a:lstStyle/>
                  <a:p>
                    <a:fld id="{5E32A808-F343-4EC2-B7E9-81DF164431FB}" type="VALUE">
                      <a:rPr lang="en-US"/>
                      <a:pPr/>
                      <a:t>[WERT]</a:t>
                    </a:fld>
                    <a:r>
                      <a:rPr lang="en-US"/>
                      <a:t> (26.9%)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7AFE-4189-A661-46F3BA543685}"/>
                </c:ext>
              </c:extLst>
            </c:dLbl>
            <c:dLbl>
              <c:idx val="6"/>
              <c:tx>
                <c:rich>
                  <a:bodyPr/>
                  <a:lstStyle/>
                  <a:p>
                    <a:fld id="{CBCC4304-071B-4EF0-B61D-D0F8E20A0C48}" type="VALUE">
                      <a:rPr lang="en-US"/>
                      <a:pPr/>
                      <a:t>[WERT]</a:t>
                    </a:fld>
                    <a:r>
                      <a:rPr lang="en-US"/>
                      <a:t> (41.8%)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7AFE-4189-A661-46F3BA543685}"/>
                </c:ext>
              </c:extLst>
            </c:dLbl>
            <c:dLbl>
              <c:idx val="7"/>
              <c:tx>
                <c:rich>
                  <a:bodyPr/>
                  <a:lstStyle/>
                  <a:p>
                    <a:fld id="{6740DC10-F33D-4297-95DE-8C7FA062C4BE}" type="VALUE">
                      <a:rPr lang="en-US"/>
                      <a:pPr/>
                      <a:t>[WERT]</a:t>
                    </a:fld>
                    <a:r>
                      <a:rPr lang="en-US"/>
                      <a:t> (79.0%)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7AFE-4189-A661-46F3BA543685}"/>
                </c:ext>
              </c:extLst>
            </c:dLbl>
            <c:spPr>
              <a:noFill/>
              <a:ln>
                <a:noFill/>
              </a:ln>
              <a:effectLst/>
            </c:spPr>
            <c:txPr>
              <a:bodyPr rot="0" spcFirstLastPara="1" vertOverflow="overflow" horzOverflow="overflow" vert="horz" wrap="square" anchor="ctr" anchorCtr="1">
                <a:spAutoFit/>
              </a:bodyPr>
              <a:lstStyle/>
              <a:p>
                <a:pPr>
                  <a:defRPr sz="800" b="0" i="0" u="none" strike="noStrike" kern="1200" baseline="0">
                    <a:solidFill>
                      <a:sysClr val="windowText" lastClr="000000"/>
                    </a:solidFill>
                    <a:latin typeface="+mn-lt"/>
                    <a:ea typeface="+mn-ea"/>
                    <a:cs typeface="Arial" panose="020B0604020202020204" pitchFamily="34" charset="0"/>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Sheet1!$G$3:$N$3</c:f>
              <c:strCache>
                <c:ptCount val="8"/>
                <c:pt idx="0">
                  <c:v>Dispensation vom Unterricht (n = 1017)</c:v>
                </c:pt>
                <c:pt idx="1">
                  <c:v>Früheinschulung (n = 755)</c:v>
                </c:pt>
                <c:pt idx="2">
                  <c:v>Überspringen einer Klasse (n = 1002)</c:v>
                </c:pt>
                <c:pt idx="3">
                  <c:v>Verdichten des Schulstoffes (n = 991)</c:v>
                </c:pt>
                <c:pt idx="4">
                  <c:v>Besuchen einzelner Fächer
in höheren Klassen (n = 985)</c:v>
                </c:pt>
                <c:pt idx="5">
                  <c:v>Projektarbeit während Unterrichtszeit, 
innerhalb Klasse (n = 961)</c:v>
                </c:pt>
                <c:pt idx="6">
                  <c:v>Projektarbeit während Unterrichtszeit, 
ausserhalb Klasse (n = 787)</c:v>
                </c:pt>
                <c:pt idx="7">
                  <c:v>Projektarbeit ausserhalb 
Unterrichtszeit (n = 810)</c:v>
                </c:pt>
              </c:strCache>
            </c:strRef>
          </c:cat>
          <c:val>
            <c:numRef>
              <c:f>Sheet1!$G$7:$N$7</c:f>
              <c:numCache>
                <c:formatCode>General</c:formatCode>
                <c:ptCount val="8"/>
                <c:pt idx="0">
                  <c:v>456</c:v>
                </c:pt>
                <c:pt idx="1">
                  <c:v>455</c:v>
                </c:pt>
                <c:pt idx="2">
                  <c:v>221</c:v>
                </c:pt>
                <c:pt idx="3">
                  <c:v>362</c:v>
                </c:pt>
                <c:pt idx="4">
                  <c:v>612</c:v>
                </c:pt>
                <c:pt idx="5">
                  <c:v>258</c:v>
                </c:pt>
                <c:pt idx="6">
                  <c:v>329</c:v>
                </c:pt>
                <c:pt idx="7">
                  <c:v>640</c:v>
                </c:pt>
              </c:numCache>
            </c:numRef>
          </c:val>
          <c:extLst>
            <c:ext xmlns:c16="http://schemas.microsoft.com/office/drawing/2014/chart" uri="{C3380CC4-5D6E-409C-BE32-E72D297353CC}">
              <c16:uniqueId val="{0000001D-7AFE-4189-A661-46F3BA543685}"/>
            </c:ext>
          </c:extLst>
        </c:ser>
        <c:dLbls>
          <c:showLegendKey val="0"/>
          <c:showVal val="0"/>
          <c:showCatName val="0"/>
          <c:showSerName val="0"/>
          <c:showPercent val="0"/>
          <c:showBubbleSize val="0"/>
        </c:dLbls>
        <c:gapWidth val="15"/>
        <c:overlap val="100"/>
        <c:axId val="928676223"/>
        <c:axId val="928693983"/>
      </c:barChart>
      <c:catAx>
        <c:axId val="928676223"/>
        <c:scaling>
          <c:orientation val="maxMin"/>
        </c:scaling>
        <c:delete val="0"/>
        <c:axPos val="l"/>
        <c:majorGridlines>
          <c:spPr>
            <a:ln w="15875" cap="flat" cmpd="sng" algn="ctr">
              <a:solidFill>
                <a:schemeClr val="bg1"/>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de-DE"/>
          </a:p>
        </c:txPr>
        <c:crossAx val="928693983"/>
        <c:crosses val="autoZero"/>
        <c:auto val="0"/>
        <c:lblAlgn val="ctr"/>
        <c:lblOffset val="0"/>
        <c:tickMarkSkip val="1"/>
        <c:noMultiLvlLbl val="0"/>
      </c:catAx>
      <c:valAx>
        <c:axId val="928693983"/>
        <c:scaling>
          <c:orientation val="minMax"/>
          <c:max val="1050"/>
          <c:min val="0"/>
        </c:scaling>
        <c:delete val="0"/>
        <c:axPos val="t"/>
        <c:majorGridlines>
          <c:spPr>
            <a:ln w="15875" cap="flat" cmpd="sng" algn="ctr">
              <a:solidFill>
                <a:schemeClr val="bg1"/>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in"/>
        <c:tickLblPos val="high"/>
        <c:spPr>
          <a:noFill/>
          <a:ln>
            <a:solidFill>
              <a:schemeClr val="bg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Arial" panose="020B0604020202020204" pitchFamily="34" charset="0"/>
              </a:defRPr>
            </a:pPr>
            <a:endParaRPr lang="de-DE"/>
          </a:p>
        </c:txPr>
        <c:crossAx val="928676223"/>
        <c:crosses val="autoZero"/>
        <c:crossBetween val="between"/>
        <c:majorUnit val="250"/>
        <c:minorUnit val="125"/>
      </c:valAx>
      <c:spPr>
        <a:solidFill>
          <a:schemeClr val="bg1">
            <a:lumMod val="95000"/>
          </a:schemeClr>
        </a:solid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Arial" panose="020B0604020202020204" pitchFamily="34" charset="0"/>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de-DE"/>
    </a:p>
  </c:txPr>
  <c:externalData r:id="rId1">
    <c:autoUpdate val="0"/>
  </c:externalData>
</c:chartSpace>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2C504EC0-99C1-48BE-A1C5-E206DE5D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2610</Words>
  <Characters>16445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Sonderpädagogisches Personal in der Begabtenförderung: zuständig, aber nicht vorbereitet_x000d_</vt:lpstr>
    </vt:vector>
  </TitlesOfParts>
  <Company/>
  <LinksUpToDate>false</LinksUpToDate>
  <CharactersWithSpaces>19017</CharactersWithSpaces>
  <SharedDoc>false</SharedDoc>
  <HLinks>
    <vt:vector size="48" baseType="variant">
      <vt:variant>
        <vt:i4>8061040</vt:i4>
      </vt:variant>
      <vt:variant>
        <vt:i4>21</vt:i4>
      </vt:variant>
      <vt:variant>
        <vt:i4>0</vt:i4>
      </vt:variant>
      <vt:variant>
        <vt:i4>5</vt:i4>
      </vt:variant>
      <vt:variant>
        <vt:lpwstr>https://doi.org/10.2378/peu2013.art22d</vt:lpwstr>
      </vt:variant>
      <vt:variant>
        <vt:lpwstr/>
      </vt:variant>
      <vt:variant>
        <vt:i4>1507419</vt:i4>
      </vt:variant>
      <vt:variant>
        <vt:i4>18</vt:i4>
      </vt:variant>
      <vt:variant>
        <vt:i4>0</vt:i4>
      </vt:variant>
      <vt:variant>
        <vt:i4>5</vt:i4>
      </vt:variant>
      <vt:variant>
        <vt:lpwstr>https://doi.org/10.1177/00169862221124887</vt:lpwstr>
      </vt:variant>
      <vt:variant>
        <vt:lpwstr/>
      </vt:variant>
      <vt:variant>
        <vt:i4>2031712</vt:i4>
      </vt:variant>
      <vt:variant>
        <vt:i4>15</vt:i4>
      </vt:variant>
      <vt:variant>
        <vt:i4>0</vt:i4>
      </vt:variant>
      <vt:variant>
        <vt:i4>5</vt:i4>
      </vt:variant>
      <vt:variant>
        <vt:lpwstr>https://www.hfh.ch/sites/default/files/documents/schlussbericht_bbf.pdf</vt:lpwstr>
      </vt:variant>
      <vt:variant>
        <vt:lpwstr/>
      </vt:variant>
      <vt:variant>
        <vt:i4>5767249</vt:i4>
      </vt:variant>
      <vt:variant>
        <vt:i4>12</vt:i4>
      </vt:variant>
      <vt:variant>
        <vt:i4>0</vt:i4>
      </vt:variant>
      <vt:variant>
        <vt:i4>5</vt:i4>
      </vt:variant>
      <vt:variant>
        <vt:lpwstr>https://doi.org/10.57161/z2023-08-04</vt:lpwstr>
      </vt:variant>
      <vt:variant>
        <vt:lpwstr/>
      </vt:variant>
      <vt:variant>
        <vt:i4>1900625</vt:i4>
      </vt:variant>
      <vt:variant>
        <vt:i4>9</vt:i4>
      </vt:variant>
      <vt:variant>
        <vt:i4>0</vt:i4>
      </vt:variant>
      <vt:variant>
        <vt:i4>5</vt:i4>
      </vt:variant>
      <vt:variant>
        <vt:lpwstr>https://doi.org/10.1177/00169862221104026</vt:lpwstr>
      </vt:variant>
      <vt:variant>
        <vt:lpwstr/>
      </vt:variant>
      <vt:variant>
        <vt:i4>8192087</vt:i4>
      </vt:variant>
      <vt:variant>
        <vt:i4>6</vt:i4>
      </vt:variant>
      <vt:variant>
        <vt:i4>0</vt:i4>
      </vt:variant>
      <vt:variant>
        <vt:i4>5</vt:i4>
      </vt:variant>
      <vt:variant>
        <vt:lpwstr>https://doi.org/10.1007/978-3-658-27277-7_63</vt:lpwstr>
      </vt:variant>
      <vt:variant>
        <vt:lpwstr/>
      </vt:variant>
      <vt:variant>
        <vt:i4>1114131</vt:i4>
      </vt:variant>
      <vt:variant>
        <vt:i4>3</vt:i4>
      </vt:variant>
      <vt:variant>
        <vt:i4>0</vt:i4>
      </vt:variant>
      <vt:variant>
        <vt:i4>5</vt:i4>
      </vt:variant>
      <vt:variant>
        <vt:lpwstr>https://www.lehrplan.ch/</vt:lpwstr>
      </vt:variant>
      <vt:variant>
        <vt:lpwstr/>
      </vt: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Sonderpädagogisches Personal in der Begabtenförderung: zuständig, aber nicht vorbereitet</dc:title>
  <dc:subject/>
  <dc:creator>Michelle Squindo;Anuschka Meier-Wyder</dc:creator>
  <cp:keywords>Begabtenförderung, Hochbegabung, obligatorische Schule, Sonderpädagogik, Förderung, Chancengleichheit, Inklusion, Bildungspolitik, Schulentwicklung, Lehrerbildung/encouragement des talents, haut potentiel, scolarité obligatoire, pédagogie spécialisée, encouragement, égalité des chances, inclusion, politique de l'éducation, développement scolaire, formation des enseignants</cp:keywords>
  <cp:lastModifiedBy>Milena Gautschi</cp:lastModifiedBy>
  <cp:revision>6</cp:revision>
  <cp:lastPrinted>2025-06-16T14:19:00Z</cp:lastPrinted>
  <dcterms:created xsi:type="dcterms:W3CDTF">2025-07-03T08:07:00Z</dcterms:created>
  <dcterms:modified xsi:type="dcterms:W3CDTF">2025-07-08T08:56:00Z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zotero-version="6.0.36"&gt;&lt;session id="EwqK4sds"/&gt;&lt;style id="http://www.zotero.org/styles/apa" locale="de-CH" hasBibliography="1" bibliographyStyleHasBeenSet="1"/&gt;&lt;prefs&gt;&lt;pref name="fieldType" value="Bookmark"/&gt;&lt;pref name="automaticJo</vt:lpwstr>
  </property>
  <property fmtid="{D5CDD505-2E9C-101B-9397-08002B2CF9AE}" pid="5" name="ZOTERO_PREF_2">
    <vt:lpwstr>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ZOTERO_BREF_wlTI9SGJSpFR_1">
    <vt:lpwstr>ZOTERO_ITEM CSL_CITATION {"citationID":"6yqNd29d","properties":{"formattedCitation":"(Meier-Wyder et al., 2024)","plainCitation":"(Meier-Wyder et al., 2024)","noteIndex":0},"citationItems":[{"id":110,"uris":["http://zotero.org/users/14065103/items/4SA4Z68</vt:lpwstr>
  </property>
  <property fmtid="{D5CDD505-2E9C-101B-9397-08002B2CF9AE}" pid="32" name="ZOTERO_BREF_wlTI9SGJSpFR_2">
    <vt:lpwstr>C"],"itemData":{"id":110,"type":"book","event-place":"Zürich","publisher":"Interkantonale Hochschule für Heilpädagogik","publisher-place":"Zürich","title":"Schlussbericht: Studie zur Angebotssituation der Begabungs- und Begabtenförderung in der Deutschsch</vt:lpwstr>
  </property>
  <property fmtid="{D5CDD505-2E9C-101B-9397-08002B2CF9AE}" pid="33" name="ZOTERO_BREF_wlTI9SGJSpFR_3">
    <vt:lpwstr>weiz und dem Fürstentum Liechtenstein","URL":"https://www.hfh.ch/sites/default/files/documents/schlussbericht_bbf.pdf","author":[{"family":"Meier-Wyder","given":"Anuschka"},{"family":"Squindo","given":"Michelle"},{"family":"Hofmann","given":"Claudia"}],"i</vt:lpwstr>
  </property>
  <property fmtid="{D5CDD505-2E9C-101B-9397-08002B2CF9AE}" pid="34" name="ZOTERO_BREF_wlTI9SGJSpFR_4">
    <vt:lpwstr>ssued":{"date-parts":[["2024"]]}}}],"schema":"https://github.com/citation-style-language/schema/raw/master/csl-citation.json"}</vt:lpwstr>
  </property>
  <property fmtid="{D5CDD505-2E9C-101B-9397-08002B2CF9AE}" pid="35" name="ZOTERO_BREF_XtwzFH3joo9l_1">
    <vt:lpwstr>ZOTERO_BIBL {"uncited":[],"omitted":[],"custom":[]} CSL_BIBLIOGRAPHY</vt:lpwstr>
  </property>
  <property fmtid="{D5CDD505-2E9C-101B-9397-08002B2CF9AE}" pid="36" name="ZOTERO_BREF_F5mqa8eKLrUE_1">
    <vt:lpwstr>ZOTERO_ITEM CSL_CITATION {"citationID":"o650zAtY","properties":{"formattedCitation":"(vgl. Meier-Wyder &amp; Hagmann-von Arx, 2023; Preckel &amp; Vock, 2021)","plainCitation":"(vgl. Meier-Wyder &amp; Hagmann-von Arx, 2023; Preckel &amp; Vock, 2021)","noteIndex":0},"citat</vt:lpwstr>
  </property>
  <property fmtid="{D5CDD505-2E9C-101B-9397-08002B2CF9AE}" pid="37" name="ZOTERO_BREF_F5mqa8eKLrUE_2">
    <vt:lpwstr>ionItems":[{"id":97,"uris":["http://zotero.org/users/14065103/items/26I7AEYB"],"itemData":{"id":97,"type":"article-journal","abstract":"Jedes Kind hat das Recht auf eine individuelle Förderung, zu der auch die Begabungsförderung in der Schule gehört. Um U</vt:lpwstr>
  </property>
  <property fmtid="{D5CDD505-2E9C-101B-9397-08002B2CF9AE}" pid="38" name="ZOTERO_BREF_F5mqa8eKLrUE_3">
    <vt:lpwstr>nterforderung begabter Kinder und damit negative Auswirkungen auf ihre Entwicklung zu vermeiden, ist es entscheidend, Begabungen frühzeitig zu erkennen. In diesem Artikel besprechen wir zuerst die Hochbegabung als weit überdurchschnittliche Intelligenz – </vt:lpwstr>
  </property>
  <property fmtid="{D5CDD505-2E9C-101B-9397-08002B2CF9AE}" pid="39" name="ZOTERO_BREF_F5mqa8eKLrUE_4">
    <vt:lpwstr>und damit verbunden die Intelligenzdiagnostik. Anschliessend thematisieren wir (Hoch-)Begabungsmodelle, die Begabung als mehrdimensionales und dynamisches Konzept modellieren. Schliesslich erörtern wir Möglichkeiten und Herausforderungen der Begabungsdiag</vt:lpwstr>
  </property>
  <property fmtid="{D5CDD505-2E9C-101B-9397-08002B2CF9AE}" pid="40" name="ZOTERO_BREF_F5mqa8eKLrUE_5">
    <vt:lpwstr>nostik und ziehen ein Fazit für die schulische Praxis.","container-title":"Schweizerische Zeitschrift für Heilpädagogik","DOI":"10.57161/z2023-08-04","ISSN":"2813-4907","issue":"08","journalAbbreviation":"SZH","license":"https://creativecommons.org/licens</vt:lpwstr>
  </property>
  <property fmtid="{D5CDD505-2E9C-101B-9397-08002B2CF9AE}" pid="41" name="ZOTERO_BREF_F5mqa8eKLrUE_6">
    <vt:lpwstr>es/by/4.0","page":"23-30","source":"DOI.org (Crossref)","title":"Begabungsdiagnostik unter der Lupe","volume":"29","author":[{"family":"Meier-Wyder","given":"Anuschka"},{"family":"Hagmann-von Arx","given":"Priska"}],"issued":{"date-parts":[["2023",11,14]]</vt:lpwstr>
  </property>
  <property fmtid="{D5CDD505-2E9C-101B-9397-08002B2CF9AE}" pid="42" name="ZOTERO_BREF_F5mqa8eKLrUE_7">
    <vt:lpwstr>}},"label":"page","prefix":"vgl."},{"id":111,"uris":["http://zotero.org/users/14065103/items/FCS4VQS4"],"itemData":{"id":111,"type":"book","edition":"2., überarbeitete Auflage","event-place":"Göttingen","ISBN":"978-3-8017-2850-2","language":"ger","number-</vt:lpwstr>
  </property>
  <property fmtid="{D5CDD505-2E9C-101B-9397-08002B2CF9AE}" pid="43" name="ZOTERO_BREF_F5mqa8eKLrUE_8">
    <vt:lpwstr>of-pages":"1","publisher":"Hogrefe Verlag GmbH &amp; Co. KG","publisher-place":"Göttingen","source":"K10plus ISBN","title":"Hochbegabung: ein Lehrbuch zu Grundlagen, Diagnostik und Fördermöglichkeiten","title-short":"Hochbegabung","author":[{"family":"Preckel</vt:lpwstr>
  </property>
  <property fmtid="{D5CDD505-2E9C-101B-9397-08002B2CF9AE}" pid="44" name="ZOTERO_BREF_F5mqa8eKLrUE_9">
    <vt:lpwstr>","given":"Franzis"},{"family":"Vock","given":"Miriam"}],"issued":{"date-parts":[["2021"]]}}}],"schema":"https://github.com/citation-style-language/schema/raw/master/csl-citation.json"}</vt:lpwstr>
  </property>
  <property fmtid="{D5CDD505-2E9C-101B-9397-08002B2CF9AE}" pid="45" name="ZOTERO_BREF_6fmLZAlc2RuU_1">
    <vt:lpwstr>ZOTERO_TEMP</vt:lpwstr>
  </property>
</Properties>
</file>