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F6D8C" w14:textId="58094CCC" w:rsidR="002B32A8" w:rsidRPr="00D63D80" w:rsidRDefault="004A08EF" w:rsidP="00D63D80">
      <w:pPr>
        <w:pStyle w:val="Titel"/>
      </w:pPr>
      <w:bookmarkStart w:id="0" w:name="_Hlk127787875"/>
      <w:r w:rsidRPr="00D63D80">
        <w:t>Übers Sterben reden</w:t>
      </w:r>
    </w:p>
    <w:bookmarkEnd w:id="0"/>
    <w:p w14:paraId="553A78DD" w14:textId="40E72E67" w:rsidR="001114E2" w:rsidRPr="00D63D80" w:rsidRDefault="002B32A8" w:rsidP="00D63D80">
      <w:pPr>
        <w:pStyle w:val="Untertitel"/>
      </w:pPr>
      <w:r w:rsidRPr="00D63D80">
        <w:t>Organisationsethische Fragen in der Begleitung von Menschen mit Behinderung</w:t>
      </w:r>
      <w:r w:rsidR="000339A7" w:rsidRPr="00D63D80">
        <w:t>en</w:t>
      </w:r>
      <w:r w:rsidRPr="00D63D80">
        <w:t xml:space="preserve"> am Lebensende</w:t>
      </w:r>
    </w:p>
    <w:p w14:paraId="3F3B8A6E" w14:textId="6D6ECD65" w:rsidR="001114E2" w:rsidRPr="00E02C6B" w:rsidRDefault="00F860A7" w:rsidP="006C2B84">
      <w:pPr>
        <w:pStyle w:val="Author"/>
        <w:rPr>
          <w:rFonts w:cs="Open Sans SemiCondensed"/>
          <w:lang w:val="de-CH"/>
        </w:rPr>
      </w:pPr>
      <w:r>
        <w:rPr>
          <w:rFonts w:cs="Open Sans SemiCondensed"/>
          <w:lang w:val="de-CH"/>
        </w:rPr>
        <w:t xml:space="preserve">Sabine </w:t>
      </w:r>
      <w:r w:rsidR="002B32A8" w:rsidRPr="00E02C6B">
        <w:rPr>
          <w:rFonts w:cs="Open Sans SemiCondensed"/>
          <w:lang w:val="de-CH"/>
        </w:rPr>
        <w:t>Schäper</w:t>
      </w:r>
    </w:p>
    <w:p w14:paraId="5FF8E64F" w14:textId="7C75EE64" w:rsidR="002B32A8" w:rsidRDefault="00985126" w:rsidP="00D63D80">
      <w:pPr>
        <w:pStyle w:val="Abstract"/>
      </w:pPr>
      <w:r w:rsidRPr="00E02C6B">
        <w:t>Zusammenfassung</w:t>
      </w:r>
      <w:bookmarkStart w:id="1" w:name="_Hlk132101668"/>
      <w:r w:rsidR="00C816AC">
        <w:br/>
      </w:r>
      <w:bookmarkEnd w:id="1"/>
      <w:r w:rsidR="002B32A8" w:rsidRPr="00E02C6B">
        <w:t xml:space="preserve">Der Beitrag </w:t>
      </w:r>
      <w:r w:rsidR="004A08EF">
        <w:t xml:space="preserve">handelt von der Begleitung von Menschen mit Behinderungen am Lebensende. </w:t>
      </w:r>
      <w:r w:rsidR="00DA42D8">
        <w:t>Ergebnisse</w:t>
      </w:r>
      <w:r w:rsidR="002B32A8" w:rsidRPr="00E02C6B">
        <w:t xml:space="preserve"> aus dem Projekt </w:t>
      </w:r>
      <w:r w:rsidR="00FD0250">
        <w:t>«</w:t>
      </w:r>
      <w:r w:rsidR="002B32A8" w:rsidRPr="00E02C6B">
        <w:t>Palliative Care und hospizliche Begleitung von Menschen mit geistiger und schwerer Behinderung</w:t>
      </w:r>
      <w:r w:rsidR="00FD0250">
        <w:t>»</w:t>
      </w:r>
      <w:r w:rsidR="004A08EF">
        <w:t xml:space="preserve"> verdeutlichen, wie wichtig die</w:t>
      </w:r>
      <w:r w:rsidR="00DA42D8">
        <w:t xml:space="preserve"> Organisationskultur in Wohneinrichtungen für die Partizipation</w:t>
      </w:r>
      <w:r w:rsidR="004A08EF">
        <w:t xml:space="preserve"> ist</w:t>
      </w:r>
      <w:r w:rsidR="002B32A8" w:rsidRPr="00E02C6B">
        <w:t xml:space="preserve">. </w:t>
      </w:r>
      <w:r w:rsidR="004A08EF">
        <w:t xml:space="preserve">Erfahrungen von Fachpersonen und </w:t>
      </w:r>
      <w:proofErr w:type="spellStart"/>
      <w:proofErr w:type="gramStart"/>
      <w:r w:rsidR="004A08EF">
        <w:t>Bewohner:innen</w:t>
      </w:r>
      <w:proofErr w:type="spellEnd"/>
      <w:proofErr w:type="gramEnd"/>
      <w:r w:rsidR="004A08EF">
        <w:t xml:space="preserve"> zeigen, wie mit </w:t>
      </w:r>
      <w:r w:rsidR="00DA42D8">
        <w:t>der Einwilligung und der Einwilligungsfähigkeit</w:t>
      </w:r>
      <w:r w:rsidR="004A08EF">
        <w:t xml:space="preserve"> umgegangen wird. Der Beitrag bettet diese Frage</w:t>
      </w:r>
      <w:r w:rsidR="00DA42D8">
        <w:t xml:space="preserve"> in rechtliche Reformen</w:t>
      </w:r>
      <w:r w:rsidR="004A08EF">
        <w:t xml:space="preserve"> ein</w:t>
      </w:r>
      <w:r w:rsidR="00DA42D8">
        <w:t>, die durch die UN-Behindertenrechtskonvention in verschiedenen Ländern angesto</w:t>
      </w:r>
      <w:r w:rsidR="00B7599C">
        <w:t>ss</w:t>
      </w:r>
      <w:r w:rsidR="00DA42D8">
        <w:t>en wurden.</w:t>
      </w:r>
    </w:p>
    <w:p w14:paraId="5D22CCFD" w14:textId="6B8BBFCB" w:rsidR="00F860A7" w:rsidRPr="00F860A7" w:rsidRDefault="00F860A7" w:rsidP="00D63D80">
      <w:pPr>
        <w:pStyle w:val="Abstract"/>
        <w:rPr>
          <w:lang w:val="fr-CH"/>
        </w:rPr>
      </w:pPr>
      <w:r w:rsidRPr="00F860A7">
        <w:rPr>
          <w:iCs/>
          <w:lang w:val="fr-CH"/>
        </w:rPr>
        <w:t>Résumé</w:t>
      </w:r>
      <w:r w:rsidRPr="00F860A7">
        <w:rPr>
          <w:lang w:val="fr-CH"/>
        </w:rPr>
        <w:br/>
      </w:r>
      <w:r w:rsidRPr="00F860A7">
        <w:rPr>
          <w:iCs/>
          <w:lang w:val="fr-CH"/>
        </w:rPr>
        <w:t>Cet article traite de l'accompagnement des personnes en situation de handicap en fin de vie. Les résultats du projet</w:t>
      </w:r>
      <w:r w:rsidR="00C13AC4" w:rsidRPr="00F860A7">
        <w:rPr>
          <w:iCs/>
          <w:lang w:val="fr-CH"/>
        </w:rPr>
        <w:t xml:space="preserve"> «</w:t>
      </w:r>
      <w:r w:rsidR="00C13AC4">
        <w:rPr>
          <w:rFonts w:hint="cs"/>
          <w:iCs/>
          <w:lang w:val="fr-CH"/>
        </w:rPr>
        <w:t> </w:t>
      </w:r>
      <w:r w:rsidR="00C13AC4" w:rsidRPr="00F860A7">
        <w:rPr>
          <w:iCs/>
          <w:lang w:val="fr-CH"/>
        </w:rPr>
        <w:t>Palliative</w:t>
      </w:r>
      <w:r w:rsidRPr="00F860A7">
        <w:rPr>
          <w:iCs/>
          <w:lang w:val="fr-CH"/>
        </w:rPr>
        <w:t xml:space="preserve"> Care </w:t>
      </w:r>
      <w:proofErr w:type="spellStart"/>
      <w:r w:rsidRPr="00F860A7">
        <w:rPr>
          <w:iCs/>
          <w:lang w:val="fr-CH"/>
        </w:rPr>
        <w:t>und</w:t>
      </w:r>
      <w:proofErr w:type="spellEnd"/>
      <w:r w:rsidRPr="00F860A7">
        <w:rPr>
          <w:iCs/>
          <w:lang w:val="fr-CH"/>
        </w:rPr>
        <w:t xml:space="preserve"> </w:t>
      </w:r>
      <w:proofErr w:type="spellStart"/>
      <w:r w:rsidRPr="00F860A7">
        <w:rPr>
          <w:iCs/>
          <w:lang w:val="fr-CH"/>
        </w:rPr>
        <w:t>hospizliche</w:t>
      </w:r>
      <w:proofErr w:type="spellEnd"/>
      <w:r w:rsidRPr="00F860A7">
        <w:rPr>
          <w:iCs/>
          <w:lang w:val="fr-CH"/>
        </w:rPr>
        <w:t xml:space="preserve"> </w:t>
      </w:r>
      <w:proofErr w:type="spellStart"/>
      <w:r w:rsidRPr="00F860A7">
        <w:rPr>
          <w:iCs/>
          <w:lang w:val="fr-CH"/>
        </w:rPr>
        <w:t>Begleitung</w:t>
      </w:r>
      <w:proofErr w:type="spellEnd"/>
      <w:r w:rsidRPr="00F860A7">
        <w:rPr>
          <w:iCs/>
          <w:lang w:val="fr-CH"/>
        </w:rPr>
        <w:t xml:space="preserve"> von </w:t>
      </w:r>
      <w:proofErr w:type="spellStart"/>
      <w:r w:rsidRPr="00F860A7">
        <w:rPr>
          <w:iCs/>
          <w:lang w:val="fr-CH"/>
        </w:rPr>
        <w:t>Menschen</w:t>
      </w:r>
      <w:proofErr w:type="spellEnd"/>
      <w:r w:rsidRPr="00F860A7">
        <w:rPr>
          <w:iCs/>
          <w:lang w:val="fr-CH"/>
        </w:rPr>
        <w:t xml:space="preserve"> mit </w:t>
      </w:r>
      <w:proofErr w:type="spellStart"/>
      <w:r w:rsidRPr="00F860A7">
        <w:rPr>
          <w:iCs/>
          <w:lang w:val="fr-CH"/>
        </w:rPr>
        <w:t>geistiger</w:t>
      </w:r>
      <w:proofErr w:type="spellEnd"/>
      <w:r w:rsidRPr="00F860A7">
        <w:rPr>
          <w:iCs/>
          <w:lang w:val="fr-CH"/>
        </w:rPr>
        <w:t xml:space="preserve"> </w:t>
      </w:r>
      <w:proofErr w:type="spellStart"/>
      <w:r w:rsidRPr="00F860A7">
        <w:rPr>
          <w:iCs/>
          <w:lang w:val="fr-CH"/>
        </w:rPr>
        <w:t>und</w:t>
      </w:r>
      <w:proofErr w:type="spellEnd"/>
      <w:r w:rsidRPr="00F860A7">
        <w:rPr>
          <w:iCs/>
          <w:lang w:val="fr-CH"/>
        </w:rPr>
        <w:t xml:space="preserve"> </w:t>
      </w:r>
      <w:proofErr w:type="spellStart"/>
      <w:r w:rsidRPr="00F860A7">
        <w:rPr>
          <w:iCs/>
          <w:lang w:val="fr-CH"/>
        </w:rPr>
        <w:t>schwerer</w:t>
      </w:r>
      <w:proofErr w:type="spellEnd"/>
      <w:r w:rsidRPr="00F860A7">
        <w:rPr>
          <w:iCs/>
          <w:lang w:val="fr-CH"/>
        </w:rPr>
        <w:t xml:space="preserve"> </w:t>
      </w:r>
      <w:proofErr w:type="spellStart"/>
      <w:r w:rsidRPr="00F860A7">
        <w:rPr>
          <w:iCs/>
          <w:lang w:val="fr-CH"/>
        </w:rPr>
        <w:t>Behinderung</w:t>
      </w:r>
      <w:proofErr w:type="spellEnd"/>
      <w:r w:rsidR="00140FAB">
        <w:rPr>
          <w:iCs/>
          <w:lang w:val="fr-CH"/>
        </w:rPr>
        <w:t> </w:t>
      </w:r>
      <w:r w:rsidRPr="00F860A7">
        <w:rPr>
          <w:iCs/>
          <w:lang w:val="fr-CH"/>
        </w:rPr>
        <w:t>» (« Soins palliatifs et accompagnement institutionnel des personnes ayant une déficience intellectuelle et un polyhandicap</w:t>
      </w:r>
      <w:r w:rsidR="00EB2962">
        <w:rPr>
          <w:rFonts w:hint="cs"/>
          <w:iCs/>
          <w:lang w:val="fr-CH"/>
        </w:rPr>
        <w:t> </w:t>
      </w:r>
      <w:r w:rsidRPr="00F860A7">
        <w:rPr>
          <w:iCs/>
          <w:lang w:val="fr-CH"/>
        </w:rPr>
        <w:t xml:space="preserve">») mettent en évidence l'importance de la culture organisationnelle des institutions résidentielles sur </w:t>
      </w:r>
      <w:proofErr w:type="gramStart"/>
      <w:r w:rsidRPr="00F860A7">
        <w:rPr>
          <w:iCs/>
          <w:lang w:val="fr-CH"/>
        </w:rPr>
        <w:t>la</w:t>
      </w:r>
      <w:proofErr w:type="gramEnd"/>
      <w:r w:rsidRPr="00F860A7">
        <w:rPr>
          <w:iCs/>
          <w:lang w:val="fr-CH"/>
        </w:rPr>
        <w:t xml:space="preserve"> participation. Les expériences du personnel spécialisé ainsi que des résidentes et résidents montrent comment composer avec le consentement et la capacité à consentir. L'article inscrit cette question dans le cadre des réformes juridiques initiées dans différents pays par la Convention des Nations Unies relative aux droits des personnes handicapées. </w:t>
      </w:r>
    </w:p>
    <w:p w14:paraId="6AA83CD0" w14:textId="642A7C9F" w:rsidR="00EA4676" w:rsidRDefault="00EA4676" w:rsidP="00CC499D">
      <w:pPr>
        <w:pStyle w:val="Textkrper3"/>
        <w:rPr>
          <w:lang w:val="fr-CH"/>
        </w:rPr>
      </w:pPr>
      <w:proofErr w:type="gramStart"/>
      <w:r w:rsidRPr="00637079">
        <w:rPr>
          <w:rStyle w:val="Fett"/>
          <w:rFonts w:cs="Open Sans SemiCondensed"/>
          <w:lang w:val="fr-CH"/>
        </w:rPr>
        <w:t>Keywords</w:t>
      </w:r>
      <w:r w:rsidRPr="00637079">
        <w:rPr>
          <w:lang w:val="fr-CH"/>
        </w:rPr>
        <w:t>:</w:t>
      </w:r>
      <w:proofErr w:type="gramEnd"/>
      <w:r w:rsidRPr="00637079">
        <w:rPr>
          <w:lang w:val="fr-CH"/>
        </w:rPr>
        <w:t xml:space="preserve"> </w:t>
      </w:r>
      <w:proofErr w:type="spellStart"/>
      <w:r w:rsidR="00795B45" w:rsidRPr="00380202">
        <w:rPr>
          <w:rStyle w:val="value"/>
          <w:lang w:val="fr-CH"/>
        </w:rPr>
        <w:t>kognitive</w:t>
      </w:r>
      <w:proofErr w:type="spellEnd"/>
      <w:r w:rsidR="00795B45" w:rsidRPr="00380202">
        <w:rPr>
          <w:rStyle w:val="value"/>
          <w:lang w:val="fr-CH"/>
        </w:rPr>
        <w:t xml:space="preserve"> </w:t>
      </w:r>
      <w:proofErr w:type="spellStart"/>
      <w:r w:rsidR="00795B45" w:rsidRPr="00380202">
        <w:rPr>
          <w:rStyle w:val="value"/>
          <w:lang w:val="fr-CH"/>
        </w:rPr>
        <w:t>Beeinträchtigung</w:t>
      </w:r>
      <w:proofErr w:type="spellEnd"/>
      <w:r w:rsidR="00795B45" w:rsidRPr="00380202">
        <w:rPr>
          <w:rStyle w:val="value"/>
          <w:lang w:val="fr-CH"/>
        </w:rPr>
        <w:t xml:space="preserve">, </w:t>
      </w:r>
      <w:proofErr w:type="spellStart"/>
      <w:r w:rsidR="004822F1" w:rsidRPr="00380202">
        <w:rPr>
          <w:rStyle w:val="value"/>
          <w:lang w:val="fr-CH"/>
        </w:rPr>
        <w:t>Schwer</w:t>
      </w:r>
      <w:proofErr w:type="spellEnd"/>
      <w:r w:rsidR="004822F1" w:rsidRPr="00380202">
        <w:rPr>
          <w:rStyle w:val="value"/>
          <w:lang w:val="fr-CH"/>
        </w:rPr>
        <w:t xml:space="preserve">- </w:t>
      </w:r>
      <w:proofErr w:type="spellStart"/>
      <w:r w:rsidR="004822F1" w:rsidRPr="00380202">
        <w:rPr>
          <w:rStyle w:val="value"/>
          <w:lang w:val="fr-CH"/>
        </w:rPr>
        <w:t>und</w:t>
      </w:r>
      <w:proofErr w:type="spellEnd"/>
      <w:r w:rsidR="004822F1" w:rsidRPr="00380202">
        <w:rPr>
          <w:rStyle w:val="value"/>
          <w:lang w:val="fr-CH"/>
        </w:rPr>
        <w:t xml:space="preserve"> </w:t>
      </w:r>
      <w:proofErr w:type="spellStart"/>
      <w:r w:rsidR="004822F1" w:rsidRPr="00380202">
        <w:rPr>
          <w:rStyle w:val="value"/>
          <w:lang w:val="fr-CH"/>
        </w:rPr>
        <w:t>Mehrfachbehinderung</w:t>
      </w:r>
      <w:proofErr w:type="spellEnd"/>
      <w:r w:rsidR="004822F1" w:rsidRPr="00380202">
        <w:rPr>
          <w:rStyle w:val="value"/>
          <w:lang w:val="fr-CH"/>
        </w:rPr>
        <w:t xml:space="preserve">, </w:t>
      </w:r>
      <w:r w:rsidR="00637079" w:rsidRPr="00380202">
        <w:rPr>
          <w:rStyle w:val="value"/>
          <w:lang w:val="fr-CH"/>
        </w:rPr>
        <w:t xml:space="preserve">Tod, </w:t>
      </w:r>
      <w:r w:rsidR="006C5E9E" w:rsidRPr="00380202">
        <w:rPr>
          <w:rStyle w:val="value"/>
          <w:lang w:val="fr-CH"/>
        </w:rPr>
        <w:t xml:space="preserve">Palliative Care, </w:t>
      </w:r>
      <w:proofErr w:type="spellStart"/>
      <w:r w:rsidR="00515553" w:rsidRPr="00380202">
        <w:rPr>
          <w:lang w:val="fr-CH"/>
        </w:rPr>
        <w:t>Selbstbestimmung</w:t>
      </w:r>
      <w:proofErr w:type="spellEnd"/>
      <w:r w:rsidR="0033113B" w:rsidRPr="00380202">
        <w:rPr>
          <w:lang w:val="fr-CH"/>
        </w:rPr>
        <w:t xml:space="preserve">, </w:t>
      </w:r>
      <w:proofErr w:type="spellStart"/>
      <w:r w:rsidR="0033113B" w:rsidRPr="00380202">
        <w:rPr>
          <w:lang w:val="fr-CH"/>
        </w:rPr>
        <w:t>Ethik</w:t>
      </w:r>
      <w:proofErr w:type="spellEnd"/>
      <w:r w:rsidR="0033113B" w:rsidRPr="00380202">
        <w:rPr>
          <w:lang w:val="fr-CH"/>
        </w:rPr>
        <w:t xml:space="preserve"> </w:t>
      </w:r>
      <w:r w:rsidR="00515553" w:rsidRPr="00380202">
        <w:rPr>
          <w:lang w:val="fr-CH"/>
        </w:rPr>
        <w:t>/</w:t>
      </w:r>
      <w:r w:rsidR="00515553" w:rsidRPr="00637079">
        <w:rPr>
          <w:lang w:val="fr-CH"/>
        </w:rPr>
        <w:t xml:space="preserve"> </w:t>
      </w:r>
      <w:r w:rsidR="00292B7F" w:rsidRPr="00637079">
        <w:rPr>
          <w:rStyle w:val="value"/>
          <w:lang w:val="fr-CH"/>
        </w:rPr>
        <w:t xml:space="preserve">déficience intellectuelle, </w:t>
      </w:r>
      <w:r w:rsidR="004822F1" w:rsidRPr="00637079">
        <w:rPr>
          <w:rStyle w:val="value"/>
          <w:lang w:val="fr-CH"/>
        </w:rPr>
        <w:t xml:space="preserve">polyhandicap, </w:t>
      </w:r>
      <w:r w:rsidR="00637079" w:rsidRPr="00637079">
        <w:rPr>
          <w:rStyle w:val="value"/>
          <w:lang w:val="fr-CH"/>
        </w:rPr>
        <w:t>mo</w:t>
      </w:r>
      <w:r w:rsidR="00637079">
        <w:rPr>
          <w:rStyle w:val="value"/>
          <w:lang w:val="fr-CH"/>
        </w:rPr>
        <w:t xml:space="preserve">rt, </w:t>
      </w:r>
      <w:r w:rsidR="005A198C" w:rsidRPr="005A198C">
        <w:rPr>
          <w:rStyle w:val="value"/>
          <w:lang w:val="fr-CH"/>
        </w:rPr>
        <w:t>soins palliatifs,</w:t>
      </w:r>
      <w:r w:rsidR="005A198C">
        <w:rPr>
          <w:rStyle w:val="value"/>
          <w:lang w:val="fr-CH"/>
        </w:rPr>
        <w:t xml:space="preserve"> </w:t>
      </w:r>
      <w:r w:rsidR="00515553" w:rsidRPr="00637079">
        <w:rPr>
          <w:lang w:val="fr-CH"/>
        </w:rPr>
        <w:t>autodétermination</w:t>
      </w:r>
      <w:r w:rsidR="0033113B">
        <w:rPr>
          <w:lang w:val="fr-CH"/>
        </w:rPr>
        <w:t xml:space="preserve">, </w:t>
      </w:r>
      <w:r w:rsidR="0033113B" w:rsidRPr="00637079">
        <w:rPr>
          <w:lang w:val="fr-CH"/>
        </w:rPr>
        <w:t>éthique</w:t>
      </w:r>
    </w:p>
    <w:p w14:paraId="65A77AFC" w14:textId="41CBD19C" w:rsidR="006D6FCF" w:rsidRPr="00207FD1" w:rsidRDefault="00EA4676" w:rsidP="00CC499D">
      <w:pPr>
        <w:pStyle w:val="Textkrper3"/>
        <w:rPr>
          <w:rFonts w:cs="Open Sans SemiCondensed"/>
          <w:bCs/>
          <w:iCs/>
          <w:color w:val="CF3649"/>
          <w:lang w:val="fr-CH"/>
        </w:rPr>
      </w:pPr>
      <w:proofErr w:type="gramStart"/>
      <w:r w:rsidRPr="00207FD1">
        <w:rPr>
          <w:rStyle w:val="Fett"/>
          <w:rFonts w:cs="Open Sans SemiCondensed"/>
          <w:lang w:val="fr-CH"/>
        </w:rPr>
        <w:t>DOI</w:t>
      </w:r>
      <w:r w:rsidRPr="00207FD1">
        <w:rPr>
          <w:rFonts w:cs="Open Sans SemiCondensed"/>
          <w:lang w:val="fr-CH"/>
        </w:rPr>
        <w:t>:</w:t>
      </w:r>
      <w:proofErr w:type="gramEnd"/>
      <w:r w:rsidRPr="00207FD1">
        <w:rPr>
          <w:rFonts w:cs="Open Sans SemiCondensed"/>
          <w:lang w:val="fr-CH"/>
        </w:rPr>
        <w:t xml:space="preserve"> </w:t>
      </w:r>
      <w:hyperlink r:id="rId11" w:history="1">
        <w:r w:rsidR="006D6FCF" w:rsidRPr="00750A44">
          <w:rPr>
            <w:rStyle w:val="Hyperlink"/>
            <w:rFonts w:cs="Open Sans SemiCondensed"/>
            <w:lang w:val="fr-CH"/>
          </w:rPr>
          <w:t>https://doi.org/10.57161/z2023-04-</w:t>
        </w:r>
        <w:r w:rsidR="006D6FCF" w:rsidRPr="00750A44">
          <w:rPr>
            <w:rStyle w:val="Hyperlink"/>
            <w:bCs w:val="0"/>
            <w:iCs w:val="0"/>
            <w:lang w:val="fr-CH"/>
          </w:rPr>
          <w:t>06</w:t>
        </w:r>
      </w:hyperlink>
    </w:p>
    <w:p w14:paraId="3CBC05BE" w14:textId="61FD82A0" w:rsidR="001161D6" w:rsidRPr="00E02C6B" w:rsidRDefault="001161D6" w:rsidP="00CC499D">
      <w:pPr>
        <w:pStyle w:val="Textkrper3"/>
      </w:pPr>
      <w:r w:rsidRPr="00E02C6B">
        <w:t xml:space="preserve">Schweizerische Zeitschrift für Heilpädagogik, </w:t>
      </w:r>
      <w:r w:rsidRPr="003F1245">
        <w:t xml:space="preserve">Jg. </w:t>
      </w:r>
      <w:r w:rsidR="004177D5">
        <w:t>29</w:t>
      </w:r>
      <w:r w:rsidRPr="003F1245">
        <w:t xml:space="preserve">, </w:t>
      </w:r>
      <w:r w:rsidR="004177D5">
        <w:t>04</w:t>
      </w:r>
      <w:r w:rsidRPr="003F1245">
        <w:t>/</w:t>
      </w:r>
      <w:r w:rsidR="004177D5">
        <w:t>2023</w:t>
      </w:r>
    </w:p>
    <w:p w14:paraId="14350FA3" w14:textId="77777777" w:rsidR="000E6A66" w:rsidRPr="00E02C6B" w:rsidRDefault="000E6A66" w:rsidP="00CC499D">
      <w:pPr>
        <w:pStyle w:val="Textkrper3"/>
      </w:pPr>
      <w:r w:rsidRPr="00E02C6B">
        <w:rPr>
          <w:noProof/>
        </w:rPr>
        <w:drawing>
          <wp:inline distT="0" distB="0" distL="0" distR="0" wp14:anchorId="61482A7A" wp14:editId="289261FD">
            <wp:extent cx="1143000" cy="400050"/>
            <wp:effectExtent l="0" t="0" r="0" b="0"/>
            <wp:docPr id="4" name="Picture 4" descr="Creative Common B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phique 4" descr="Creative Common BY"/>
                    <pic:cNvPicPr/>
                  </pic:nvPicPr>
                  <pic:blipFill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A589E0" w14:textId="5F2730B8" w:rsidR="001114E2" w:rsidRPr="00B64F61" w:rsidRDefault="0040160F" w:rsidP="00B64F61">
      <w:pPr>
        <w:pStyle w:val="berschrift1"/>
      </w:pPr>
      <w:bookmarkStart w:id="2" w:name="heading-1"/>
      <w:r w:rsidRPr="00B64F61">
        <w:t>Menschen mit Behinderung</w:t>
      </w:r>
      <w:r w:rsidR="0090579E" w:rsidRPr="00B64F61">
        <w:t>en</w:t>
      </w:r>
      <w:r w:rsidRPr="00B64F61">
        <w:t xml:space="preserve"> und die Begleitung am Lebensende</w:t>
      </w:r>
      <w:bookmarkEnd w:id="2"/>
    </w:p>
    <w:p w14:paraId="33A72FEA" w14:textId="0D8F4C2F" w:rsidR="0040160F" w:rsidRPr="00E02C6B" w:rsidRDefault="00F46185" w:rsidP="00B64F61">
      <w:pPr>
        <w:pStyle w:val="Textkrper"/>
        <w:ind w:firstLine="0"/>
      </w:pPr>
      <w:bookmarkStart w:id="3" w:name="_Hlk126330674"/>
      <w:bookmarkStart w:id="4" w:name="heading-3"/>
      <w:r w:rsidRPr="00E02C6B">
        <w:t xml:space="preserve">Menschen mit kognitiven und komplexen </w:t>
      </w:r>
      <w:r w:rsidR="00492716">
        <w:t>Behinderungen</w:t>
      </w:r>
      <w:r w:rsidR="00492716" w:rsidRPr="00E02C6B">
        <w:t xml:space="preserve"> </w:t>
      </w:r>
      <w:r w:rsidRPr="00E02C6B">
        <w:t xml:space="preserve">erreichen in den letzten Jahrzehnten zunehmend ein höheres Lebensalter. </w:t>
      </w:r>
      <w:r w:rsidR="00D67ED3">
        <w:t>In vielen europäischen Ländern sind sie jedoch i</w:t>
      </w:r>
      <w:r w:rsidR="0040160F" w:rsidRPr="00E02C6B">
        <w:t xml:space="preserve">m System der palliativen Versorgung und hospizlichen Begleitung </w:t>
      </w:r>
      <w:r w:rsidRPr="00E02C6B">
        <w:t>weiterhin u</w:t>
      </w:r>
      <w:r w:rsidR="0040160F" w:rsidRPr="00E02C6B">
        <w:t>nterrepräsentier</w:t>
      </w:r>
      <w:r w:rsidRPr="00E02C6B">
        <w:t>t</w:t>
      </w:r>
      <w:r w:rsidR="00D67ED3">
        <w:t>.</w:t>
      </w:r>
      <w:r w:rsidRPr="00E02C6B">
        <w:t xml:space="preserve"> </w:t>
      </w:r>
      <w:r w:rsidR="00B45FAA">
        <w:t>Darauf weist</w:t>
      </w:r>
      <w:r w:rsidR="00B45FAA" w:rsidRPr="00E02C6B">
        <w:t xml:space="preserve"> </w:t>
      </w:r>
      <w:r w:rsidRPr="00E02C6B">
        <w:t>u</w:t>
      </w:r>
      <w:r w:rsidR="00B45FAA">
        <w:t xml:space="preserve">nter </w:t>
      </w:r>
      <w:r w:rsidRPr="00E02C6B">
        <w:t>a</w:t>
      </w:r>
      <w:r w:rsidR="00B45FAA">
        <w:t>nderem</w:t>
      </w:r>
      <w:r w:rsidRPr="00E02C6B">
        <w:t xml:space="preserve"> die </w:t>
      </w:r>
      <w:r w:rsidRPr="00C816AC">
        <w:rPr>
          <w:i/>
          <w:iCs/>
        </w:rPr>
        <w:t>Europ</w:t>
      </w:r>
      <w:r w:rsidRPr="00C816AC">
        <w:rPr>
          <w:rFonts w:hint="cs"/>
          <w:i/>
          <w:iCs/>
        </w:rPr>
        <w:t>ä</w:t>
      </w:r>
      <w:r w:rsidRPr="00C816AC">
        <w:rPr>
          <w:i/>
          <w:iCs/>
        </w:rPr>
        <w:t>ische Asso</w:t>
      </w:r>
      <w:r w:rsidR="00C0614F" w:rsidRPr="00C816AC">
        <w:rPr>
          <w:i/>
          <w:iCs/>
        </w:rPr>
        <w:t>ziation f</w:t>
      </w:r>
      <w:r w:rsidR="00C0614F" w:rsidRPr="00C816AC">
        <w:rPr>
          <w:rFonts w:hint="cs"/>
          <w:i/>
          <w:iCs/>
        </w:rPr>
        <w:t>ü</w:t>
      </w:r>
      <w:r w:rsidR="00C0614F" w:rsidRPr="00C816AC">
        <w:rPr>
          <w:i/>
          <w:iCs/>
        </w:rPr>
        <w:t>r Palliative Care</w:t>
      </w:r>
      <w:r w:rsidR="00C0614F" w:rsidRPr="00E02C6B">
        <w:t xml:space="preserve"> (EAPC) hin (</w:t>
      </w:r>
      <w:proofErr w:type="spellStart"/>
      <w:r w:rsidR="00C0614F" w:rsidRPr="00E02C6B">
        <w:t>Tuffrey-Wijne</w:t>
      </w:r>
      <w:proofErr w:type="spellEnd"/>
      <w:r w:rsidR="00C0614F" w:rsidRPr="00E02C6B">
        <w:t xml:space="preserve"> </w:t>
      </w:r>
      <w:r w:rsidR="00347AEA" w:rsidRPr="00E02C6B">
        <w:t>&amp; McLaughlin, 2015)</w:t>
      </w:r>
      <w:r w:rsidR="0040160F" w:rsidRPr="00E02C6B">
        <w:t xml:space="preserve">. Die </w:t>
      </w:r>
      <w:r w:rsidR="007007F9">
        <w:t>Behindertenrechtskonvention (</w:t>
      </w:r>
      <w:r w:rsidR="0040160F" w:rsidRPr="00E02C6B">
        <w:t>BRK</w:t>
      </w:r>
      <w:r w:rsidR="007007F9">
        <w:t>)</w:t>
      </w:r>
      <w:r w:rsidR="0040160F" w:rsidRPr="00E02C6B">
        <w:t xml:space="preserve"> fordert von den Vertragsstaaten eine gesundheitliche Versorgung von Menschen mit Behinderung</w:t>
      </w:r>
      <w:r w:rsidR="006422B1">
        <w:t>en</w:t>
      </w:r>
      <w:r w:rsidR="0040160F" w:rsidRPr="00E02C6B">
        <w:t xml:space="preserve"> auf </w:t>
      </w:r>
      <w:r w:rsidR="001B4505" w:rsidRPr="00E02C6B">
        <w:t>gleiche</w:t>
      </w:r>
      <w:r w:rsidR="001B4505">
        <w:t>m</w:t>
      </w:r>
      <w:r w:rsidR="001B4505" w:rsidRPr="00E02C6B">
        <w:t xml:space="preserve"> </w:t>
      </w:r>
      <w:r w:rsidR="0040160F" w:rsidRPr="00E02C6B">
        <w:t xml:space="preserve">Qualitätsniveau wie </w:t>
      </w:r>
      <w:r w:rsidR="00C44D9F">
        <w:t>sie</w:t>
      </w:r>
      <w:r w:rsidR="00C44D9F" w:rsidRPr="00E02C6B">
        <w:t xml:space="preserve"> </w:t>
      </w:r>
      <w:r w:rsidR="0040160F" w:rsidRPr="00E02C6B">
        <w:t>der Allgemeinbevölkerung zugutekommt (Art. 25 BRK)</w:t>
      </w:r>
      <w:r w:rsidR="00DA14A6" w:rsidRPr="00E02C6B">
        <w:t xml:space="preserve">. </w:t>
      </w:r>
      <w:r w:rsidR="00DD4324">
        <w:t>Aus diesem Grund</w:t>
      </w:r>
      <w:r w:rsidR="00DD4324" w:rsidRPr="00E02C6B">
        <w:t xml:space="preserve"> </w:t>
      </w:r>
      <w:r w:rsidR="00DA14A6" w:rsidRPr="00E02C6B">
        <w:t>ger</w:t>
      </w:r>
      <w:r w:rsidR="004A08EF">
        <w:t>aten</w:t>
      </w:r>
      <w:r w:rsidR="00DA14A6" w:rsidRPr="00E02C6B">
        <w:t xml:space="preserve"> die Benachteiligungen von Menschen mit Behinderung</w:t>
      </w:r>
      <w:r w:rsidR="000638F6">
        <w:t>en</w:t>
      </w:r>
      <w:r w:rsidR="00DA14A6" w:rsidRPr="00E02C6B">
        <w:t xml:space="preserve"> </w:t>
      </w:r>
      <w:r w:rsidR="001B4505">
        <w:t>in</w:t>
      </w:r>
      <w:r w:rsidR="00DA14A6" w:rsidRPr="00E02C6B">
        <w:t xml:space="preserve"> der Gesundheitsversorgung zunehmend in den Fokus der Forschung</w:t>
      </w:r>
      <w:r w:rsidR="000638F6">
        <w:t>. Dem folgten</w:t>
      </w:r>
      <w:r w:rsidR="00DA14A6" w:rsidRPr="00E02C6B">
        <w:t xml:space="preserve"> Gesetzesinitiativen zu einer besseren </w:t>
      </w:r>
      <w:r w:rsidR="00DA14A6" w:rsidRPr="00986B0C">
        <w:t>palliativen Versorgung von Menschen mit Behinderung</w:t>
      </w:r>
      <w:r w:rsidR="000638F6" w:rsidRPr="00986B0C">
        <w:t>en</w:t>
      </w:r>
      <w:r w:rsidR="00205A51" w:rsidRPr="00986B0C">
        <w:t xml:space="preserve">: Sowohl das </w:t>
      </w:r>
      <w:r w:rsidR="004B2D43" w:rsidRPr="00A63823">
        <w:t>Hospiz- und Palliativgesetz</w:t>
      </w:r>
      <w:r w:rsidR="00205A51" w:rsidRPr="00A63823">
        <w:t xml:space="preserve"> </w:t>
      </w:r>
      <w:r w:rsidR="0040160F" w:rsidRPr="00A63823">
        <w:t xml:space="preserve">in Deutschland </w:t>
      </w:r>
      <w:r w:rsidR="00205A51" w:rsidRPr="00A63823">
        <w:t>(</w:t>
      </w:r>
      <w:r w:rsidR="00E66BD4" w:rsidRPr="00A63823">
        <w:t xml:space="preserve">Bundesministerium für Gesundheit, </w:t>
      </w:r>
      <w:r w:rsidR="00205A51" w:rsidRPr="00A63823">
        <w:t>201</w:t>
      </w:r>
      <w:r w:rsidR="0075575D" w:rsidRPr="00A63823">
        <w:t>6</w:t>
      </w:r>
      <w:r w:rsidR="00205A51" w:rsidRPr="00A63823">
        <w:t xml:space="preserve">) als auch </w:t>
      </w:r>
      <w:r w:rsidR="007A3597" w:rsidRPr="00A63823">
        <w:t xml:space="preserve">die </w:t>
      </w:r>
      <w:r w:rsidR="0035161B" w:rsidRPr="00A63823">
        <w:t>«</w:t>
      </w:r>
      <w:r w:rsidR="007A3597" w:rsidRPr="00A63823">
        <w:t>Nationale Strategie Palliative Care 2013</w:t>
      </w:r>
      <w:r w:rsidR="0004452E" w:rsidRPr="00A63823">
        <w:t>–</w:t>
      </w:r>
      <w:r w:rsidR="007A3597" w:rsidRPr="00A63823">
        <w:t>2015</w:t>
      </w:r>
      <w:r w:rsidR="0035161B" w:rsidRPr="00A63823">
        <w:t>»</w:t>
      </w:r>
      <w:r w:rsidR="00986B0C" w:rsidRPr="00A63823">
        <w:t xml:space="preserve"> (</w:t>
      </w:r>
      <w:r w:rsidR="00986B0C" w:rsidRPr="00A63823">
        <w:rPr>
          <w:rStyle w:val="cf01"/>
          <w:sz w:val="20"/>
          <w:szCs w:val="20"/>
        </w:rPr>
        <w:t>Bundesamt für Gesundheit [BAG] &amp; Schweizerische Konferenz der kantonalen Gesundheitsdirektorinnen und -direktoren [GDK]</w:t>
      </w:r>
      <w:r w:rsidR="00986B0C" w:rsidRPr="00A63823">
        <w:t>, 2012)</w:t>
      </w:r>
      <w:r w:rsidR="007A3597" w:rsidRPr="00986B0C">
        <w:t xml:space="preserve"> </w:t>
      </w:r>
      <w:r w:rsidR="0004452E" w:rsidRPr="00986B0C">
        <w:t xml:space="preserve">fokussieren </w:t>
      </w:r>
      <w:r w:rsidR="00205A51" w:rsidRPr="00986B0C">
        <w:t xml:space="preserve">Menschen mit Behinderungen als Zielgruppe der Palliativversorgung </w:t>
      </w:r>
      <w:r w:rsidR="00CF6051" w:rsidRPr="00986B0C">
        <w:t>(Wicki</w:t>
      </w:r>
      <w:r w:rsidR="005C6DE1" w:rsidRPr="00986B0C">
        <w:t xml:space="preserve"> &amp; Meier</w:t>
      </w:r>
      <w:r w:rsidR="00CF6051" w:rsidRPr="00986B0C">
        <w:t>, 2015).</w:t>
      </w:r>
      <w:r w:rsidR="009D5C92" w:rsidRPr="00E02C6B">
        <w:t xml:space="preserve"> Der Bericht des Bundesrates zur </w:t>
      </w:r>
      <w:r w:rsidR="00267E47">
        <w:t>p</w:t>
      </w:r>
      <w:r w:rsidR="009D5C92" w:rsidRPr="00E02C6B">
        <w:t xml:space="preserve">alliativen Versorgung </w:t>
      </w:r>
      <w:r w:rsidR="00A02DD4">
        <w:t xml:space="preserve">in der Schweiz </w:t>
      </w:r>
      <w:r w:rsidR="009D5C92" w:rsidRPr="00E02C6B">
        <w:t xml:space="preserve">zeigt, dass </w:t>
      </w:r>
      <w:r w:rsidR="00A02DD4">
        <w:t xml:space="preserve">sich </w:t>
      </w:r>
      <w:r w:rsidR="009D5C92" w:rsidRPr="00E02C6B">
        <w:t xml:space="preserve">nur ein </w:t>
      </w:r>
      <w:r w:rsidR="009D5C92" w:rsidRPr="00E02C6B">
        <w:lastRenderedPageBreak/>
        <w:t xml:space="preserve">Drittel der Wohneinrichtungen für Menschen mit </w:t>
      </w:r>
      <w:r w:rsidR="007C1DCB">
        <w:t>kognitiven</w:t>
      </w:r>
      <w:r w:rsidR="009D5C92" w:rsidRPr="00E02C6B">
        <w:t xml:space="preserve"> Beeinträchtigung</w:t>
      </w:r>
      <w:r w:rsidR="00A02DD4">
        <w:t>en</w:t>
      </w:r>
      <w:r w:rsidR="009D5C92" w:rsidRPr="00E02C6B">
        <w:t xml:space="preserve"> in der Lage sieht, </w:t>
      </w:r>
      <w:r w:rsidR="00FF4FAD">
        <w:t>«</w:t>
      </w:r>
      <w:r w:rsidR="009D5C92" w:rsidRPr="00E02C6B">
        <w:t>Menschen in komplexen Situationen und intensivem Pflegebedarf bis zum Lebensende zu pflegen und zu betreuen</w:t>
      </w:r>
      <w:r w:rsidR="00FF4FAD">
        <w:t>»</w:t>
      </w:r>
      <w:r w:rsidR="009D5C92" w:rsidRPr="00E02C6B">
        <w:t xml:space="preserve"> (Bundes</w:t>
      </w:r>
      <w:r w:rsidR="008501D3" w:rsidRPr="00E02C6B">
        <w:t>amt für Gesundheit</w:t>
      </w:r>
      <w:r w:rsidR="009D5C92" w:rsidRPr="00E02C6B">
        <w:t xml:space="preserve">, 2020, </w:t>
      </w:r>
      <w:r w:rsidR="008501D3" w:rsidRPr="00E02C6B">
        <w:t>S.</w:t>
      </w:r>
      <w:r w:rsidR="00483876">
        <w:t> </w:t>
      </w:r>
      <w:r w:rsidR="009D5C92" w:rsidRPr="00E02C6B">
        <w:t>50).</w:t>
      </w:r>
    </w:p>
    <w:p w14:paraId="350C0C10" w14:textId="17556BDE" w:rsidR="00DF447D" w:rsidRDefault="00AD0733" w:rsidP="0040096E">
      <w:pPr>
        <w:pStyle w:val="Textkrper"/>
      </w:pPr>
      <w:r>
        <w:t xml:space="preserve">Seit den </w:t>
      </w:r>
      <w:r w:rsidR="00CF6051" w:rsidRPr="00E02C6B">
        <w:t>2000er</w:t>
      </w:r>
      <w:r w:rsidR="007C1DCB">
        <w:t>-</w:t>
      </w:r>
      <w:r w:rsidR="00CF6051" w:rsidRPr="00E02C6B">
        <w:t>Jahre</w:t>
      </w:r>
      <w:r w:rsidR="00364E6F">
        <w:t>n</w:t>
      </w:r>
      <w:r w:rsidR="00CF6051" w:rsidRPr="00E02C6B">
        <w:t xml:space="preserve"> </w:t>
      </w:r>
      <w:r>
        <w:t>ist die palliative Versorgung von Menschen mit kognitive</w:t>
      </w:r>
      <w:r w:rsidR="00F512E4">
        <w:t>n</w:t>
      </w:r>
      <w:r>
        <w:t xml:space="preserve"> Beeinträchtigung</w:t>
      </w:r>
      <w:r w:rsidR="00F512E4">
        <w:t>en</w:t>
      </w:r>
      <w:r>
        <w:t xml:space="preserve"> auch zunehmend Gegenstand der Forschung </w:t>
      </w:r>
      <w:r w:rsidR="00E5478F" w:rsidRPr="00E02C6B">
        <w:t>(</w:t>
      </w:r>
      <w:proofErr w:type="spellStart"/>
      <w:r w:rsidR="00F46185" w:rsidRPr="00E02C6B">
        <w:t>Tuffrey-Wijne</w:t>
      </w:r>
      <w:proofErr w:type="spellEnd"/>
      <w:r w:rsidR="00E5478F" w:rsidRPr="00E02C6B">
        <w:t>, 200</w:t>
      </w:r>
      <w:r w:rsidR="00770C67">
        <w:t>3</w:t>
      </w:r>
      <w:r w:rsidR="00E5478F" w:rsidRPr="00E02C6B">
        <w:t>)</w:t>
      </w:r>
      <w:r w:rsidR="0079059B" w:rsidRPr="00E02C6B">
        <w:t xml:space="preserve">. </w:t>
      </w:r>
      <w:r w:rsidR="00771E87">
        <w:t>Q</w:t>
      </w:r>
      <w:r w:rsidR="0079059B" w:rsidRPr="00E02C6B">
        <w:t xml:space="preserve">ualitative Studien </w:t>
      </w:r>
      <w:r w:rsidR="005443BF">
        <w:t xml:space="preserve">zur Implementierung von </w:t>
      </w:r>
      <w:r w:rsidR="005443BF" w:rsidRPr="00BD7745">
        <w:rPr>
          <w:i/>
          <w:iCs/>
        </w:rPr>
        <w:t>Palliative Care</w:t>
      </w:r>
      <w:r w:rsidR="005443BF">
        <w:t xml:space="preserve"> </w:t>
      </w:r>
      <w:r w:rsidR="0079059B" w:rsidRPr="00E02C6B">
        <w:t>machen</w:t>
      </w:r>
      <w:r>
        <w:t xml:space="preserve"> auf die Bedeutung organisationaler Vorkehrungen aufmerksam</w:t>
      </w:r>
      <w:r w:rsidR="007818C3">
        <w:t xml:space="preserve"> (Voss et al., 2021; </w:t>
      </w:r>
      <w:proofErr w:type="spellStart"/>
      <w:r w:rsidR="007818C3">
        <w:t>Dunkley</w:t>
      </w:r>
      <w:proofErr w:type="spellEnd"/>
      <w:r w:rsidR="007818C3">
        <w:t xml:space="preserve"> &amp; Sales, 2014)</w:t>
      </w:r>
      <w:r w:rsidR="00A54D0B">
        <w:t>.</w:t>
      </w:r>
      <w:r>
        <w:t xml:space="preserve"> </w:t>
      </w:r>
      <w:r w:rsidR="005443BF">
        <w:t xml:space="preserve">Die </w:t>
      </w:r>
      <w:proofErr w:type="spellStart"/>
      <w:proofErr w:type="gramStart"/>
      <w:r w:rsidR="005443BF">
        <w:t>Autor:innen</w:t>
      </w:r>
      <w:proofErr w:type="spellEnd"/>
      <w:proofErr w:type="gramEnd"/>
      <w:r w:rsidR="005443BF">
        <w:t xml:space="preserve"> der Studien empfehlen folgende</w:t>
      </w:r>
      <w:r w:rsidR="00725100">
        <w:t xml:space="preserve"> Innovationen</w:t>
      </w:r>
      <w:r w:rsidR="005443BF">
        <w:t xml:space="preserve"> für eine gelingende Begleitung von Menschen </w:t>
      </w:r>
      <w:r w:rsidR="00E90A22">
        <w:t xml:space="preserve">mit </w:t>
      </w:r>
      <w:r w:rsidR="005443BF">
        <w:t>Behinderungen am Lebensende:</w:t>
      </w:r>
      <w:r w:rsidR="00725100">
        <w:t xml:space="preserve"> </w:t>
      </w:r>
    </w:p>
    <w:p w14:paraId="3237DA71" w14:textId="6AA0881B" w:rsidR="006528FE" w:rsidRDefault="00AD0733" w:rsidP="00BA5E23">
      <w:pPr>
        <w:pStyle w:val="Liste"/>
      </w:pPr>
      <w:r>
        <w:t>e</w:t>
      </w:r>
      <w:r w:rsidR="004B3754">
        <w:t>ine klare konzeptionelle Verankerung des Themas</w:t>
      </w:r>
    </w:p>
    <w:p w14:paraId="4F624A80" w14:textId="2B925E0F" w:rsidR="00DF447D" w:rsidRDefault="004B3754" w:rsidP="00BA5E23">
      <w:pPr>
        <w:pStyle w:val="Liste"/>
      </w:pPr>
      <w:r>
        <w:t>permanente Fort- und Weiterbildungsangebote</w:t>
      </w:r>
    </w:p>
    <w:p w14:paraId="1FD1FCF4" w14:textId="292F2EA8" w:rsidR="005443BF" w:rsidRDefault="00AD0733" w:rsidP="00BA5E23">
      <w:pPr>
        <w:pStyle w:val="Liste"/>
      </w:pPr>
      <w:r>
        <w:t>Konzepte zur Befähigung von Menschen mit kognitiver Beeinträchtigung zur Entscheidungsfindung</w:t>
      </w:r>
    </w:p>
    <w:p w14:paraId="2F3CE1DF" w14:textId="287E89AB" w:rsidR="005443BF" w:rsidRPr="00E02C6B" w:rsidRDefault="005443BF" w:rsidP="00B64F61">
      <w:pPr>
        <w:pStyle w:val="Textkrper"/>
        <w:ind w:firstLine="0"/>
      </w:pPr>
      <w:r>
        <w:t xml:space="preserve">So entstand 2017 das Verbundprojekt </w:t>
      </w:r>
      <w:r>
        <w:rPr>
          <w:rFonts w:hint="cs"/>
        </w:rPr>
        <w:t>«</w:t>
      </w:r>
      <w:r>
        <w:t>Palliative Care und hospizliche Begleitung von Menschen mit geistiger und schwerer Behinderung</w:t>
      </w:r>
      <w:r>
        <w:rPr>
          <w:rFonts w:hint="cs"/>
        </w:rPr>
        <w:t>»</w:t>
      </w:r>
      <w:r>
        <w:t xml:space="preserve"> </w:t>
      </w:r>
      <w:r w:rsidRPr="00C93D0A">
        <w:t>(</w:t>
      </w:r>
      <w:r w:rsidRPr="00C93D0A">
        <w:rPr>
          <w:b/>
          <w:bCs/>
          <w:i/>
          <w:iCs/>
        </w:rPr>
        <w:t>P</w:t>
      </w:r>
      <w:r w:rsidRPr="00C93D0A">
        <w:rPr>
          <w:i/>
          <w:iCs/>
        </w:rPr>
        <w:t>alliat</w:t>
      </w:r>
      <w:r w:rsidRPr="00C93D0A">
        <w:rPr>
          <w:b/>
          <w:bCs/>
          <w:i/>
          <w:iCs/>
        </w:rPr>
        <w:t>i</w:t>
      </w:r>
      <w:r w:rsidRPr="00C93D0A">
        <w:rPr>
          <w:i/>
          <w:iCs/>
        </w:rPr>
        <w:t xml:space="preserve">ve </w:t>
      </w:r>
      <w:r w:rsidRPr="00C93D0A">
        <w:rPr>
          <w:b/>
          <w:bCs/>
          <w:i/>
          <w:iCs/>
        </w:rPr>
        <w:t>Car</w:t>
      </w:r>
      <w:r w:rsidRPr="00C93D0A">
        <w:rPr>
          <w:i/>
          <w:iCs/>
        </w:rPr>
        <w:t xml:space="preserve">e </w:t>
      </w:r>
      <w:proofErr w:type="spellStart"/>
      <w:r w:rsidRPr="00C93D0A">
        <w:rPr>
          <w:i/>
          <w:iCs/>
        </w:rPr>
        <w:t>for</w:t>
      </w:r>
      <w:proofErr w:type="spellEnd"/>
      <w:r w:rsidRPr="00C93D0A">
        <w:rPr>
          <w:i/>
          <w:iCs/>
        </w:rPr>
        <w:t xml:space="preserve"> People </w:t>
      </w:r>
      <w:proofErr w:type="spellStart"/>
      <w:r w:rsidRPr="00C93D0A">
        <w:rPr>
          <w:i/>
          <w:iCs/>
        </w:rPr>
        <w:t>with</w:t>
      </w:r>
      <w:proofErr w:type="spellEnd"/>
      <w:r w:rsidRPr="00C93D0A">
        <w:rPr>
          <w:i/>
          <w:iCs/>
        </w:rPr>
        <w:t xml:space="preserve"> </w:t>
      </w:r>
      <w:proofErr w:type="spellStart"/>
      <w:r w:rsidRPr="00C93D0A">
        <w:rPr>
          <w:i/>
          <w:iCs/>
        </w:rPr>
        <w:t>Intellectual</w:t>
      </w:r>
      <w:proofErr w:type="spellEnd"/>
      <w:r w:rsidRPr="00C93D0A">
        <w:rPr>
          <w:i/>
          <w:iCs/>
        </w:rPr>
        <w:t xml:space="preserve"> and multiple </w:t>
      </w:r>
      <w:proofErr w:type="spellStart"/>
      <w:r w:rsidRPr="00C93D0A">
        <w:rPr>
          <w:b/>
          <w:bCs/>
          <w:i/>
          <w:iCs/>
        </w:rPr>
        <w:t>Di</w:t>
      </w:r>
      <w:r w:rsidRPr="00C93D0A">
        <w:rPr>
          <w:i/>
          <w:iCs/>
        </w:rPr>
        <w:t>sabilities</w:t>
      </w:r>
      <w:proofErr w:type="spellEnd"/>
      <w:r w:rsidRPr="00C93D0A">
        <w:t xml:space="preserve">, </w:t>
      </w:r>
      <w:proofErr w:type="spellStart"/>
      <w:r w:rsidRPr="00C93D0A">
        <w:t>PiCarDi</w:t>
      </w:r>
      <w:proofErr w:type="spellEnd"/>
      <w:r>
        <w:t>), welches das Bundesministerium f</w:t>
      </w:r>
      <w:r>
        <w:rPr>
          <w:rFonts w:hint="cs"/>
        </w:rPr>
        <w:t>ü</w:t>
      </w:r>
      <w:r>
        <w:t xml:space="preserve">r Bildung und Forschung (BMBF) fördert. </w:t>
      </w:r>
      <w:proofErr w:type="spellStart"/>
      <w:r>
        <w:t>PiCarDi</w:t>
      </w:r>
      <w:proofErr w:type="spellEnd"/>
      <w:r>
        <w:t xml:space="preserve"> hat die Aufgabe, die praktische Umsetzung der palliativen Begleitung in den Wohneinrichtungen f</w:t>
      </w:r>
      <w:r>
        <w:rPr>
          <w:rFonts w:hint="cs"/>
        </w:rPr>
        <w:t>ü</w:t>
      </w:r>
      <w:r>
        <w:t>r Menschen mit Behinderungen zu untersuchen. In einer ersten Bestandesaufnahme wurde quantitativ erhoben,</w:t>
      </w:r>
    </w:p>
    <w:p w14:paraId="7254E336" w14:textId="77777777" w:rsidR="00183B9C" w:rsidRPr="00BA5E23" w:rsidRDefault="0079059B" w:rsidP="00BA5E23">
      <w:pPr>
        <w:pStyle w:val="Listennummer"/>
        <w:rPr>
          <w:lang w:val="de-CH"/>
        </w:rPr>
      </w:pPr>
      <w:r w:rsidRPr="00BA5E23">
        <w:rPr>
          <w:lang w:val="de-CH"/>
        </w:rPr>
        <w:t xml:space="preserve">wo Menschen mit Behinderung versterben, </w:t>
      </w:r>
    </w:p>
    <w:p w14:paraId="1AFC11D0" w14:textId="77777777" w:rsidR="00183B9C" w:rsidRPr="00BA5E23" w:rsidRDefault="0079059B" w:rsidP="00BA5E23">
      <w:pPr>
        <w:pStyle w:val="Listennummer"/>
        <w:rPr>
          <w:lang w:val="de-CH"/>
        </w:rPr>
      </w:pPr>
      <w:r w:rsidRPr="00BA5E23">
        <w:rPr>
          <w:lang w:val="de-CH"/>
        </w:rPr>
        <w:t xml:space="preserve">wie sich die Sterberate in verschiedenen Wohnformen entwickelt und </w:t>
      </w:r>
    </w:p>
    <w:p w14:paraId="22C389D2" w14:textId="20C549DA" w:rsidR="00183B9C" w:rsidRPr="00BA5E23" w:rsidRDefault="0079059B" w:rsidP="00BA5E23">
      <w:pPr>
        <w:pStyle w:val="Listennummer"/>
        <w:rPr>
          <w:lang w:val="de-CH"/>
        </w:rPr>
      </w:pPr>
      <w:r w:rsidRPr="00BA5E23">
        <w:rPr>
          <w:lang w:val="de-CH"/>
        </w:rPr>
        <w:t xml:space="preserve">welche Rahmenbedingungen </w:t>
      </w:r>
      <w:r w:rsidR="00FE44AB" w:rsidRPr="00BA5E23">
        <w:rPr>
          <w:lang w:val="de-CH"/>
        </w:rPr>
        <w:t xml:space="preserve">es in </w:t>
      </w:r>
      <w:r w:rsidRPr="00BA5E23">
        <w:rPr>
          <w:lang w:val="de-CH"/>
        </w:rPr>
        <w:t xml:space="preserve">Einrichtungen </w:t>
      </w:r>
      <w:r w:rsidR="00FE44AB" w:rsidRPr="00BA5E23">
        <w:rPr>
          <w:lang w:val="de-CH"/>
        </w:rPr>
        <w:t>gibt</w:t>
      </w:r>
      <w:r w:rsidRPr="00BA5E23">
        <w:rPr>
          <w:lang w:val="de-CH"/>
        </w:rPr>
        <w:t xml:space="preserve">, um eine gute Begleitung bis </w:t>
      </w:r>
      <w:r w:rsidR="002A25EE" w:rsidRPr="00BA5E23">
        <w:rPr>
          <w:lang w:val="de-CH"/>
        </w:rPr>
        <w:t xml:space="preserve">ans </w:t>
      </w:r>
      <w:r w:rsidRPr="00BA5E23">
        <w:rPr>
          <w:lang w:val="de-CH"/>
        </w:rPr>
        <w:t xml:space="preserve">Lebensende sicherzustellen. </w:t>
      </w:r>
    </w:p>
    <w:p w14:paraId="25A15B7F" w14:textId="14E8CDC5" w:rsidR="00AD0733" w:rsidRPr="00FA2C8C" w:rsidRDefault="000D143F" w:rsidP="00FA2C8C">
      <w:pPr>
        <w:pStyle w:val="Textkrper"/>
        <w:ind w:firstLine="0"/>
      </w:pPr>
      <w:r w:rsidRPr="00FA2C8C">
        <w:t>Zudem wurden q</w:t>
      </w:r>
      <w:r w:rsidR="0079059B" w:rsidRPr="00FA2C8C">
        <w:t xml:space="preserve">ualitative Interviews mit Mitarbeitenden </w:t>
      </w:r>
      <w:r w:rsidR="00962203" w:rsidRPr="00FA2C8C">
        <w:t>und Leitungskräften von</w:t>
      </w:r>
      <w:r w:rsidRPr="00FA2C8C">
        <w:t xml:space="preserve"> </w:t>
      </w:r>
      <w:r w:rsidR="0079059B" w:rsidRPr="00FA2C8C">
        <w:t>verschiedene</w:t>
      </w:r>
      <w:r w:rsidRPr="00FA2C8C">
        <w:t>n</w:t>
      </w:r>
      <w:r w:rsidR="0079059B" w:rsidRPr="00FA2C8C">
        <w:t xml:space="preserve"> Einrichtungstypen </w:t>
      </w:r>
      <w:r w:rsidRPr="00FA2C8C">
        <w:t xml:space="preserve">durchgeführt. Diese </w:t>
      </w:r>
      <w:r w:rsidR="0079059B" w:rsidRPr="00FA2C8C">
        <w:t>ergaben, dass</w:t>
      </w:r>
      <w:r w:rsidR="0040160F" w:rsidRPr="00FA2C8C">
        <w:t xml:space="preserve"> die Qualität der Begleitung </w:t>
      </w:r>
      <w:r w:rsidR="005443BF" w:rsidRPr="00FA2C8C">
        <w:t xml:space="preserve">zum einen </w:t>
      </w:r>
      <w:r w:rsidR="002750BC" w:rsidRPr="00FA2C8C">
        <w:t>abhängig ist</w:t>
      </w:r>
      <w:r w:rsidR="0040160F" w:rsidRPr="00FA2C8C">
        <w:t xml:space="preserve"> von organisationalen Rahmenbedingungen </w:t>
      </w:r>
      <w:r w:rsidR="005443BF" w:rsidRPr="00FA2C8C">
        <w:t xml:space="preserve">wie der personellen oder räumlichen Ausstattung. Zum anderen wurde deutlich, dass </w:t>
      </w:r>
      <w:r w:rsidR="0079059B" w:rsidRPr="00FA2C8C">
        <w:t xml:space="preserve">Aspekte </w:t>
      </w:r>
      <w:r w:rsidR="0040160F" w:rsidRPr="00FA2C8C">
        <w:t>der Organisationskultur</w:t>
      </w:r>
      <w:r w:rsidR="005443BF" w:rsidRPr="00FA2C8C">
        <w:t xml:space="preserve"> bedeutsam sind: Wie stehen Leitungskräfte und Mitarbeitende zu der Frage, ob sie für die letzte Lebensphase zuständig sind? Wie stark ist die Arbeit in der Einrichtung generell am Prinzip der Person</w:t>
      </w:r>
      <w:r w:rsidR="00CE1066" w:rsidRPr="00FA2C8C">
        <w:t>en</w:t>
      </w:r>
      <w:r w:rsidR="005443BF" w:rsidRPr="00FA2C8C">
        <w:t xml:space="preserve">zentrierung orientiert? Wie werden </w:t>
      </w:r>
      <w:proofErr w:type="spellStart"/>
      <w:proofErr w:type="gramStart"/>
      <w:r w:rsidR="005443BF" w:rsidRPr="00FA2C8C">
        <w:t>Bewohner:innen</w:t>
      </w:r>
      <w:proofErr w:type="spellEnd"/>
      <w:proofErr w:type="gramEnd"/>
      <w:r w:rsidR="005443BF" w:rsidRPr="00FA2C8C">
        <w:t xml:space="preserve"> in der Einrichtung generell an Entscheidungsprozessen beteiligt? Alle diese Faktoren haben Auswirkungen auf die Begleitung am Lebensende</w:t>
      </w:r>
      <w:r w:rsidR="00F33856" w:rsidRPr="00FA2C8C">
        <w:t xml:space="preserve"> –</w:t>
      </w:r>
      <w:r w:rsidR="005443BF" w:rsidRPr="00FA2C8C">
        <w:t xml:space="preserve"> einer Lebensphase</w:t>
      </w:r>
      <w:r w:rsidR="00F33856" w:rsidRPr="00FA2C8C">
        <w:t>,</w:t>
      </w:r>
      <w:r w:rsidR="005443BF" w:rsidRPr="00FA2C8C">
        <w:t xml:space="preserve"> in der Selbstbestimmung den meisten Menschen besonders wichtig ist</w:t>
      </w:r>
      <w:r w:rsidR="0040160F" w:rsidRPr="00FA2C8C">
        <w:t>.</w:t>
      </w:r>
      <w:bookmarkEnd w:id="3"/>
      <w:r w:rsidR="00ED6C8B" w:rsidRPr="00FA2C8C">
        <w:t xml:space="preserve"> </w:t>
      </w:r>
    </w:p>
    <w:p w14:paraId="3A3FE3DD" w14:textId="5EDEE8CA" w:rsidR="006644ED" w:rsidRPr="00FA2C8C" w:rsidRDefault="00792284" w:rsidP="00FA2C8C">
      <w:pPr>
        <w:pStyle w:val="berschrift1"/>
      </w:pPr>
      <w:r w:rsidRPr="00FA2C8C">
        <w:t xml:space="preserve">Einblicke in die Praxis der </w:t>
      </w:r>
      <w:r w:rsidR="00076A1D" w:rsidRPr="00FA2C8C">
        <w:t>Palliativversorgung von Menschen mit Behinderungen</w:t>
      </w:r>
    </w:p>
    <w:p w14:paraId="33DAB592" w14:textId="401A30B2" w:rsidR="006748E4" w:rsidRDefault="008B2A71">
      <w:pPr>
        <w:pStyle w:val="Textkrper"/>
        <w:ind w:firstLine="0"/>
      </w:pPr>
      <w:r w:rsidRPr="00E02C6B">
        <w:t>Insbesondere in Deutschland zeigt sich ein überproportionaler Anstieg der älter werdenden Menschen mit Behinderung</w:t>
      </w:r>
      <w:r w:rsidR="00034C38">
        <w:t xml:space="preserve">en, </w:t>
      </w:r>
      <w:r w:rsidR="00BA5318">
        <w:t xml:space="preserve">was auf die Tötungspolitik </w:t>
      </w:r>
      <w:r w:rsidR="001B09FA">
        <w:t xml:space="preserve">während </w:t>
      </w:r>
      <w:r w:rsidR="00BA5318">
        <w:t>des Nationalsozialismus zurückzuführen ist</w:t>
      </w:r>
      <w:r w:rsidR="00B6477C" w:rsidRPr="00E02C6B">
        <w:t xml:space="preserve">. </w:t>
      </w:r>
      <w:r w:rsidRPr="00E02C6B">
        <w:t xml:space="preserve">Die </w:t>
      </w:r>
      <w:r w:rsidR="002B2EAC" w:rsidRPr="00E02C6B">
        <w:t>Sekundäranalyse von Daten aus der Eingliederungshilfe ergab ein</w:t>
      </w:r>
      <w:r w:rsidRPr="00E02C6B">
        <w:t xml:space="preserve">e </w:t>
      </w:r>
      <w:r w:rsidR="002B2EAC" w:rsidRPr="00E02C6B">
        <w:t xml:space="preserve">entsprechend stetig </w:t>
      </w:r>
      <w:r w:rsidRPr="00E02C6B">
        <w:t>steigende Sterberate</w:t>
      </w:r>
      <w:r w:rsidR="002B2EAC" w:rsidRPr="00E02C6B">
        <w:t xml:space="preserve">: In den Jahren 2014 bis 2016 stieg sie von 16 auf </w:t>
      </w:r>
      <w:r w:rsidR="00F44E3D" w:rsidRPr="00E02C6B">
        <w:t>18 verstorbene Personen pro 1</w:t>
      </w:r>
      <w:r w:rsidR="00EE015C">
        <w:rPr>
          <w:rFonts w:hint="cs"/>
        </w:rPr>
        <w:t> </w:t>
      </w:r>
      <w:r w:rsidR="00F44E3D" w:rsidRPr="00E02C6B">
        <w:t xml:space="preserve">000 </w:t>
      </w:r>
      <w:proofErr w:type="spellStart"/>
      <w:proofErr w:type="gramStart"/>
      <w:r w:rsidR="00F44E3D" w:rsidRPr="00E02C6B">
        <w:t>Bewohner:innen</w:t>
      </w:r>
      <w:proofErr w:type="spellEnd"/>
      <w:proofErr w:type="gramEnd"/>
      <w:r w:rsidR="00F44E3D" w:rsidRPr="00E02C6B">
        <w:t xml:space="preserve"> </w:t>
      </w:r>
      <w:r w:rsidR="000B410B">
        <w:t xml:space="preserve">in den Wohneinrichtungen pro Jahr </w:t>
      </w:r>
      <w:r w:rsidR="003F1245">
        <w:t>(von 1,6</w:t>
      </w:r>
      <w:r w:rsidR="00DC0EE0">
        <w:rPr>
          <w:rFonts w:hint="cs"/>
        </w:rPr>
        <w:t> </w:t>
      </w:r>
      <w:r w:rsidR="00DC0EE0">
        <w:t>%</w:t>
      </w:r>
      <w:r w:rsidR="003F1245">
        <w:t xml:space="preserve"> auf 1,8</w:t>
      </w:r>
      <w:r w:rsidR="00DC0EE0">
        <w:rPr>
          <w:rFonts w:hint="cs"/>
        </w:rPr>
        <w:t> </w:t>
      </w:r>
      <w:r w:rsidR="003F1245">
        <w:t>%)</w:t>
      </w:r>
      <w:r w:rsidR="00F44E3D" w:rsidRPr="00E02C6B">
        <w:t>.</w:t>
      </w:r>
      <w:r w:rsidR="00FA2C8C">
        <w:rPr>
          <w:rStyle w:val="Funotenzeichen"/>
        </w:rPr>
        <w:footnoteReference w:id="2"/>
      </w:r>
      <w:r w:rsidR="00F44E3D" w:rsidRPr="00E02C6B">
        <w:t xml:space="preserve"> Die Begleitung am Lebensende ist </w:t>
      </w:r>
      <w:r w:rsidR="00DC0E42">
        <w:t>also</w:t>
      </w:r>
      <w:r w:rsidR="00DC0E42" w:rsidRPr="00E02C6B">
        <w:t xml:space="preserve"> </w:t>
      </w:r>
      <w:r w:rsidR="00F44E3D" w:rsidRPr="00E02C6B">
        <w:t>noch weit von einer alltäglichen Routine entfernt</w:t>
      </w:r>
      <w:r w:rsidR="008E7D69">
        <w:t>.</w:t>
      </w:r>
      <w:r w:rsidR="00F44E3D" w:rsidRPr="00E02C6B">
        <w:t xml:space="preserve"> </w:t>
      </w:r>
      <w:r w:rsidR="00DC0E42">
        <w:t>Jedoch</w:t>
      </w:r>
      <w:r w:rsidR="008E7D69" w:rsidRPr="00E02C6B">
        <w:t xml:space="preserve"> </w:t>
      </w:r>
      <w:r w:rsidR="00F44E3D" w:rsidRPr="00E02C6B">
        <w:t xml:space="preserve">nehmen die Situationen zu, in denen Fachkräfte in den Wohneinrichtungen Menschen am Lebensende </w:t>
      </w:r>
      <w:r w:rsidR="008E7D69">
        <w:t>beziehungsweise</w:t>
      </w:r>
      <w:r w:rsidR="00F44E3D" w:rsidRPr="00E02C6B">
        <w:t xml:space="preserve"> bis zum Lebensende begleiten. In der </w:t>
      </w:r>
      <w:r w:rsidR="00ED6C8B">
        <w:t xml:space="preserve">quantitativen </w:t>
      </w:r>
      <w:r w:rsidR="00F44E3D" w:rsidRPr="00E02C6B">
        <w:t>Befragung von Wohneinrichtungen zeigt sich</w:t>
      </w:r>
      <w:r w:rsidR="004602B5" w:rsidRPr="00E02C6B">
        <w:t xml:space="preserve"> zudem</w:t>
      </w:r>
      <w:r w:rsidR="00F44E3D" w:rsidRPr="00E02C6B">
        <w:t xml:space="preserve">, dass </w:t>
      </w:r>
      <w:r w:rsidR="00C46FD6" w:rsidRPr="00E02C6B">
        <w:t xml:space="preserve">die Verstorbenen lange in der jeweiligen Wohngruppe </w:t>
      </w:r>
      <w:r w:rsidR="002435B8">
        <w:t>verweilten</w:t>
      </w:r>
      <w:r w:rsidR="00C46FD6" w:rsidRPr="00E02C6B">
        <w:t>: 78,5</w:t>
      </w:r>
      <w:r w:rsidR="006635B0">
        <w:rPr>
          <w:rFonts w:hint="cs"/>
        </w:rPr>
        <w:t> </w:t>
      </w:r>
      <w:r w:rsidR="006635B0">
        <w:t>Prozent</w:t>
      </w:r>
      <w:r w:rsidR="00C46FD6" w:rsidRPr="00E02C6B">
        <w:t xml:space="preserve"> der Verstorbenen waren länger als </w:t>
      </w:r>
      <w:r w:rsidR="00A12854">
        <w:t>zehn</w:t>
      </w:r>
      <w:r w:rsidR="00A12854" w:rsidRPr="00E02C6B">
        <w:t xml:space="preserve"> </w:t>
      </w:r>
      <w:r w:rsidR="00C46FD6" w:rsidRPr="00E02C6B">
        <w:t>Jahre in der Einrichtung, 60,7</w:t>
      </w:r>
      <w:r w:rsidR="00A12854">
        <w:rPr>
          <w:rFonts w:hint="cs"/>
        </w:rPr>
        <w:t> </w:t>
      </w:r>
      <w:r w:rsidR="00A12854">
        <w:t>Prozent</w:t>
      </w:r>
      <w:r w:rsidR="00C46FD6" w:rsidRPr="00E02C6B">
        <w:t xml:space="preserve"> lebten länger als </w:t>
      </w:r>
      <w:r w:rsidR="00A12854">
        <w:t>zehn</w:t>
      </w:r>
      <w:r w:rsidR="00A12854" w:rsidRPr="00E02C6B">
        <w:t xml:space="preserve"> </w:t>
      </w:r>
      <w:r w:rsidR="00C46FD6" w:rsidRPr="00E02C6B">
        <w:t>Jahre in der Wohngruppe. Für 57,0</w:t>
      </w:r>
      <w:r w:rsidR="00A12854">
        <w:rPr>
          <w:rFonts w:hint="cs"/>
        </w:rPr>
        <w:t> </w:t>
      </w:r>
      <w:r w:rsidR="00A12854">
        <w:t>Prozent</w:t>
      </w:r>
      <w:r w:rsidR="00C46FD6" w:rsidRPr="00E02C6B">
        <w:t xml:space="preserve"> der Verstorbenen war die </w:t>
      </w:r>
      <w:r w:rsidR="00C46FD6" w:rsidRPr="00E02C6B">
        <w:lastRenderedPageBreak/>
        <w:t>Wohngruppe der Sterbeort, 38,0</w:t>
      </w:r>
      <w:r w:rsidR="00A12854">
        <w:rPr>
          <w:rFonts w:hint="cs"/>
        </w:rPr>
        <w:t> </w:t>
      </w:r>
      <w:r w:rsidR="00A12854">
        <w:t>Prozent</w:t>
      </w:r>
      <w:r w:rsidR="00C46FD6" w:rsidRPr="00E02C6B">
        <w:t xml:space="preserve"> verstarben im Krankenhaus, 5,1</w:t>
      </w:r>
      <w:r w:rsidR="00A12854">
        <w:rPr>
          <w:rFonts w:hint="cs"/>
        </w:rPr>
        <w:t> </w:t>
      </w:r>
      <w:r w:rsidR="00A12854">
        <w:t>Prozent</w:t>
      </w:r>
      <w:r w:rsidR="00C46FD6" w:rsidRPr="00E02C6B">
        <w:t xml:space="preserve"> auf einer Palliativstation eines Krankenhauses.</w:t>
      </w:r>
      <w:r w:rsidR="00ED6C8B">
        <w:rPr>
          <w:rStyle w:val="Funotenzeichen"/>
        </w:rPr>
        <w:footnoteReference w:id="3"/>
      </w:r>
      <w:r w:rsidR="00C46FD6" w:rsidRPr="00E02C6B">
        <w:t xml:space="preserve"> In der sog</w:t>
      </w:r>
      <w:r w:rsidR="00A12854">
        <w:t>enannten</w:t>
      </w:r>
      <w:r w:rsidR="00C46FD6" w:rsidRPr="00E02C6B">
        <w:t xml:space="preserve"> Allgemeinbevölkerung verstarben im selben Zeitraum 51,2</w:t>
      </w:r>
      <w:r w:rsidR="00A12854">
        <w:rPr>
          <w:rFonts w:hint="cs"/>
        </w:rPr>
        <w:t> </w:t>
      </w:r>
      <w:r w:rsidR="00A12854">
        <w:t>Prozent</w:t>
      </w:r>
      <w:r w:rsidR="00C46FD6" w:rsidRPr="00E02C6B">
        <w:t xml:space="preserve"> im Krankenhaus (Das</w:t>
      </w:r>
      <w:r w:rsidR="00B6477C" w:rsidRPr="00E02C6B">
        <w:t>c</w:t>
      </w:r>
      <w:r w:rsidR="00C46FD6" w:rsidRPr="00E02C6B">
        <w:t>h et al.</w:t>
      </w:r>
      <w:r w:rsidR="007D1826" w:rsidRPr="00E02C6B">
        <w:t>,</w:t>
      </w:r>
      <w:r w:rsidR="00C46FD6" w:rsidRPr="00E02C6B">
        <w:t xml:space="preserve"> 2015).</w:t>
      </w:r>
      <w:r w:rsidR="0003170A">
        <w:rPr>
          <w:rStyle w:val="Funotenzeichen"/>
        </w:rPr>
        <w:footnoteReference w:id="4"/>
      </w:r>
      <w:r w:rsidR="00C46FD6" w:rsidRPr="00E02C6B">
        <w:t xml:space="preserve"> Diese Zahlen unterstreichen die Bedeutung der Wohngruppe als Ort der Begleitung am Lebensende</w:t>
      </w:r>
      <w:r w:rsidR="007D1826" w:rsidRPr="00E02C6B">
        <w:t xml:space="preserve">. </w:t>
      </w:r>
    </w:p>
    <w:p w14:paraId="011BD344" w14:textId="08BA7473" w:rsidR="001C03FB" w:rsidRDefault="00ED6C8B" w:rsidP="001C03FB">
      <w:pPr>
        <w:pStyle w:val="Textkrper"/>
        <w:ind w:firstLine="0"/>
      </w:pPr>
      <w:r>
        <w:t xml:space="preserve">Die qualitativen Interviews ergaben, dass </w:t>
      </w:r>
      <w:r w:rsidR="00B6477C" w:rsidRPr="00E02C6B">
        <w:t>die</w:t>
      </w:r>
      <w:r w:rsidR="007D1826" w:rsidRPr="00E02C6B">
        <w:t xml:space="preserve"> Ausgestaltung der Begleitung und </w:t>
      </w:r>
      <w:r w:rsidR="00B6477C" w:rsidRPr="00E02C6B">
        <w:t>die</w:t>
      </w:r>
      <w:r w:rsidR="006644ED" w:rsidRPr="00E02C6B">
        <w:t xml:space="preserve"> Partizipation</w:t>
      </w:r>
      <w:r>
        <w:t xml:space="preserve"> äu</w:t>
      </w:r>
      <w:r w:rsidR="00A42170">
        <w:t>ss</w:t>
      </w:r>
      <w:r>
        <w:t xml:space="preserve">erst unterschiedlich ist. </w:t>
      </w:r>
      <w:r w:rsidR="001C03FB">
        <w:t>Aufgrund dies</w:t>
      </w:r>
      <w:r>
        <w:t>e</w:t>
      </w:r>
      <w:r w:rsidR="001C03FB">
        <w:t>r</w:t>
      </w:r>
      <w:r>
        <w:t xml:space="preserve"> Unterschiede </w:t>
      </w:r>
      <w:r w:rsidR="001C03FB">
        <w:t xml:space="preserve">konnten </w:t>
      </w:r>
      <w:r w:rsidR="006644ED" w:rsidRPr="00E02C6B">
        <w:t xml:space="preserve">verschiedene Typen von Organisationen </w:t>
      </w:r>
      <w:r w:rsidR="00B6477C" w:rsidRPr="00E02C6B">
        <w:t>beschr</w:t>
      </w:r>
      <w:r w:rsidR="001C03FB">
        <w:t>i</w:t>
      </w:r>
      <w:r w:rsidR="00B6477C" w:rsidRPr="00E02C6B">
        <w:t>eben</w:t>
      </w:r>
      <w:r w:rsidR="001C03FB">
        <w:t xml:space="preserve"> werden</w:t>
      </w:r>
      <w:r w:rsidR="005D2459" w:rsidRPr="00E02C6B">
        <w:t xml:space="preserve">: </w:t>
      </w:r>
      <w:r w:rsidR="00427F77">
        <w:t>D</w:t>
      </w:r>
      <w:r w:rsidR="005D2459" w:rsidRPr="00E02C6B">
        <w:t xml:space="preserve">ie einen </w:t>
      </w:r>
      <w:r w:rsidR="00427F77">
        <w:t xml:space="preserve">verdrängen </w:t>
      </w:r>
      <w:r w:rsidR="005D2459" w:rsidRPr="00E02C6B">
        <w:t xml:space="preserve">das Thema Sterben und Tod eher und </w:t>
      </w:r>
      <w:r w:rsidR="00EF67FB">
        <w:t xml:space="preserve">verlegen </w:t>
      </w:r>
      <w:r w:rsidR="005D2459" w:rsidRPr="00E02C6B">
        <w:t>Menschen am Lebensende in andere Einrichtungen</w:t>
      </w:r>
      <w:r w:rsidR="001C03FB">
        <w:t>. A</w:t>
      </w:r>
      <w:r w:rsidR="005D2459" w:rsidRPr="00E02C6B">
        <w:t xml:space="preserve">ndere </w:t>
      </w:r>
      <w:r w:rsidR="001C03FB">
        <w:t xml:space="preserve">sind </w:t>
      </w:r>
      <w:r w:rsidR="005D2459" w:rsidRPr="00E02C6B">
        <w:t xml:space="preserve">sehr bemüht um ausgesprochen individuelle Lösungen </w:t>
      </w:r>
      <w:r w:rsidR="001C03FB">
        <w:t xml:space="preserve">und sehen es als </w:t>
      </w:r>
      <w:r w:rsidR="00B6477C" w:rsidRPr="00E02C6B">
        <w:t>Aufgabe der</w:t>
      </w:r>
      <w:r w:rsidR="005D2459" w:rsidRPr="00E02C6B">
        <w:t xml:space="preserve"> Wohneinrichtung</w:t>
      </w:r>
      <w:r w:rsidR="00B6477C" w:rsidRPr="00E02C6B">
        <w:t xml:space="preserve">, </w:t>
      </w:r>
      <w:r w:rsidR="001C03FB">
        <w:t>dass die</w:t>
      </w:r>
      <w:r w:rsidR="00B6477C" w:rsidRPr="00E02C6B">
        <w:t xml:space="preserve"> </w:t>
      </w:r>
      <w:proofErr w:type="spellStart"/>
      <w:proofErr w:type="gramStart"/>
      <w:r w:rsidR="00B6477C" w:rsidRPr="00E02C6B">
        <w:t>Bewohner:innen</w:t>
      </w:r>
      <w:proofErr w:type="spellEnd"/>
      <w:proofErr w:type="gramEnd"/>
      <w:r w:rsidR="00B6477C" w:rsidRPr="00E02C6B">
        <w:t xml:space="preserve">, die es wünschen, </w:t>
      </w:r>
      <w:r w:rsidR="001C03FB">
        <w:t>in der Einrichtung palliativ begleitet werden</w:t>
      </w:r>
      <w:r w:rsidR="00B6477C" w:rsidRPr="00E02C6B">
        <w:t>.</w:t>
      </w:r>
      <w:r w:rsidR="001C03FB">
        <w:t xml:space="preserve"> Insgesamt wurden vier Typen </w:t>
      </w:r>
      <w:r w:rsidR="00BA7689">
        <w:t xml:space="preserve">(Modelle) </w:t>
      </w:r>
      <w:r w:rsidR="00C86478">
        <w:t xml:space="preserve">nach deren Handlungsstrategien und Partizipationskultur </w:t>
      </w:r>
      <w:r w:rsidR="001C03FB">
        <w:t>herausgearbeitet</w:t>
      </w:r>
      <w:r w:rsidR="00C86478">
        <w:t xml:space="preserve"> </w:t>
      </w:r>
      <w:r w:rsidR="00F13E1D">
        <w:t xml:space="preserve">und tabellarisch </w:t>
      </w:r>
      <w:r w:rsidR="00BA7689">
        <w:t>dargestellt</w:t>
      </w:r>
      <w:r w:rsidR="00F13E1D">
        <w:t xml:space="preserve"> </w:t>
      </w:r>
      <w:r w:rsidR="00C86478">
        <w:t xml:space="preserve">(s. </w:t>
      </w:r>
      <w:r w:rsidR="001C03FB">
        <w:t>Tab</w:t>
      </w:r>
      <w:r w:rsidR="00C86478">
        <w:t>. 1)</w:t>
      </w:r>
      <w:r w:rsidR="001C03FB">
        <w:t>.</w:t>
      </w:r>
      <w:r w:rsidR="001C03FB" w:rsidRPr="001C03FB">
        <w:t xml:space="preserve"> </w:t>
      </w:r>
      <w:r w:rsidR="001C03FB">
        <w:t xml:space="preserve">Die Tabelle gibt Anhaltspunkte für die Einschätzung der in </w:t>
      </w:r>
      <w:r w:rsidR="005166E6">
        <w:t xml:space="preserve">den </w:t>
      </w:r>
      <w:r w:rsidR="001C03FB">
        <w:t>Einrichtungen gelebten Praxis der Begleitung am Lebensende. Daraus lassen sich Empfehlungen für die Weiterentwicklung ableiten.</w:t>
      </w:r>
    </w:p>
    <w:p w14:paraId="02936D01" w14:textId="77777777" w:rsidR="00C507D3" w:rsidRPr="00E02C6B" w:rsidRDefault="00C507D3" w:rsidP="00C507D3">
      <w:pPr>
        <w:pStyle w:val="TabelleBeschriftung"/>
      </w:pPr>
      <w:r w:rsidRPr="00E02C6B">
        <w:t xml:space="preserve">Tabelle 1: </w:t>
      </w:r>
      <w:r w:rsidR="005D2459" w:rsidRPr="00E02C6B">
        <w:t>Typen des organisationalen Umgangs mit Herausforderungen in der Begleitung am Lebensende in Wohneinrichtungen für Menschen mit Behinderung (eigene Darstellung)</w:t>
      </w:r>
    </w:p>
    <w:tbl>
      <w:tblPr>
        <w:tblStyle w:val="Listentabelle3Akzent6"/>
        <w:tblW w:w="9209" w:type="dxa"/>
        <w:tblLayout w:type="fixed"/>
        <w:tblLook w:val="04A0" w:firstRow="1" w:lastRow="0" w:firstColumn="1" w:lastColumn="0" w:noHBand="0" w:noVBand="1"/>
      </w:tblPr>
      <w:tblGrid>
        <w:gridCol w:w="1555"/>
        <w:gridCol w:w="1842"/>
        <w:gridCol w:w="1980"/>
        <w:gridCol w:w="1843"/>
        <w:gridCol w:w="1989"/>
      </w:tblGrid>
      <w:tr w:rsidR="00C507D3" w:rsidRPr="00E02C6B" w14:paraId="2103B265" w14:textId="77777777" w:rsidTr="00A110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55" w:type="dxa"/>
          </w:tcPr>
          <w:p w14:paraId="6CC96739" w14:textId="77777777" w:rsidR="00C507D3" w:rsidRPr="00E02C6B" w:rsidRDefault="00C507D3">
            <w:r w:rsidRPr="00E02C6B">
              <w:t>Modellname</w:t>
            </w:r>
          </w:p>
        </w:tc>
        <w:tc>
          <w:tcPr>
            <w:tcW w:w="1842" w:type="dxa"/>
          </w:tcPr>
          <w:p w14:paraId="0589E7D4" w14:textId="77777777" w:rsidR="00770C67" w:rsidRDefault="00C507D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E02C6B">
              <w:t xml:space="preserve">Delegierendes </w:t>
            </w:r>
          </w:p>
          <w:p w14:paraId="168F6CA3" w14:textId="77777777" w:rsidR="00C507D3" w:rsidRPr="00E02C6B" w:rsidRDefault="00C507D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02C6B">
              <w:t>Modell</w:t>
            </w:r>
          </w:p>
        </w:tc>
        <w:tc>
          <w:tcPr>
            <w:tcW w:w="1980" w:type="dxa"/>
          </w:tcPr>
          <w:p w14:paraId="17475AAC" w14:textId="77777777" w:rsidR="00C507D3" w:rsidRPr="00E02C6B" w:rsidRDefault="00C507D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02C6B">
              <w:t>Dichotomisierendes Modell</w:t>
            </w:r>
          </w:p>
        </w:tc>
        <w:tc>
          <w:tcPr>
            <w:tcW w:w="1843" w:type="dxa"/>
          </w:tcPr>
          <w:p w14:paraId="276E2777" w14:textId="77777777" w:rsidR="00770C67" w:rsidRDefault="00C507D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E02C6B">
              <w:t>Funktionales</w:t>
            </w:r>
          </w:p>
          <w:p w14:paraId="47ECD5CC" w14:textId="77777777" w:rsidR="00C507D3" w:rsidRPr="00E02C6B" w:rsidRDefault="00C507D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02C6B">
              <w:t>Modell</w:t>
            </w:r>
          </w:p>
        </w:tc>
        <w:tc>
          <w:tcPr>
            <w:tcW w:w="1989" w:type="dxa"/>
          </w:tcPr>
          <w:p w14:paraId="63D2DD95" w14:textId="77777777" w:rsidR="00770C67" w:rsidRDefault="00C507D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E02C6B">
              <w:t xml:space="preserve">Integrierendes </w:t>
            </w:r>
          </w:p>
          <w:p w14:paraId="2B8B7B3E" w14:textId="77777777" w:rsidR="00C507D3" w:rsidRPr="00E02C6B" w:rsidRDefault="00C507D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02C6B">
              <w:t>Modell</w:t>
            </w:r>
          </w:p>
        </w:tc>
      </w:tr>
      <w:tr w:rsidR="00C507D3" w:rsidRPr="00376A2A" w14:paraId="6094F85D" w14:textId="77777777" w:rsidTr="00A110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25DFA15D" w14:textId="77777777" w:rsidR="00C507D3" w:rsidRPr="00E02C6B" w:rsidRDefault="00C507D3" w:rsidP="00671605">
            <w:r w:rsidRPr="00E02C6B">
              <w:t>Handlungsstrategien</w:t>
            </w:r>
          </w:p>
        </w:tc>
        <w:tc>
          <w:tcPr>
            <w:tcW w:w="1842" w:type="dxa"/>
          </w:tcPr>
          <w:p w14:paraId="0F3E2A01" w14:textId="77777777" w:rsidR="00C507D3" w:rsidRPr="00E02C6B" w:rsidRDefault="00C507D3" w:rsidP="005A28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2C6B">
              <w:t>Vermeidung des Themas Sterben</w:t>
            </w:r>
            <w:r w:rsidR="00770C67">
              <w:t>;</w:t>
            </w:r>
            <w:r w:rsidRPr="00E02C6B">
              <w:t xml:space="preserve"> Auslagerung der Versorgung an andere Institutionen</w:t>
            </w:r>
          </w:p>
        </w:tc>
        <w:tc>
          <w:tcPr>
            <w:tcW w:w="1980" w:type="dxa"/>
          </w:tcPr>
          <w:p w14:paraId="5EDE2B33" w14:textId="77777777" w:rsidR="00C507D3" w:rsidRPr="00E02C6B" w:rsidRDefault="00C507D3" w:rsidP="005A28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2C6B">
              <w:t xml:space="preserve">Polarisierende Gegenüberstellung von individueller Haltung und </w:t>
            </w:r>
            <w:r w:rsidR="000909B4" w:rsidRPr="00E02C6B">
              <w:t xml:space="preserve">den Grenzen der </w:t>
            </w:r>
            <w:r w:rsidRPr="00E02C6B">
              <w:t>Organisation</w:t>
            </w:r>
          </w:p>
        </w:tc>
        <w:tc>
          <w:tcPr>
            <w:tcW w:w="1843" w:type="dxa"/>
          </w:tcPr>
          <w:p w14:paraId="0C2C1E45" w14:textId="77777777" w:rsidR="00C507D3" w:rsidRPr="00E02C6B" w:rsidRDefault="00C507D3" w:rsidP="005A28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2C6B">
              <w:t>Dominanz der Versorgungsicherheit gegenüber individuellen Bedürfnissen</w:t>
            </w:r>
          </w:p>
        </w:tc>
        <w:tc>
          <w:tcPr>
            <w:tcW w:w="1989" w:type="dxa"/>
          </w:tcPr>
          <w:p w14:paraId="1391EF45" w14:textId="37244679" w:rsidR="00C507D3" w:rsidRPr="00E02C6B" w:rsidRDefault="00C507D3" w:rsidP="005A28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2C6B">
              <w:t xml:space="preserve">Ausgewogenheit </w:t>
            </w:r>
            <w:r w:rsidR="00443F4B">
              <w:t>der</w:t>
            </w:r>
            <w:r w:rsidR="00443F4B" w:rsidRPr="00E02C6B">
              <w:t xml:space="preserve"> Dimensionen</w:t>
            </w:r>
            <w:r w:rsidRPr="00E02C6B">
              <w:t xml:space="preserve"> Person</w:t>
            </w:r>
            <w:r w:rsidR="00D459C2">
              <w:t>en</w:t>
            </w:r>
            <w:r w:rsidRPr="00E02C6B">
              <w:t>zentrierung, Offenheit für das Thema und Versorgungsqualität</w:t>
            </w:r>
          </w:p>
        </w:tc>
      </w:tr>
      <w:tr w:rsidR="00C507D3" w:rsidRPr="00376A2A" w14:paraId="0A99521E" w14:textId="77777777" w:rsidTr="00A11087">
        <w:trPr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4E0900DE" w14:textId="6A8D754C" w:rsidR="00C507D3" w:rsidRPr="00E02C6B" w:rsidRDefault="00C507D3" w:rsidP="007954D3">
            <w:pPr>
              <w:pStyle w:val="Compact"/>
              <w:jc w:val="left"/>
            </w:pPr>
            <w:r w:rsidRPr="00E02C6B">
              <w:t>Partizipation</w:t>
            </w:r>
            <w:r w:rsidR="00F45DE3">
              <w:t>s</w:t>
            </w:r>
            <w:r w:rsidR="001B6519">
              <w:softHyphen/>
            </w:r>
            <w:r w:rsidRPr="00E02C6B">
              <w:t>kultur</w:t>
            </w:r>
          </w:p>
        </w:tc>
        <w:tc>
          <w:tcPr>
            <w:tcW w:w="1842" w:type="dxa"/>
          </w:tcPr>
          <w:p w14:paraId="4A7332DE" w14:textId="45799B93" w:rsidR="00C507D3" w:rsidRPr="00E02C6B" w:rsidRDefault="000909B4" w:rsidP="007954D3">
            <w:pPr>
              <w:pStyle w:val="Comp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2C6B">
              <w:t xml:space="preserve">Verknüpfung individueller und institutioneller Abwehrmechanismen; Verdrängung der Bedürfnisse Sterbender aus eigener Hilflosigkeit </w:t>
            </w:r>
          </w:p>
        </w:tc>
        <w:tc>
          <w:tcPr>
            <w:tcW w:w="1980" w:type="dxa"/>
          </w:tcPr>
          <w:p w14:paraId="40734FE8" w14:textId="77777777" w:rsidR="00C507D3" w:rsidRPr="00E02C6B" w:rsidRDefault="000909B4" w:rsidP="007954D3">
            <w:pPr>
              <w:pStyle w:val="Comp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2C6B">
              <w:t>Teilhabe</w:t>
            </w:r>
            <w:r w:rsidR="00B6477C" w:rsidRPr="00E02C6B">
              <w:t xml:space="preserve"> wird</w:t>
            </w:r>
            <w:r w:rsidRPr="00E02C6B">
              <w:t xml:space="preserve"> nur auf der Ebene der dyadischen Beziehung gesehen; strukturelle Grenzen der Organisation werden resignierend hingenommen</w:t>
            </w:r>
          </w:p>
        </w:tc>
        <w:tc>
          <w:tcPr>
            <w:tcW w:w="1843" w:type="dxa"/>
          </w:tcPr>
          <w:p w14:paraId="22CD4848" w14:textId="77777777" w:rsidR="00C507D3" w:rsidRPr="00E02C6B" w:rsidRDefault="000909B4" w:rsidP="007954D3">
            <w:pPr>
              <w:pStyle w:val="Comp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2C6B">
              <w:t>Hohe Funktionalität in der Versorgung; Fokussierung auf Standards, die (vermeintlich) Sicherheit schaffen</w:t>
            </w:r>
          </w:p>
        </w:tc>
        <w:tc>
          <w:tcPr>
            <w:tcW w:w="1989" w:type="dxa"/>
          </w:tcPr>
          <w:p w14:paraId="385AB332" w14:textId="0788B985" w:rsidR="00C507D3" w:rsidRPr="00E02C6B" w:rsidRDefault="005D2459" w:rsidP="007954D3">
            <w:pPr>
              <w:pStyle w:val="Comp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2C6B">
              <w:t xml:space="preserve">Achtung des </w:t>
            </w:r>
            <w:r w:rsidR="004543F1">
              <w:t>«</w:t>
            </w:r>
            <w:r w:rsidRPr="00E02C6B">
              <w:t>Eigensinns</w:t>
            </w:r>
            <w:r w:rsidR="004543F1">
              <w:t>»</w:t>
            </w:r>
            <w:r w:rsidRPr="00E02C6B">
              <w:t xml:space="preserve"> </w:t>
            </w:r>
            <w:r w:rsidR="00B6477C" w:rsidRPr="00E02C6B">
              <w:t xml:space="preserve">und der Entscheidungskompetenz </w:t>
            </w:r>
            <w:r w:rsidRPr="00E02C6B">
              <w:t>der Person</w:t>
            </w:r>
            <w:r w:rsidR="000909B4" w:rsidRPr="00E02C6B">
              <w:t xml:space="preserve"> </w:t>
            </w:r>
          </w:p>
        </w:tc>
      </w:tr>
      <w:tr w:rsidR="001C03FB" w:rsidRPr="00376A2A" w14:paraId="46A7EE72" w14:textId="77777777" w:rsidTr="00A110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1C3C4CA2" w14:textId="3663CF5B" w:rsidR="001C03FB" w:rsidRPr="00E02C6B" w:rsidRDefault="001C03FB" w:rsidP="007954D3">
            <w:pPr>
              <w:pStyle w:val="Compact"/>
              <w:jc w:val="left"/>
            </w:pPr>
            <w:r>
              <w:t>Empfehlungen</w:t>
            </w:r>
          </w:p>
        </w:tc>
        <w:tc>
          <w:tcPr>
            <w:tcW w:w="1842" w:type="dxa"/>
          </w:tcPr>
          <w:p w14:paraId="5054A563" w14:textId="27E9A2F2" w:rsidR="001C03FB" w:rsidRPr="00E02C6B" w:rsidRDefault="001C03FB" w:rsidP="007954D3">
            <w:pPr>
              <w:pStyle w:val="Compac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Sensibilisierung und Fortbildung von Mitarbeitenden</w:t>
            </w:r>
          </w:p>
        </w:tc>
        <w:tc>
          <w:tcPr>
            <w:tcW w:w="1980" w:type="dxa"/>
          </w:tcPr>
          <w:p w14:paraId="5A59AC31" w14:textId="5656058A" w:rsidR="001C03FB" w:rsidRPr="00E02C6B" w:rsidRDefault="001C03FB" w:rsidP="007954D3">
            <w:pPr>
              <w:pStyle w:val="Compac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Schaffung von Kommunikationsräumen zwischen Mitarbeitenden und Leitung, um gemeinsam Wege für eine gute Begleitung auszuloten</w:t>
            </w:r>
          </w:p>
        </w:tc>
        <w:tc>
          <w:tcPr>
            <w:tcW w:w="1843" w:type="dxa"/>
          </w:tcPr>
          <w:p w14:paraId="3D2FBCDA" w14:textId="3D77BB6B" w:rsidR="001C03FB" w:rsidRPr="00E02C6B" w:rsidRDefault="001C03FB" w:rsidP="007954D3">
            <w:pPr>
              <w:pStyle w:val="Compac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Supervisorische</w:t>
            </w:r>
            <w:proofErr w:type="spellEnd"/>
            <w:r>
              <w:t xml:space="preserve"> Begleitung von Mitarbeitenden zur Bearbeitung von Unsicherheiten</w:t>
            </w:r>
          </w:p>
        </w:tc>
        <w:tc>
          <w:tcPr>
            <w:tcW w:w="1989" w:type="dxa"/>
          </w:tcPr>
          <w:p w14:paraId="6B6CC3FF" w14:textId="03673764" w:rsidR="001C03FB" w:rsidRPr="00E02C6B" w:rsidRDefault="001C03FB" w:rsidP="007954D3">
            <w:pPr>
              <w:pStyle w:val="Compac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Kultivierung des Selbstverständnisses als lernende Organisation und Sicherung von Räumen für ethische Reflexion</w:t>
            </w:r>
          </w:p>
        </w:tc>
      </w:tr>
    </w:tbl>
    <w:p w14:paraId="2E0D78A1" w14:textId="0E9CB299" w:rsidR="007D3294" w:rsidRPr="00AB7FA3" w:rsidRDefault="00C93439" w:rsidP="00AB7FA3">
      <w:pPr>
        <w:pStyle w:val="Textkrper"/>
        <w:ind w:firstLine="0"/>
      </w:pPr>
      <w:r w:rsidRPr="00AB7FA3">
        <w:lastRenderedPageBreak/>
        <w:t xml:space="preserve">In einer </w:t>
      </w:r>
      <w:r w:rsidR="005E22BD" w:rsidRPr="00AB7FA3">
        <w:t xml:space="preserve">nächsten </w:t>
      </w:r>
      <w:r w:rsidRPr="00AB7FA3">
        <w:t>Projektphase wurde i</w:t>
      </w:r>
      <w:r w:rsidR="006644ED" w:rsidRPr="00AB7FA3">
        <w:t xml:space="preserve">n Workshops mit Mitarbeitenden </w:t>
      </w:r>
      <w:r w:rsidR="00B6477C" w:rsidRPr="00AB7FA3">
        <w:t xml:space="preserve">und mit Beiräten der </w:t>
      </w:r>
      <w:proofErr w:type="spellStart"/>
      <w:proofErr w:type="gramStart"/>
      <w:r w:rsidR="00B6477C" w:rsidRPr="00AB7FA3">
        <w:t>Bewohner:innen</w:t>
      </w:r>
      <w:proofErr w:type="spellEnd"/>
      <w:proofErr w:type="gramEnd"/>
      <w:r w:rsidR="00B6477C" w:rsidRPr="00AB7FA3">
        <w:t xml:space="preserve"> </w:t>
      </w:r>
      <w:r w:rsidR="006644ED" w:rsidRPr="00AB7FA3">
        <w:t>Prozesse der Begleitung</w:t>
      </w:r>
      <w:r w:rsidR="00755BEC" w:rsidRPr="00AB7FA3">
        <w:t xml:space="preserve"> differenziert untersucht</w:t>
      </w:r>
      <w:r w:rsidR="006644ED" w:rsidRPr="00AB7FA3">
        <w:t>. Im Fokus standen dabei u</w:t>
      </w:r>
      <w:r w:rsidR="00DE1B2A" w:rsidRPr="00AB7FA3">
        <w:t xml:space="preserve">nter </w:t>
      </w:r>
      <w:r w:rsidR="006644ED" w:rsidRPr="00AB7FA3">
        <w:t>a</w:t>
      </w:r>
      <w:r w:rsidR="00DE1B2A" w:rsidRPr="00AB7FA3">
        <w:t>nderem</w:t>
      </w:r>
      <w:r w:rsidR="006644ED" w:rsidRPr="00AB7FA3">
        <w:t xml:space="preserve"> Entscheidungs- und Einwilligungsprozesse.</w:t>
      </w:r>
      <w:r w:rsidR="00B6477C" w:rsidRPr="00AB7FA3">
        <w:t xml:space="preserve"> Hier zeigten sich deutliche Unterschiede</w:t>
      </w:r>
      <w:r w:rsidR="00B96A78" w:rsidRPr="00AB7FA3">
        <w:t>, wie</w:t>
      </w:r>
      <w:r w:rsidR="00B6477C" w:rsidRPr="00AB7FA3">
        <w:t xml:space="preserve"> Mitarbeitende und </w:t>
      </w:r>
      <w:r w:rsidR="00720FD7" w:rsidRPr="00AB7FA3">
        <w:t xml:space="preserve">wie </w:t>
      </w:r>
      <w:proofErr w:type="spellStart"/>
      <w:proofErr w:type="gramStart"/>
      <w:r w:rsidR="00B6477C" w:rsidRPr="00AB7FA3">
        <w:t>Bewohner:innen</w:t>
      </w:r>
      <w:proofErr w:type="spellEnd"/>
      <w:proofErr w:type="gramEnd"/>
      <w:r w:rsidR="00B96A78" w:rsidRPr="00AB7FA3">
        <w:t xml:space="preserve"> diese erleben</w:t>
      </w:r>
      <w:r w:rsidR="00B6477C" w:rsidRPr="00AB7FA3">
        <w:t xml:space="preserve">: </w:t>
      </w:r>
      <w:r w:rsidR="00720FD7" w:rsidRPr="00AB7FA3">
        <w:t xml:space="preserve">Die </w:t>
      </w:r>
      <w:proofErr w:type="spellStart"/>
      <w:r w:rsidR="00B6477C" w:rsidRPr="00AB7FA3">
        <w:t>Bewohner:innen</w:t>
      </w:r>
      <w:proofErr w:type="spellEnd"/>
      <w:r w:rsidR="00B6477C" w:rsidRPr="00AB7FA3">
        <w:t xml:space="preserve"> </w:t>
      </w:r>
      <w:r w:rsidR="00276E45" w:rsidRPr="00AB7FA3">
        <w:t>betonen, dass sie über wichtige Dinge selbst bestimmen möchten, z</w:t>
      </w:r>
      <w:r w:rsidR="00933FD2" w:rsidRPr="00AB7FA3">
        <w:t xml:space="preserve">um </w:t>
      </w:r>
      <w:r w:rsidR="00276E45" w:rsidRPr="00AB7FA3">
        <w:t>B</w:t>
      </w:r>
      <w:r w:rsidR="00933FD2" w:rsidRPr="00AB7FA3">
        <w:t>eispiel</w:t>
      </w:r>
      <w:r w:rsidR="00276E45" w:rsidRPr="00AB7FA3">
        <w:t xml:space="preserve"> wer bei ihnen sein soll an ihrem Lebensende oder wo sie sterben möchten. Zudem </w:t>
      </w:r>
      <w:r w:rsidR="00720FD7" w:rsidRPr="00AB7FA3">
        <w:t xml:space="preserve">fühlen </w:t>
      </w:r>
      <w:r w:rsidR="005D113D" w:rsidRPr="00AB7FA3">
        <w:t xml:space="preserve">sie </w:t>
      </w:r>
      <w:r w:rsidR="00720FD7" w:rsidRPr="00AB7FA3">
        <w:t xml:space="preserve">sich </w:t>
      </w:r>
      <w:r w:rsidR="00B6477C" w:rsidRPr="00AB7FA3">
        <w:t xml:space="preserve">nicht immer </w:t>
      </w:r>
      <w:r w:rsidR="005D113D" w:rsidRPr="00AB7FA3">
        <w:t>gut</w:t>
      </w:r>
      <w:r w:rsidR="009468CC" w:rsidRPr="00AB7FA3">
        <w:t xml:space="preserve"> einbezogen</w:t>
      </w:r>
      <w:r w:rsidR="00B6477C" w:rsidRPr="00AB7FA3">
        <w:t xml:space="preserve">, </w:t>
      </w:r>
      <w:r w:rsidR="005D113D" w:rsidRPr="00AB7FA3">
        <w:t xml:space="preserve">wenn </w:t>
      </w:r>
      <w:proofErr w:type="spellStart"/>
      <w:proofErr w:type="gramStart"/>
      <w:r w:rsidR="005D113D" w:rsidRPr="00AB7FA3">
        <w:t>Mitbewohner:innen</w:t>
      </w:r>
      <w:proofErr w:type="spellEnd"/>
      <w:proofErr w:type="gramEnd"/>
      <w:r w:rsidR="005D113D" w:rsidRPr="00AB7FA3">
        <w:t xml:space="preserve">, für die sie </w:t>
      </w:r>
      <w:r w:rsidR="00B6477C" w:rsidRPr="00AB7FA3">
        <w:t xml:space="preserve">teils lang vertraute </w:t>
      </w:r>
      <w:r w:rsidR="005D113D" w:rsidRPr="00AB7FA3">
        <w:t>Bezugspersonen sind, versterben</w:t>
      </w:r>
      <w:r w:rsidR="00B6477C" w:rsidRPr="00AB7FA3">
        <w:t>.</w:t>
      </w:r>
      <w:r w:rsidR="00720FD7" w:rsidRPr="00AB7FA3">
        <w:t xml:space="preserve"> Das zeigt </w:t>
      </w:r>
      <w:r w:rsidR="0081634A" w:rsidRPr="00AB7FA3">
        <w:t xml:space="preserve">exemplarisch folgendes Zitat aus einem Workshop: </w:t>
      </w:r>
      <w:r w:rsidR="0081634A" w:rsidRPr="00AB7FA3">
        <w:rPr>
          <w:rFonts w:hint="cs"/>
        </w:rPr>
        <w:t>«</w:t>
      </w:r>
      <w:r w:rsidR="0081634A" w:rsidRPr="00AB7FA3">
        <w:t>Und da waren wir als Mitbewohner nicht so drauf vorbereitet</w:t>
      </w:r>
      <w:r w:rsidR="0081634A" w:rsidRPr="00AB7FA3">
        <w:rPr>
          <w:rFonts w:hint="cs"/>
        </w:rPr>
        <w:t>»</w:t>
      </w:r>
      <w:r w:rsidR="007D3294" w:rsidRPr="00AB7FA3">
        <w:t>.</w:t>
      </w:r>
      <w:r w:rsidR="00AB62BF" w:rsidRPr="00AB7FA3">
        <w:t xml:space="preserve"> </w:t>
      </w:r>
    </w:p>
    <w:p w14:paraId="36F01148" w14:textId="48CAE0A1" w:rsidR="006644ED" w:rsidRPr="00AB7FA3" w:rsidRDefault="00F432DE" w:rsidP="00AB7FA3">
      <w:pPr>
        <w:pStyle w:val="Textkrper"/>
      </w:pPr>
      <w:r w:rsidRPr="00AB7FA3">
        <w:t>Die</w:t>
      </w:r>
      <w:r w:rsidR="009C1BD2" w:rsidRPr="00AB7FA3">
        <w:t xml:space="preserve"> qualitative </w:t>
      </w:r>
      <w:r w:rsidR="00AB62BF" w:rsidRPr="00AB7FA3">
        <w:t xml:space="preserve">Studie von Ritzenthaler-Spielmann </w:t>
      </w:r>
      <w:r w:rsidR="009C1BD2" w:rsidRPr="00AB7FA3">
        <w:t xml:space="preserve">(2017) </w:t>
      </w:r>
      <w:r w:rsidRPr="00AB7FA3">
        <w:t xml:space="preserve">untersucht </w:t>
      </w:r>
      <w:r w:rsidR="009C1BD2" w:rsidRPr="00AB7FA3">
        <w:t>Entscheidungsprozesse am Lebensende</w:t>
      </w:r>
      <w:r w:rsidRPr="00AB7FA3">
        <w:t xml:space="preserve">. </w:t>
      </w:r>
      <w:r w:rsidR="00221A9E" w:rsidRPr="00AB7FA3">
        <w:t>Die Studie</w:t>
      </w:r>
      <w:r w:rsidR="009C1BD2" w:rsidRPr="00AB7FA3">
        <w:t xml:space="preserve"> zeigt</w:t>
      </w:r>
      <w:r w:rsidR="006771C5" w:rsidRPr="00AB7FA3">
        <w:t xml:space="preserve"> </w:t>
      </w:r>
      <w:r w:rsidR="009C1BD2" w:rsidRPr="00AB7FA3">
        <w:t xml:space="preserve">eine deutliche </w:t>
      </w:r>
      <w:r w:rsidRPr="00AB7FA3">
        <w:t xml:space="preserve">Abweichung </w:t>
      </w:r>
      <w:r w:rsidR="009C1BD2" w:rsidRPr="00AB7FA3">
        <w:t>zwischen organisationalen Leitbildern, in denen «Selbstbestimmung der meistgenannte Wert» war</w:t>
      </w:r>
      <w:r w:rsidR="00BB54A7" w:rsidRPr="00AB7FA3">
        <w:t xml:space="preserve"> und de</w:t>
      </w:r>
      <w:r w:rsidR="005D113D" w:rsidRPr="00AB7FA3">
        <w:t>r Feststellung</w:t>
      </w:r>
      <w:r w:rsidR="006916A9" w:rsidRPr="00AB7FA3">
        <w:t>, dass</w:t>
      </w:r>
      <w:r w:rsidR="009C1BD2" w:rsidRPr="00AB7FA3">
        <w:t xml:space="preserve"> die </w:t>
      </w:r>
      <w:proofErr w:type="spellStart"/>
      <w:proofErr w:type="gramStart"/>
      <w:r w:rsidR="009C1BD2" w:rsidRPr="00AB7FA3">
        <w:t>Bewohner:innen</w:t>
      </w:r>
      <w:proofErr w:type="spellEnd"/>
      <w:proofErr w:type="gramEnd"/>
      <w:r w:rsidR="009C1BD2" w:rsidRPr="00AB7FA3">
        <w:t xml:space="preserve"> «kaum Selbstbestimmung wahrnehmen in den jeweiligen Entscheidungssituationen» (</w:t>
      </w:r>
      <w:r w:rsidR="00CC19E0" w:rsidRPr="00AB7FA3">
        <w:t>ebd.</w:t>
      </w:r>
      <w:r w:rsidR="009C1BD2" w:rsidRPr="00AB7FA3">
        <w:t>, S.</w:t>
      </w:r>
      <w:r w:rsidR="009251F6" w:rsidRPr="00AB7FA3">
        <w:rPr>
          <w:rFonts w:hint="cs"/>
        </w:rPr>
        <w:t> </w:t>
      </w:r>
      <w:r w:rsidR="009C1BD2" w:rsidRPr="00AB7FA3">
        <w:t xml:space="preserve">264). Diese </w:t>
      </w:r>
      <w:r w:rsidR="006932E2" w:rsidRPr="00AB7FA3">
        <w:t xml:space="preserve">Abweichung </w:t>
      </w:r>
      <w:r w:rsidR="009C1BD2" w:rsidRPr="00AB7FA3">
        <w:t xml:space="preserve">verweist auf die häufig vorweggenommene Zuschreibung, dass Menschen mit einer kognitiven Beeinträchtigung nicht einwilligungs- oder urteilsfähig seien. </w:t>
      </w:r>
      <w:r w:rsidR="00D03B9D" w:rsidRPr="00AB7FA3">
        <w:t>Um dieser Zuschreibung zu entgegnen, verweist d</w:t>
      </w:r>
      <w:r w:rsidR="009C1BD2" w:rsidRPr="00AB7FA3">
        <w:t>ie Behindertenrechtskonvention</w:t>
      </w:r>
      <w:r w:rsidR="00EC565F" w:rsidRPr="00AB7FA3">
        <w:t xml:space="preserve"> auf d</w:t>
      </w:r>
      <w:r w:rsidR="00E02C6B" w:rsidRPr="00AB7FA3">
        <w:t>en Status</w:t>
      </w:r>
      <w:r w:rsidR="00EC565F" w:rsidRPr="00AB7FA3">
        <w:t xml:space="preserve"> jedes Menschen als Rechts</w:t>
      </w:r>
      <w:r w:rsidR="00E02C6B" w:rsidRPr="00AB7FA3">
        <w:t>- und Handlungs</w:t>
      </w:r>
      <w:r w:rsidR="00EC565F" w:rsidRPr="00AB7FA3">
        <w:t xml:space="preserve">subjekt, </w:t>
      </w:r>
      <w:r w:rsidR="00974053" w:rsidRPr="00AB7FA3">
        <w:t xml:space="preserve">der </w:t>
      </w:r>
      <w:r w:rsidR="00EC565F" w:rsidRPr="00AB7FA3">
        <w:t>durch die Vertragsstaaten zu achten sei (Art.</w:t>
      </w:r>
      <w:r w:rsidR="00AB7FA3" w:rsidRPr="00AB7FA3">
        <w:rPr>
          <w:rFonts w:hint="cs"/>
        </w:rPr>
        <w:t> </w:t>
      </w:r>
      <w:r w:rsidR="00EC565F" w:rsidRPr="00AB7FA3">
        <w:t>12 BRK</w:t>
      </w:r>
      <w:r w:rsidR="00E02C6B" w:rsidRPr="00AB7FA3">
        <w:t xml:space="preserve">; </w:t>
      </w:r>
      <w:proofErr w:type="spellStart"/>
      <w:r w:rsidR="00E02C6B" w:rsidRPr="00AB7FA3">
        <w:t>Lachwitz</w:t>
      </w:r>
      <w:proofErr w:type="spellEnd"/>
      <w:r w:rsidR="00E02C6B" w:rsidRPr="00AB7FA3">
        <w:t>, 2013</w:t>
      </w:r>
      <w:r w:rsidR="00EC565F" w:rsidRPr="00AB7FA3">
        <w:t xml:space="preserve">). </w:t>
      </w:r>
    </w:p>
    <w:p w14:paraId="32D3BC77" w14:textId="67C79F50" w:rsidR="006644ED" w:rsidRPr="00E02C6B" w:rsidRDefault="006644ED" w:rsidP="006644ED">
      <w:pPr>
        <w:pStyle w:val="berschrift1"/>
      </w:pPr>
      <w:r w:rsidRPr="00E02C6B">
        <w:t>Einwilligung</w:t>
      </w:r>
      <w:r w:rsidR="00B6477C" w:rsidRPr="00E02C6B">
        <w:t xml:space="preserve"> und Einwilligungsfähigkeit – ein komplexes Konstrukt</w:t>
      </w:r>
    </w:p>
    <w:p w14:paraId="3962E88A" w14:textId="2B8CC0C2" w:rsidR="00DF53B7" w:rsidRDefault="00F12D0C">
      <w:pPr>
        <w:pStyle w:val="Textkrper"/>
        <w:ind w:firstLine="0"/>
      </w:pPr>
      <w:r w:rsidRPr="003456A1">
        <w:rPr>
          <w:noProof/>
          <w:lang w:val="en-US"/>
        </w:rPr>
        <mc:AlternateContent>
          <mc:Choice Requires="wps">
            <w:drawing>
              <wp:anchor distT="45720" distB="45720" distL="46990" distR="46990" simplePos="0" relativeHeight="251658240" behindDoc="0" locked="0" layoutInCell="1" allowOverlap="0" wp14:anchorId="7A51BC69" wp14:editId="7C4DA301">
                <wp:simplePos x="0" y="0"/>
                <wp:positionH relativeFrom="page">
                  <wp:align>left</wp:align>
                </wp:positionH>
                <wp:positionV relativeFrom="paragraph">
                  <wp:posOffset>1810385</wp:posOffset>
                </wp:positionV>
                <wp:extent cx="5175250" cy="657225"/>
                <wp:effectExtent l="0" t="0" r="0" b="0"/>
                <wp:wrapTopAndBottom/>
                <wp:docPr id="1109793368" name="Text Box 110979336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75250" cy="523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E03239" w14:textId="77777777" w:rsidR="00CC6827" w:rsidRDefault="00F12D0C" w:rsidP="00F12D0C">
                            <w:pPr>
                              <w:pStyle w:val="Hervorhebung1"/>
                            </w:pPr>
                            <w:r w:rsidRPr="00C95618">
                              <w:t xml:space="preserve">Das Erwachsenenschutzgesetz </w:t>
                            </w:r>
                            <w:r>
                              <w:t xml:space="preserve">ermöglicht es </w:t>
                            </w:r>
                            <w:r w:rsidRPr="00C95618">
                              <w:t xml:space="preserve">Menschen mit </w:t>
                            </w:r>
                          </w:p>
                          <w:p w14:paraId="447055B6" w14:textId="77777777" w:rsidR="00CC6827" w:rsidRDefault="00F12D0C" w:rsidP="00F12D0C">
                            <w:pPr>
                              <w:pStyle w:val="Hervorhebung1"/>
                            </w:pPr>
                            <w:r w:rsidRPr="00C95618">
                              <w:t>kognitiver Beeintr</w:t>
                            </w:r>
                            <w:r w:rsidRPr="00C95618">
                              <w:rPr>
                                <w:rFonts w:hint="cs"/>
                              </w:rPr>
                              <w:t>ä</w:t>
                            </w:r>
                            <w:r w:rsidRPr="00C95618">
                              <w:t>chtigung</w:t>
                            </w:r>
                            <w:r>
                              <w:t>, über</w:t>
                            </w:r>
                            <w:r w:rsidRPr="00C95618">
                              <w:t xml:space="preserve"> </w:t>
                            </w:r>
                            <w:r>
                              <w:t xml:space="preserve">die </w:t>
                            </w:r>
                            <w:r w:rsidRPr="00C95618">
                              <w:t>Umst</w:t>
                            </w:r>
                            <w:r w:rsidRPr="00C95618">
                              <w:rPr>
                                <w:rFonts w:hint="cs"/>
                              </w:rPr>
                              <w:t>ä</w:t>
                            </w:r>
                            <w:r w:rsidRPr="00C95618">
                              <w:t>nde ihres Lebens</w:t>
                            </w:r>
                            <w:r w:rsidR="00CC6827">
                              <w:t>-</w:t>
                            </w:r>
                          </w:p>
                          <w:p w14:paraId="55F0751C" w14:textId="73169573" w:rsidR="00F12D0C" w:rsidRPr="0098366B" w:rsidRDefault="00F12D0C" w:rsidP="00F12D0C">
                            <w:pPr>
                              <w:pStyle w:val="Hervorhebung1"/>
                            </w:pPr>
                            <w:proofErr w:type="spellStart"/>
                            <w:r w:rsidRPr="00C95618">
                              <w:t>endes</w:t>
                            </w:r>
                            <w:proofErr w:type="spellEnd"/>
                            <w:r>
                              <w:t xml:space="preserve"> zu entscheiden.</w:t>
                            </w:r>
                          </w:p>
                        </w:txbxContent>
                      </wps:txbx>
                      <wps:bodyPr rot="0" vert="horz" wrap="square" lIns="1044000" tIns="45720" rIns="9000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51BC69" id="_x0000_t202" coordsize="21600,21600" o:spt="202" path="m,l,21600r21600,l21600,xe">
                <v:stroke joinstyle="miter"/>
                <v:path gradientshapeok="t" o:connecttype="rect"/>
              </v:shapetype>
              <v:shape id="Text Box 1109793368" o:spid="_x0000_s1026" type="#_x0000_t202" alt="&quot;&quot;" style="position:absolute;left:0;text-align:left;margin-left:0;margin-top:142.55pt;width:407.5pt;height:51.75pt;z-index:251658240;visibility:visible;mso-wrap-style:square;mso-width-percent:0;mso-height-percent:0;mso-wrap-distance-left:3.7pt;mso-wrap-distance-top:3.6pt;mso-wrap-distance-right:3.7pt;mso-wrap-distance-bottom:3.6pt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" o:allowoverlap="f" filled="f" stroked="f">
                <v:textbox inset="29mm,,2.5mm">
                  <w:txbxContent>
                    <w:p w14:paraId="3CE03239" w14:textId="77777777" w:rsidR="00CC6827" w:rsidRDefault="00F12D0C" w:rsidP="00F12D0C">
                      <w:pPr>
                        <w:pStyle w:val="Hervorhebung1"/>
                      </w:pPr>
                      <w:r w:rsidRPr="00C95618">
                        <w:t xml:space="preserve">Das Erwachsenenschutzgesetz </w:t>
                      </w:r>
                      <w:r>
                        <w:t xml:space="preserve">ermöglicht es </w:t>
                      </w:r>
                      <w:r w:rsidRPr="00C95618">
                        <w:t xml:space="preserve">Menschen mit </w:t>
                      </w:r>
                    </w:p>
                    <w:p w14:paraId="447055B6" w14:textId="77777777" w:rsidR="00CC6827" w:rsidRDefault="00F12D0C" w:rsidP="00F12D0C">
                      <w:pPr>
                        <w:pStyle w:val="Hervorhebung1"/>
                      </w:pPr>
                      <w:r w:rsidRPr="00C95618">
                        <w:t>kognitiver Beeintr</w:t>
                      </w:r>
                      <w:r w:rsidRPr="00C95618">
                        <w:rPr>
                          <w:rFonts w:hint="cs"/>
                        </w:rPr>
                        <w:t>ä</w:t>
                      </w:r>
                      <w:r w:rsidRPr="00C95618">
                        <w:t>chtigung</w:t>
                      </w:r>
                      <w:r>
                        <w:t>, über</w:t>
                      </w:r>
                      <w:r w:rsidRPr="00C95618">
                        <w:t xml:space="preserve"> </w:t>
                      </w:r>
                      <w:r>
                        <w:t xml:space="preserve">die </w:t>
                      </w:r>
                      <w:r w:rsidRPr="00C95618">
                        <w:t>Umst</w:t>
                      </w:r>
                      <w:r w:rsidRPr="00C95618">
                        <w:rPr>
                          <w:rFonts w:hint="cs"/>
                        </w:rPr>
                        <w:t>ä</w:t>
                      </w:r>
                      <w:r w:rsidRPr="00C95618">
                        <w:t>nde ihres Lebens</w:t>
                      </w:r>
                      <w:r w:rsidR="00CC6827">
                        <w:t>-</w:t>
                      </w:r>
                    </w:p>
                    <w:p w14:paraId="55F0751C" w14:textId="73169573" w:rsidR="00F12D0C" w:rsidRPr="0098366B" w:rsidRDefault="00F12D0C" w:rsidP="00F12D0C">
                      <w:pPr>
                        <w:pStyle w:val="Hervorhebung1"/>
                      </w:pPr>
                      <w:r w:rsidRPr="00C95618">
                        <w:t>endes</w:t>
                      </w:r>
                      <w:r>
                        <w:t xml:space="preserve"> zu entscheiden.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C565F" w:rsidRPr="00E02C6B">
        <w:t>Die Achtung jeder Person als Rechtssubjekt</w:t>
      </w:r>
      <w:r w:rsidR="006644ED" w:rsidRPr="00E02C6B">
        <w:t xml:space="preserve"> muss gerade</w:t>
      </w:r>
      <w:r w:rsidR="005D113D">
        <w:t xml:space="preserve"> bei Fragen rund um das Sterben </w:t>
      </w:r>
      <w:r w:rsidR="006644ED" w:rsidRPr="00E02C6B">
        <w:t xml:space="preserve">gelten – </w:t>
      </w:r>
      <w:r w:rsidR="00440D56">
        <w:t xml:space="preserve">sie </w:t>
      </w:r>
      <w:r w:rsidR="006644ED" w:rsidRPr="00E02C6B">
        <w:t xml:space="preserve">wird aber </w:t>
      </w:r>
      <w:r w:rsidR="002F13BB">
        <w:t>oft</w:t>
      </w:r>
      <w:r w:rsidR="002F13BB" w:rsidRPr="00E02C6B">
        <w:t xml:space="preserve"> </w:t>
      </w:r>
      <w:r w:rsidR="006644ED" w:rsidRPr="00E02C6B">
        <w:t>in dieser existen</w:t>
      </w:r>
      <w:r w:rsidR="00440D56">
        <w:t>z</w:t>
      </w:r>
      <w:r w:rsidR="006644ED" w:rsidRPr="00E02C6B">
        <w:t>iellen Situation am deutlichsten infrage gestellt.</w:t>
      </w:r>
      <w:r w:rsidR="00EC565F" w:rsidRPr="00E02C6B">
        <w:t xml:space="preserve"> Die </w:t>
      </w:r>
      <w:proofErr w:type="spellStart"/>
      <w:r w:rsidR="00EC565F" w:rsidRPr="00E02C6B">
        <w:t>Monitoringprozesse</w:t>
      </w:r>
      <w:proofErr w:type="spellEnd"/>
      <w:r w:rsidR="0069040D">
        <w:t>, welche</w:t>
      </w:r>
      <w:r w:rsidR="00A85F8B">
        <w:t xml:space="preserve"> die </w:t>
      </w:r>
      <w:r w:rsidR="005D113D">
        <w:t xml:space="preserve">Umsetzung der </w:t>
      </w:r>
      <w:r w:rsidR="00EC565F" w:rsidRPr="00E02C6B">
        <w:t xml:space="preserve">BRK </w:t>
      </w:r>
      <w:r w:rsidR="005D113D">
        <w:t>begleiten</w:t>
      </w:r>
      <w:r w:rsidR="00A85F8B">
        <w:t xml:space="preserve">, </w:t>
      </w:r>
      <w:r w:rsidR="00EC565F" w:rsidRPr="00E02C6B">
        <w:t xml:space="preserve">haben inzwischen in </w:t>
      </w:r>
      <w:r w:rsidR="00A85F8B">
        <w:t>mehreren</w:t>
      </w:r>
      <w:r w:rsidR="00EC565F" w:rsidRPr="00E02C6B">
        <w:t xml:space="preserve"> Ländern zu einer Stärkung der Selbstbestimmungsrechte </w:t>
      </w:r>
      <w:r w:rsidR="00A85F8B">
        <w:t xml:space="preserve">geführt. </w:t>
      </w:r>
      <w:r w:rsidR="003D5067">
        <w:t>Neu erfasst wurden auch die</w:t>
      </w:r>
      <w:r w:rsidR="00EC565F" w:rsidRPr="00E02C6B">
        <w:t xml:space="preserve"> Rechtsvorschriften zur gesetzlichen Vertretung </w:t>
      </w:r>
      <w:r w:rsidR="00770C67">
        <w:t>für Menschen mit kognitiver Beeinträchtigung</w:t>
      </w:r>
      <w:r w:rsidR="00EC565F" w:rsidRPr="00E02C6B">
        <w:t xml:space="preserve">. </w:t>
      </w:r>
      <w:r w:rsidR="008B2A71" w:rsidRPr="00E02C6B">
        <w:t>Das Erwachsenenschutzgesetz</w:t>
      </w:r>
      <w:r w:rsidR="008E22FA">
        <w:t>,</w:t>
      </w:r>
      <w:r w:rsidR="003F444B">
        <w:t xml:space="preserve"> das 2013 in der Schweiz in Kraft getreten ist,</w:t>
      </w:r>
      <w:r w:rsidR="008B2A71" w:rsidRPr="00E02C6B">
        <w:t xml:space="preserve"> </w:t>
      </w:r>
      <w:r w:rsidR="004A34C5" w:rsidRPr="00E02C6B">
        <w:t xml:space="preserve">spricht ihnen deutliche Entscheidungskompetenzen </w:t>
      </w:r>
      <w:r w:rsidR="003F444B">
        <w:t xml:space="preserve">zu </w:t>
      </w:r>
      <w:r w:rsidR="004A34C5" w:rsidRPr="00E02C6B">
        <w:t xml:space="preserve">in Bezug auf medizinische Behandlungsentscheidungen und </w:t>
      </w:r>
      <w:r w:rsidR="00770C67">
        <w:t>die</w:t>
      </w:r>
      <w:r w:rsidR="004A34C5" w:rsidRPr="00E02C6B">
        <w:t xml:space="preserve"> Umstände ihres Lebensendes (</w:t>
      </w:r>
      <w:r w:rsidR="008B2A71" w:rsidRPr="00E02C6B">
        <w:t xml:space="preserve">Naef </w:t>
      </w:r>
      <w:r w:rsidR="00725494">
        <w:t>et al.</w:t>
      </w:r>
      <w:r w:rsidR="008B2A71" w:rsidRPr="00E02C6B">
        <w:t>,</w:t>
      </w:r>
      <w:r w:rsidR="004A34C5" w:rsidRPr="00E02C6B">
        <w:t xml:space="preserve"> </w:t>
      </w:r>
      <w:r w:rsidR="008B2A71" w:rsidRPr="00E02C6B">
        <w:t>2012).</w:t>
      </w:r>
      <w:r w:rsidR="004A34C5" w:rsidRPr="00E02C6B">
        <w:t xml:space="preserve"> </w:t>
      </w:r>
      <w:r w:rsidR="00EC565F" w:rsidRPr="00E02C6B">
        <w:t xml:space="preserve">In Deutschland gilt seit 2023 ein </w:t>
      </w:r>
      <w:r w:rsidR="00770C67">
        <w:t>neues</w:t>
      </w:r>
      <w:r w:rsidR="00EC565F" w:rsidRPr="00E02C6B">
        <w:t xml:space="preserve"> Betreuungsrecht, das dem Prinzip der unterstützten Entscheidungsfindung deutlicher Rechnung trägt</w:t>
      </w:r>
      <w:r w:rsidR="00014EC7">
        <w:t xml:space="preserve"> als der stellvertretenden Entscheidungsfindung</w:t>
      </w:r>
      <w:r w:rsidR="004019DB">
        <w:t xml:space="preserve">. </w:t>
      </w:r>
    </w:p>
    <w:p w14:paraId="7FF1FBBE" w14:textId="3FA156D3" w:rsidR="00792284" w:rsidRPr="00E02C6B" w:rsidRDefault="00404AAF" w:rsidP="008019AD">
      <w:pPr>
        <w:pStyle w:val="Textkrper"/>
        <w:ind w:firstLine="0"/>
      </w:pPr>
      <w:r>
        <w:t>Neben der</w:t>
      </w:r>
      <w:r w:rsidR="004019DB">
        <w:t xml:space="preserve"> Rechts- und Handlungsfähigkeit </w:t>
      </w:r>
      <w:r w:rsidR="006C63FA">
        <w:t xml:space="preserve">wird </w:t>
      </w:r>
      <w:r w:rsidR="00754A9F">
        <w:t xml:space="preserve">in Fachkreisen </w:t>
      </w:r>
      <w:r w:rsidR="006C63FA">
        <w:t xml:space="preserve">neu </w:t>
      </w:r>
      <w:r w:rsidR="005D113D">
        <w:t>über das Prinzip der</w:t>
      </w:r>
      <w:r w:rsidR="004019DB">
        <w:t xml:space="preserve"> informierten Einwilligung </w:t>
      </w:r>
      <w:r w:rsidR="000873AD">
        <w:t>di</w:t>
      </w:r>
      <w:r w:rsidR="00F533E9">
        <w:t>skutiert</w:t>
      </w:r>
      <w:r w:rsidR="004019DB">
        <w:t>.</w:t>
      </w:r>
      <w:r w:rsidR="005D113D">
        <w:t xml:space="preserve"> Dieses Prinzip aus der Medizinethik sieht vor, dass für jeden medizinischen Eingriff die betreffende Person vorab umfassend und den individuellen Möglichkeiten entsprechend informiert sein muss über den Eingriff</w:t>
      </w:r>
      <w:r w:rsidR="00A2602B">
        <w:t xml:space="preserve">, dessen </w:t>
      </w:r>
      <w:r w:rsidR="005D113D">
        <w:t xml:space="preserve">möglichen Risiken und Folgen. </w:t>
      </w:r>
      <w:r w:rsidR="00C12BA5">
        <w:t xml:space="preserve">An dieser Stelle </w:t>
      </w:r>
      <w:r w:rsidR="005D113D">
        <w:t>kommt die sogenannte</w:t>
      </w:r>
      <w:r w:rsidR="00567B3C">
        <w:t xml:space="preserve"> </w:t>
      </w:r>
      <w:r w:rsidR="004019DB">
        <w:t xml:space="preserve">Einwilligungsfähigkeit </w:t>
      </w:r>
      <w:r w:rsidR="005D113D">
        <w:t>als</w:t>
      </w:r>
      <w:r w:rsidR="00567B3C">
        <w:t xml:space="preserve"> </w:t>
      </w:r>
      <w:r w:rsidR="004019DB">
        <w:t>Dimension der Rechtsfähigkeit</w:t>
      </w:r>
      <w:r w:rsidR="005D113D">
        <w:t xml:space="preserve"> ins Spiel: Eine Einwilligung ist nur gültig, wenn die jeweilige Person als einwilligungsfähig gilt</w:t>
      </w:r>
      <w:r w:rsidR="009101D5">
        <w:t>;</w:t>
      </w:r>
      <w:r w:rsidR="005D113D">
        <w:t xml:space="preserve"> d</w:t>
      </w:r>
      <w:r w:rsidR="009101D5">
        <w:t xml:space="preserve">as </w:t>
      </w:r>
      <w:r w:rsidR="005D113D">
        <w:t>h</w:t>
      </w:r>
      <w:r w:rsidR="009101D5">
        <w:t>eisst,</w:t>
      </w:r>
      <w:r w:rsidR="005D113D">
        <w:t xml:space="preserve"> wenn sie kognitiv und emotional in der Lage ist, einer Entscheidung aktiv und um alle Konsequenzen wissend zuzustimmen oder diese abzulehnen</w:t>
      </w:r>
      <w:r w:rsidR="00B565BA">
        <w:t xml:space="preserve">. </w:t>
      </w:r>
      <w:r w:rsidR="005D113D">
        <w:t xml:space="preserve">Die Schwierigkeit besteht nun aber darin, dass «Einwilligungsfähigkeit» </w:t>
      </w:r>
      <w:r w:rsidR="004019DB">
        <w:t>nicht so eindeutig bestimmbar</w:t>
      </w:r>
      <w:r w:rsidR="005D113D">
        <w:t xml:space="preserve"> ist</w:t>
      </w:r>
      <w:r w:rsidR="00E2005E">
        <w:t>,</w:t>
      </w:r>
      <w:r w:rsidR="004019DB">
        <w:t xml:space="preserve"> wie </w:t>
      </w:r>
      <w:r w:rsidR="00B565BA">
        <w:t xml:space="preserve">es </w:t>
      </w:r>
      <w:r w:rsidR="004019DB">
        <w:t xml:space="preserve">die lange vorherrschende Praxis einer pauschalen Infragestellung der Einwilligungsfähigkeit bei einer kognitiven Beeinträchtigung </w:t>
      </w:r>
      <w:r w:rsidR="00052F66">
        <w:t>nahelegt</w:t>
      </w:r>
      <w:r w:rsidR="004019DB">
        <w:t xml:space="preserve">. Vielmehr </w:t>
      </w:r>
      <w:r w:rsidR="00F27A04">
        <w:t xml:space="preserve">existieren </w:t>
      </w:r>
      <w:r w:rsidR="00850FFB">
        <w:t>verschiedene Ansätze zum Verständnis von «Einwilligungsfähigkeit»: Ein</w:t>
      </w:r>
      <w:r w:rsidR="004019DB">
        <w:t xml:space="preserve"> funktionalistische</w:t>
      </w:r>
      <w:r w:rsidR="00850FFB">
        <w:t>s Verständnis betont die</w:t>
      </w:r>
      <w:r w:rsidR="004019DB">
        <w:t xml:space="preserve"> </w:t>
      </w:r>
      <w:r w:rsidR="00770C67">
        <w:t xml:space="preserve">individuellen </w:t>
      </w:r>
      <w:r w:rsidR="00850FFB">
        <w:t xml:space="preserve">(vor allem kognitiven) </w:t>
      </w:r>
      <w:r w:rsidR="004019DB">
        <w:t xml:space="preserve">Fähigkeiten </w:t>
      </w:r>
      <w:r w:rsidR="00850FFB">
        <w:t>einer Person. Statusorientierte Ansätze dagegen machen die «Einwilligungsfähigkeit»</w:t>
      </w:r>
      <w:r w:rsidR="003D2177">
        <w:t xml:space="preserve"> </w:t>
      </w:r>
      <w:r w:rsidR="003D2177" w:rsidRPr="00491FFA">
        <w:t>an</w:t>
      </w:r>
      <w:r w:rsidR="004E515D" w:rsidRPr="00491FFA">
        <w:t xml:space="preserve"> einem bestimmten Status einer Person</w:t>
      </w:r>
      <w:r w:rsidR="0004218D" w:rsidRPr="00491FFA">
        <w:t xml:space="preserve"> fest</w:t>
      </w:r>
      <w:r w:rsidR="004E515D" w:rsidRPr="00491FFA">
        <w:t>, z</w:t>
      </w:r>
      <w:r w:rsidR="0004218D" w:rsidRPr="00491FFA">
        <w:t xml:space="preserve">um </w:t>
      </w:r>
      <w:r w:rsidR="004E515D" w:rsidRPr="00491FFA">
        <w:t>B</w:t>
      </w:r>
      <w:r w:rsidR="0004218D" w:rsidRPr="00491FFA">
        <w:t>eispiel</w:t>
      </w:r>
      <w:r w:rsidR="004E515D" w:rsidRPr="00491FFA">
        <w:t xml:space="preserve"> </w:t>
      </w:r>
      <w:r w:rsidR="0004218D" w:rsidRPr="00491FFA">
        <w:t xml:space="preserve">am </w:t>
      </w:r>
      <w:r w:rsidR="004E515D" w:rsidRPr="00491FFA">
        <w:t xml:space="preserve">Lebensalter. Wieder andere Ansätze </w:t>
      </w:r>
      <w:r w:rsidR="00491FFA">
        <w:t xml:space="preserve">beruhen </w:t>
      </w:r>
      <w:r w:rsidR="004E515D">
        <w:t xml:space="preserve">auf </w:t>
      </w:r>
      <w:r w:rsidR="00491FFA">
        <w:t xml:space="preserve">dem </w:t>
      </w:r>
      <w:r w:rsidR="004E515D">
        <w:t>Ergebnis einer Entscheidung (</w:t>
      </w:r>
      <w:proofErr w:type="spellStart"/>
      <w:r w:rsidR="004019DB" w:rsidRPr="00BC64CA">
        <w:rPr>
          <w:i/>
          <w:iCs/>
        </w:rPr>
        <w:t>outcome</w:t>
      </w:r>
      <w:proofErr w:type="spellEnd"/>
      <w:r w:rsidR="00D4224D">
        <w:t>-</w:t>
      </w:r>
      <w:r w:rsidR="004019DB">
        <w:t>orientierte</w:t>
      </w:r>
      <w:r w:rsidR="00F27A04">
        <w:t xml:space="preserve"> Ansätze</w:t>
      </w:r>
      <w:r w:rsidR="004E515D">
        <w:t>) und fragen danach, ob eine getroffene Entscheidung Schaden anrichten würde.</w:t>
      </w:r>
      <w:r w:rsidR="00F27A04">
        <w:t xml:space="preserve"> </w:t>
      </w:r>
      <w:r w:rsidR="004E515D">
        <w:t>All d</w:t>
      </w:r>
      <w:r w:rsidR="00F27A04">
        <w:t xml:space="preserve">iese Ansätze </w:t>
      </w:r>
      <w:r w:rsidR="006F3246">
        <w:t>ignorieren</w:t>
      </w:r>
      <w:r w:rsidR="00F27A04">
        <w:t xml:space="preserve"> die </w:t>
      </w:r>
      <w:r w:rsidR="00D4224D">
        <w:t>S</w:t>
      </w:r>
      <w:r w:rsidR="00F27A04">
        <w:t xml:space="preserve">ituationsgebundenheit und </w:t>
      </w:r>
      <w:r w:rsidR="00D457CA">
        <w:t xml:space="preserve">Flüchtigkeit </w:t>
      </w:r>
      <w:r w:rsidR="00F27A04">
        <w:t xml:space="preserve">der </w:t>
      </w:r>
      <w:r w:rsidR="00F27A04">
        <w:lastRenderedPageBreak/>
        <w:t xml:space="preserve">Einwilligungsfähigkeit eines Menschen: Alle Menschen sind </w:t>
      </w:r>
      <w:r w:rsidR="007A5746">
        <w:t xml:space="preserve">bei </w:t>
      </w:r>
      <w:r w:rsidR="00770C67">
        <w:t>existen</w:t>
      </w:r>
      <w:r w:rsidR="00157F81">
        <w:t>z</w:t>
      </w:r>
      <w:r w:rsidR="00770C67">
        <w:t>iellen</w:t>
      </w:r>
      <w:r w:rsidR="00F27A04">
        <w:t xml:space="preserve"> Entscheidung</w:t>
      </w:r>
      <w:r w:rsidR="00770C67">
        <w:t xml:space="preserve">en </w:t>
      </w:r>
      <w:r w:rsidR="004070A1">
        <w:t xml:space="preserve">geprägt </w:t>
      </w:r>
      <w:r w:rsidR="00F27A04">
        <w:t xml:space="preserve">von </w:t>
      </w:r>
      <w:r w:rsidR="00351B98">
        <w:t>einer Zwiespäl</w:t>
      </w:r>
      <w:r w:rsidR="00AC6B09">
        <w:t>t</w:t>
      </w:r>
      <w:r w:rsidR="00351B98">
        <w:t>igkeit</w:t>
      </w:r>
      <w:r w:rsidR="004070A1">
        <w:t>, von</w:t>
      </w:r>
      <w:r w:rsidR="00CB68A2">
        <w:t xml:space="preserve"> in Konflikt stehenden</w:t>
      </w:r>
      <w:r w:rsidR="004070A1">
        <w:t xml:space="preserve"> </w:t>
      </w:r>
      <w:r w:rsidR="00F27A04">
        <w:t xml:space="preserve">Motiven und Einflüssen durch andere. </w:t>
      </w:r>
      <w:r w:rsidR="00D44FF6">
        <w:t xml:space="preserve">Die </w:t>
      </w:r>
      <w:r w:rsidR="00F27A04">
        <w:t xml:space="preserve">Einwilligungsfähigkeit ist daher ein situatives, </w:t>
      </w:r>
      <w:r w:rsidR="00131769">
        <w:t>wandelbares</w:t>
      </w:r>
      <w:r w:rsidR="00F27A04">
        <w:t xml:space="preserve"> Phänomen</w:t>
      </w:r>
      <w:r w:rsidR="00131769">
        <w:t>.</w:t>
      </w:r>
      <w:r w:rsidR="00F27A04">
        <w:t xml:space="preserve"> </w:t>
      </w:r>
      <w:r w:rsidR="004E515D">
        <w:t>Bei der</w:t>
      </w:r>
      <w:r w:rsidR="00F27A04">
        <w:t xml:space="preserve"> Feststellung von </w:t>
      </w:r>
      <w:proofErr w:type="spellStart"/>
      <w:r w:rsidR="00F27A04">
        <w:t>Einwilligungs</w:t>
      </w:r>
      <w:proofErr w:type="spellEnd"/>
      <w:r w:rsidR="00F27A04">
        <w:t>(</w:t>
      </w:r>
      <w:r w:rsidR="00AB7FA3">
        <w:t>-</w:t>
      </w:r>
      <w:proofErr w:type="spellStart"/>
      <w:r w:rsidR="00F27A04">
        <w:t>un</w:t>
      </w:r>
      <w:proofErr w:type="spellEnd"/>
      <w:r w:rsidR="00AB7FA3">
        <w:t>-</w:t>
      </w:r>
      <w:r w:rsidR="00F27A04">
        <w:t>)</w:t>
      </w:r>
      <w:proofErr w:type="spellStart"/>
      <w:r w:rsidR="00F27A04">
        <w:t>fähigkeit</w:t>
      </w:r>
      <w:proofErr w:type="spellEnd"/>
      <w:r w:rsidR="00F27A04">
        <w:t xml:space="preserve"> </w:t>
      </w:r>
      <w:r w:rsidR="004E515D">
        <w:t>steht meist die</w:t>
      </w:r>
      <w:r w:rsidR="00F27A04">
        <w:t xml:space="preserve"> rechtliche Eindeutigkeit im Interesse </w:t>
      </w:r>
      <w:r w:rsidR="004E515D">
        <w:t xml:space="preserve">anderer Akteure </w:t>
      </w:r>
      <w:r w:rsidR="00AA5BBF">
        <w:t xml:space="preserve">im Vordergrund </w:t>
      </w:r>
      <w:r w:rsidR="004E515D">
        <w:t>(z.</w:t>
      </w:r>
      <w:r w:rsidR="000E492C">
        <w:rPr>
          <w:rFonts w:hint="cs"/>
        </w:rPr>
        <w:t> </w:t>
      </w:r>
      <w:r w:rsidR="004E515D">
        <w:t>B. der rechtlichen Betreuung, der Organisation)</w:t>
      </w:r>
      <w:r w:rsidR="00F27A04">
        <w:t xml:space="preserve">. Einwilligungsfähigkeit ist eher ein funktionales Konstrukt als ein eindeutig feststellbares, stabiles Merkmal einer Person (Schäper, 2018). </w:t>
      </w:r>
      <w:r w:rsidR="004E515D">
        <w:t xml:space="preserve">Daher </w:t>
      </w:r>
      <w:r w:rsidR="00347DF6">
        <w:t xml:space="preserve">ist die </w:t>
      </w:r>
      <w:r w:rsidR="00F27A04">
        <w:t xml:space="preserve">Einwilligungsfähigkeit </w:t>
      </w:r>
      <w:r w:rsidR="00770C67">
        <w:t>«</w:t>
      </w:r>
      <w:r w:rsidR="003B0A8C" w:rsidRPr="003B0A8C">
        <w:t>in wie auch immer gebrochener, vielleicht nur noch rudiment</w:t>
      </w:r>
      <w:r w:rsidR="003B0A8C" w:rsidRPr="003B0A8C">
        <w:rPr>
          <w:rFonts w:hint="cs"/>
        </w:rPr>
        <w:t>ä</w:t>
      </w:r>
      <w:r w:rsidR="003B0A8C" w:rsidRPr="003B0A8C">
        <w:t xml:space="preserve">rer Form </w:t>
      </w:r>
      <w:r w:rsidR="008C111A">
        <w:t>[</w:t>
      </w:r>
      <w:r w:rsidR="008C111A">
        <w:rPr>
          <w:rFonts w:hint="cs"/>
        </w:rPr>
        <w:t>…</w:t>
      </w:r>
      <w:r w:rsidR="008C111A">
        <w:t xml:space="preserve">] </w:t>
      </w:r>
      <w:r w:rsidR="003B0A8C" w:rsidRPr="003B0A8C">
        <w:t>vorauszusetzen</w:t>
      </w:r>
      <w:r w:rsidR="00770C67">
        <w:t>»</w:t>
      </w:r>
      <w:r w:rsidR="003B0A8C" w:rsidRPr="003B0A8C">
        <w:t xml:space="preserve"> (Bielefeldt, 2017, </w:t>
      </w:r>
      <w:r w:rsidR="00820C8C">
        <w:t>S.</w:t>
      </w:r>
      <w:r w:rsidR="00820C8C">
        <w:rPr>
          <w:rFonts w:hint="cs"/>
        </w:rPr>
        <w:t> </w:t>
      </w:r>
      <w:r w:rsidR="003B0A8C" w:rsidRPr="003B0A8C">
        <w:t>58)</w:t>
      </w:r>
      <w:r w:rsidR="003B0A8C">
        <w:t>, auch wenn dies den Handlungslogiken von Organisationen widerspricht, die primär daran interessiert sind, sich gegen Haftungsrisiken abzusichern.</w:t>
      </w:r>
    </w:p>
    <w:p w14:paraId="0153920D" w14:textId="101A13D4" w:rsidR="00A77657" w:rsidRPr="00E02C6B" w:rsidRDefault="00E02E1D" w:rsidP="003B0A8C">
      <w:pPr>
        <w:pStyle w:val="berschrift1"/>
      </w:pPr>
      <w:r>
        <w:t>«</w:t>
      </w:r>
      <w:proofErr w:type="spellStart"/>
      <w:r w:rsidR="00A77657" w:rsidRPr="00E02E1D">
        <w:t>Supported</w:t>
      </w:r>
      <w:proofErr w:type="spellEnd"/>
      <w:r w:rsidR="00A77657" w:rsidRPr="00E02E1D">
        <w:t xml:space="preserve"> </w:t>
      </w:r>
      <w:proofErr w:type="spellStart"/>
      <w:r w:rsidR="00A77657" w:rsidRPr="00E02E1D">
        <w:t>decision-making</w:t>
      </w:r>
      <w:proofErr w:type="spellEnd"/>
      <w:r>
        <w:t>»</w:t>
      </w:r>
      <w:r w:rsidR="00A77657" w:rsidRPr="00E02C6B">
        <w:t xml:space="preserve"> – ein prozessorientiertes Handlungskonzept</w:t>
      </w:r>
    </w:p>
    <w:p w14:paraId="7E16B118" w14:textId="62BE2A7B" w:rsidR="003B0A8C" w:rsidRPr="00E02C6B" w:rsidRDefault="00BE71EE" w:rsidP="00804B8A">
      <w:pPr>
        <w:pStyle w:val="Textkrper"/>
        <w:ind w:firstLine="0"/>
      </w:pPr>
      <w:r>
        <w:t>D</w:t>
      </w:r>
      <w:r w:rsidR="00A77657" w:rsidRPr="00E02C6B">
        <w:t xml:space="preserve">ie normativen Vorgaben der BRK </w:t>
      </w:r>
      <w:r w:rsidR="00094DDE">
        <w:t>haben bewirkt, dass</w:t>
      </w:r>
      <w:r w:rsidR="00094DDE" w:rsidRPr="00E02C6B">
        <w:t xml:space="preserve"> </w:t>
      </w:r>
      <w:r w:rsidR="00792284" w:rsidRPr="00E02C6B">
        <w:t>in den letzten Jahren</w:t>
      </w:r>
      <w:r w:rsidR="00770C67">
        <w:t xml:space="preserve"> neue</w:t>
      </w:r>
      <w:r w:rsidR="00792284" w:rsidRPr="00E02C6B">
        <w:t xml:space="preserve"> </w:t>
      </w:r>
      <w:r w:rsidR="003B0A8C">
        <w:t>F</w:t>
      </w:r>
      <w:r w:rsidR="00792284" w:rsidRPr="00E02C6B">
        <w:t xml:space="preserve">achkonzepte </w:t>
      </w:r>
      <w:r w:rsidR="00094DDE">
        <w:t>für</w:t>
      </w:r>
      <w:r w:rsidR="00792284" w:rsidRPr="00E02C6B">
        <w:t xml:space="preserve"> Einwilligungs- und Entscheidungsprozesse entstanden</w:t>
      </w:r>
      <w:r w:rsidR="00094DDE">
        <w:t xml:space="preserve"> sind</w:t>
      </w:r>
      <w:r w:rsidR="00792284" w:rsidRPr="00E02C6B">
        <w:t xml:space="preserve">. </w:t>
      </w:r>
      <w:r w:rsidR="00094DDE">
        <w:t>K</w:t>
      </w:r>
      <w:r w:rsidR="003B0A8C">
        <w:t xml:space="preserve">ein Konzept </w:t>
      </w:r>
      <w:r w:rsidR="009656DC">
        <w:t>garantiert</w:t>
      </w:r>
      <w:r w:rsidR="003B0A8C">
        <w:t xml:space="preserve"> dafür, dass in</w:t>
      </w:r>
      <w:r w:rsidR="009656DC">
        <w:t xml:space="preserve"> ihrer</w:t>
      </w:r>
      <w:r w:rsidR="003B0A8C">
        <w:t xml:space="preserve"> Umsetzung </w:t>
      </w:r>
      <w:r w:rsidR="008F6197">
        <w:t xml:space="preserve">keine </w:t>
      </w:r>
      <w:r w:rsidR="003B0A8C">
        <w:t xml:space="preserve">Manipulation und Entmündigung </w:t>
      </w:r>
      <w:r w:rsidR="008F6197">
        <w:t>vorkommen</w:t>
      </w:r>
      <w:r w:rsidR="00753E08">
        <w:t>.</w:t>
      </w:r>
      <w:r w:rsidR="003B0A8C">
        <w:t xml:space="preserve"> </w:t>
      </w:r>
      <w:r w:rsidR="003B0A8C" w:rsidRPr="003B0A8C">
        <w:t xml:space="preserve">Kohn, Blumenthal und Campbell (2014) </w:t>
      </w:r>
      <w:r w:rsidR="003B0A8C">
        <w:t xml:space="preserve">betonen </w:t>
      </w:r>
      <w:r w:rsidR="00770C67">
        <w:t>wiederum</w:t>
      </w:r>
      <w:r w:rsidR="003738F5">
        <w:t>, wie wichtig</w:t>
      </w:r>
      <w:r w:rsidR="00770C67">
        <w:t xml:space="preserve"> </w:t>
      </w:r>
      <w:r w:rsidR="003B0A8C">
        <w:t xml:space="preserve">die </w:t>
      </w:r>
      <w:r w:rsidR="003B0A8C" w:rsidRPr="003B0A8C">
        <w:t>Organisationskultu</w:t>
      </w:r>
      <w:r w:rsidR="001C5BE8">
        <w:t>r</w:t>
      </w:r>
      <w:r w:rsidR="003B0A8C" w:rsidRPr="003B0A8C">
        <w:t xml:space="preserve"> und </w:t>
      </w:r>
      <w:r w:rsidR="003738F5" w:rsidRPr="003B0A8C">
        <w:t>d</w:t>
      </w:r>
      <w:r w:rsidR="003738F5">
        <w:t xml:space="preserve">ie </w:t>
      </w:r>
      <w:r w:rsidR="003B0A8C" w:rsidRPr="003B0A8C">
        <w:t xml:space="preserve">professionelle </w:t>
      </w:r>
      <w:r w:rsidR="003B0A8C">
        <w:t>Haltung der unterstützenden Person</w:t>
      </w:r>
      <w:r w:rsidR="00BD67E5">
        <w:t xml:space="preserve"> ist</w:t>
      </w:r>
      <w:r w:rsidR="003B0A8C">
        <w:t>. Echte Unterstützung in der Entscheidungsfindung muss in e</w:t>
      </w:r>
      <w:r w:rsidR="003B0A8C" w:rsidRPr="003B0A8C">
        <w:t>ine Kultur der Offenheit f</w:t>
      </w:r>
      <w:r w:rsidR="003B0A8C" w:rsidRPr="003B0A8C">
        <w:rPr>
          <w:rFonts w:hint="cs"/>
        </w:rPr>
        <w:t>ü</w:t>
      </w:r>
      <w:r w:rsidR="003B0A8C" w:rsidRPr="003B0A8C">
        <w:t>r Resonanz und Partizipation eingebettet sein. Das Konzept de</w:t>
      </w:r>
      <w:r w:rsidR="00512B58">
        <w:t xml:space="preserve">s </w:t>
      </w:r>
      <w:r w:rsidR="00512B58" w:rsidRPr="00804B8A">
        <w:rPr>
          <w:i/>
          <w:iCs/>
        </w:rPr>
        <w:t xml:space="preserve">support </w:t>
      </w:r>
      <w:proofErr w:type="spellStart"/>
      <w:r w:rsidR="00512B58" w:rsidRPr="00A11D8A">
        <w:rPr>
          <w:i/>
          <w:iCs/>
        </w:rPr>
        <w:t>for</w:t>
      </w:r>
      <w:proofErr w:type="spellEnd"/>
      <w:r w:rsidR="00512B58" w:rsidRPr="00804B8A">
        <w:rPr>
          <w:i/>
          <w:iCs/>
        </w:rPr>
        <w:t xml:space="preserve"> </w:t>
      </w:r>
      <w:proofErr w:type="spellStart"/>
      <w:r w:rsidR="00512B58" w:rsidRPr="00804B8A">
        <w:rPr>
          <w:i/>
          <w:iCs/>
        </w:rPr>
        <w:t>decision-making</w:t>
      </w:r>
      <w:proofErr w:type="spellEnd"/>
      <w:r w:rsidR="00512B58">
        <w:t xml:space="preserve"> von </w:t>
      </w:r>
      <w:proofErr w:type="spellStart"/>
      <w:r w:rsidR="003B0A8C" w:rsidRPr="003B0A8C">
        <w:t>Bigby</w:t>
      </w:r>
      <w:proofErr w:type="spellEnd"/>
      <w:r w:rsidR="003B0A8C" w:rsidRPr="003B0A8C">
        <w:t xml:space="preserve"> </w:t>
      </w:r>
      <w:r w:rsidR="00512B58">
        <w:t>und</w:t>
      </w:r>
      <w:r w:rsidR="003B0A8C" w:rsidRPr="003B0A8C">
        <w:t xml:space="preserve"> Douglas</w:t>
      </w:r>
      <w:r w:rsidR="00512B58">
        <w:t xml:space="preserve"> (</w:t>
      </w:r>
      <w:r w:rsidR="003B0A8C" w:rsidRPr="003B0A8C">
        <w:t>20</w:t>
      </w:r>
      <w:r w:rsidR="00512B58">
        <w:t>16</w:t>
      </w:r>
      <w:r w:rsidR="003B0A8C" w:rsidRPr="003B0A8C">
        <w:t>)</w:t>
      </w:r>
      <w:r w:rsidR="00512B58">
        <w:t xml:space="preserve"> verdeutlicht</w:t>
      </w:r>
      <w:r w:rsidR="00B113BE">
        <w:t xml:space="preserve">, wie komplex </w:t>
      </w:r>
      <w:r w:rsidR="00DA0E8B">
        <w:t>de</w:t>
      </w:r>
      <w:r w:rsidR="00B113BE">
        <w:t>r</w:t>
      </w:r>
      <w:r w:rsidR="00DA0E8B">
        <w:t xml:space="preserve"> Prozess der Einwilligung </w:t>
      </w:r>
      <w:r w:rsidR="00835891">
        <w:t xml:space="preserve">ist, </w:t>
      </w:r>
      <w:r w:rsidR="00DA0E8B">
        <w:t xml:space="preserve">mit </w:t>
      </w:r>
      <w:r w:rsidR="001B1BD6">
        <w:t xml:space="preserve">den </w:t>
      </w:r>
      <w:r w:rsidR="00DA0E8B">
        <w:t>einzelnen Schritten der gemeinsamen Vergewisserung und Klärung der vielschichtigen Bedingungen einer Entscheidung</w:t>
      </w:r>
      <w:r w:rsidR="0044517F">
        <w:t>.</w:t>
      </w:r>
      <w:r w:rsidR="00DA0E8B">
        <w:t xml:space="preserve"> </w:t>
      </w:r>
      <w:r w:rsidR="00835891">
        <w:t xml:space="preserve">Zudem </w:t>
      </w:r>
      <w:r w:rsidR="004348C2">
        <w:t>zeigt das Konzept</w:t>
      </w:r>
      <w:r w:rsidR="00A62E92">
        <w:t>,</w:t>
      </w:r>
      <w:r w:rsidR="004348C2">
        <w:t xml:space="preserve"> </w:t>
      </w:r>
      <w:r w:rsidR="005B15FA">
        <w:t>dass es in Entscheidungsprozessen oft um weit mehr als nur um eine Entscheidung zu einer bestimmten Ma</w:t>
      </w:r>
      <w:r w:rsidR="00A62E92">
        <w:t>ss</w:t>
      </w:r>
      <w:r w:rsidR="005B15FA">
        <w:t xml:space="preserve">nahme für eine Person geht. Denn </w:t>
      </w:r>
      <w:r w:rsidR="00DA0E8B">
        <w:t>Entscheidungsprozesse</w:t>
      </w:r>
      <w:r w:rsidR="005B15FA">
        <w:t xml:space="preserve"> sind</w:t>
      </w:r>
      <w:r w:rsidR="00DA0E8B">
        <w:t xml:space="preserve"> in organisationale Prozesse </w:t>
      </w:r>
      <w:r w:rsidR="001C5BE8">
        <w:t xml:space="preserve">eingelassen </w:t>
      </w:r>
      <w:r w:rsidR="00DA0E8B">
        <w:t>und auf diese angewiesen</w:t>
      </w:r>
      <w:r w:rsidR="005B15FA">
        <w:t xml:space="preserve">, etwa die Frage der Verfügbarkeit bestimmter Ressourcen für eine gute Unterstützung oder die Frage, wie in der Organisation generell mit Entscheidungen verfahren wird, die die Belange der </w:t>
      </w:r>
      <w:proofErr w:type="spellStart"/>
      <w:proofErr w:type="gramStart"/>
      <w:r w:rsidR="005B15FA">
        <w:t>Bewohner:innen</w:t>
      </w:r>
      <w:proofErr w:type="spellEnd"/>
      <w:proofErr w:type="gramEnd"/>
      <w:r w:rsidR="005B15FA">
        <w:t xml:space="preserve"> unmittelbar betreffen</w:t>
      </w:r>
      <w:r w:rsidR="00DA0E8B">
        <w:t xml:space="preserve">. </w:t>
      </w:r>
    </w:p>
    <w:p w14:paraId="4794E4A6" w14:textId="7FF7DBF4" w:rsidR="00D4224D" w:rsidRDefault="00F71C6E" w:rsidP="009E76C8">
      <w:pPr>
        <w:pStyle w:val="Textkrper"/>
        <w:ind w:firstLine="0"/>
      </w:pPr>
      <w:r w:rsidRPr="00840AB7">
        <w:rPr>
          <w:noProof/>
          <w:lang w:val="en-US"/>
        </w:rPr>
        <mc:AlternateContent>
          <mc:Choice Requires="wps">
            <w:drawing>
              <wp:anchor distT="45720" distB="45720" distL="46990" distR="46990" simplePos="0" relativeHeight="251658241" behindDoc="0" locked="0" layoutInCell="1" allowOverlap="0" wp14:anchorId="6AAF78C2" wp14:editId="3470A0DA">
                <wp:simplePos x="0" y="0"/>
                <wp:positionH relativeFrom="page">
                  <wp:posOffset>0</wp:posOffset>
                </wp:positionH>
                <wp:positionV relativeFrom="paragraph">
                  <wp:posOffset>2540</wp:posOffset>
                </wp:positionV>
                <wp:extent cx="5175250" cy="484505"/>
                <wp:effectExtent l="0" t="0" r="0" b="0"/>
                <wp:wrapTopAndBottom/>
                <wp:docPr id="6" name="Text Box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75250" cy="4845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1904ED" w14:textId="714AD395" w:rsidR="00F71C6E" w:rsidRPr="0098366B" w:rsidRDefault="00475221" w:rsidP="00F71C6E">
                            <w:pPr>
                              <w:pStyle w:val="Hervorhebung1"/>
                            </w:pPr>
                            <w:r>
                              <w:t xml:space="preserve">Unterstützung in der Entscheidungsfindung </w:t>
                            </w:r>
                            <w:r w:rsidR="00626A34">
                              <w:t>muss</w:t>
                            </w:r>
                            <w:r>
                              <w:t xml:space="preserve"> in e</w:t>
                            </w:r>
                            <w:r w:rsidRPr="003B0A8C">
                              <w:t>ine Kultur der Offenheit f</w:t>
                            </w:r>
                            <w:r w:rsidRPr="003B0A8C">
                              <w:rPr>
                                <w:rFonts w:hint="cs"/>
                              </w:rPr>
                              <w:t>ü</w:t>
                            </w:r>
                            <w:r w:rsidRPr="003B0A8C">
                              <w:t>r Resonanz und Partizipation eingebettet</w:t>
                            </w:r>
                            <w:r w:rsidR="00626A34">
                              <w:t xml:space="preserve"> sein</w:t>
                            </w:r>
                            <w:r w:rsidRPr="003B0A8C">
                              <w:t>.</w:t>
                            </w:r>
                          </w:p>
                        </w:txbxContent>
                      </wps:txbx>
                      <wps:bodyPr rot="0" vert="horz" wrap="square" lIns="1044000" tIns="45720" rIns="9000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AF78C2" id="Text Box 6" o:spid="_x0000_s1027" type="#_x0000_t202" alt="&quot;&quot;" style="position:absolute;left:0;text-align:left;margin-left:0;margin-top:.2pt;width:407.5pt;height:38.15pt;z-index:251658241;visibility:visible;mso-wrap-style:square;mso-width-percent:0;mso-height-percent:0;mso-wrap-distance-left:3.7pt;mso-wrap-distance-top:3.6pt;mso-wrap-distance-right:3.7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" o:allowoverlap="f" filled="f" stroked="f">
                <v:textbox inset="29mm,,2.5mm">
                  <w:txbxContent>
                    <w:p w14:paraId="7F1904ED" w14:textId="714AD395" w:rsidR="00F71C6E" w:rsidRPr="0098366B" w:rsidRDefault="00475221" w:rsidP="00F71C6E">
                      <w:pPr>
                        <w:pStyle w:val="Hervorhebung1"/>
                      </w:pPr>
                      <w:r>
                        <w:t xml:space="preserve">Unterstützung in der Entscheidungsfindung </w:t>
                      </w:r>
                      <w:r w:rsidR="00626A34">
                        <w:t>muss</w:t>
                      </w:r>
                      <w:r>
                        <w:t xml:space="preserve"> in e</w:t>
                      </w:r>
                      <w:r w:rsidRPr="003B0A8C">
                        <w:t>ine Kultur der Offenheit f</w:t>
                      </w:r>
                      <w:r w:rsidRPr="003B0A8C">
                        <w:rPr>
                          <w:rFonts w:hint="cs"/>
                        </w:rPr>
                        <w:t>ü</w:t>
                      </w:r>
                      <w:r w:rsidRPr="003B0A8C">
                        <w:t>r Resonanz und Partizipation eingebettet</w:t>
                      </w:r>
                      <w:r w:rsidR="00626A34">
                        <w:t xml:space="preserve"> sein</w:t>
                      </w:r>
                      <w:r w:rsidRPr="003B0A8C"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F31F15">
        <w:t xml:space="preserve">Die </w:t>
      </w:r>
      <w:r w:rsidR="00100169" w:rsidRPr="00E02C6B">
        <w:t>Aufgabe der Leitung von sozialen Organisationen ist es</w:t>
      </w:r>
      <w:r w:rsidR="00DA0E8B">
        <w:t xml:space="preserve"> daher</w:t>
      </w:r>
      <w:r w:rsidR="00100169" w:rsidRPr="00E02C6B">
        <w:t xml:space="preserve">, Räume </w:t>
      </w:r>
      <w:r w:rsidR="00F31F15">
        <w:t xml:space="preserve">zu schaffen </w:t>
      </w:r>
      <w:r w:rsidR="00100169" w:rsidRPr="00E02C6B">
        <w:t xml:space="preserve">für </w:t>
      </w:r>
      <w:r w:rsidR="00DA0E8B">
        <w:t xml:space="preserve">solche komplexen Verständigungs- und Vergewisserungsprozesse. </w:t>
      </w:r>
      <w:r w:rsidR="008B4AE8">
        <w:t>G</w:t>
      </w:r>
      <w:r w:rsidR="00DA0E8B">
        <w:t xml:space="preserve">ute Entscheidungsprozesse </w:t>
      </w:r>
      <w:r w:rsidR="00A9131D">
        <w:t>werden</w:t>
      </w:r>
      <w:r w:rsidR="008B4AE8">
        <w:t xml:space="preserve"> </w:t>
      </w:r>
      <w:r w:rsidR="00DA0E8B">
        <w:t xml:space="preserve">nicht primär </w:t>
      </w:r>
      <w:r w:rsidR="005B15FA">
        <w:t xml:space="preserve">durch </w:t>
      </w:r>
      <w:r w:rsidR="00DA0E8B">
        <w:t>die kognitive Kompetenz der Menschen mit Behinderung</w:t>
      </w:r>
      <w:r w:rsidR="00707672">
        <w:t>en</w:t>
      </w:r>
      <w:r w:rsidR="00A9131D">
        <w:t xml:space="preserve"> </w:t>
      </w:r>
      <w:r w:rsidR="005B15FA">
        <w:t>bestimmt</w:t>
      </w:r>
      <w:r w:rsidR="00DA0E8B">
        <w:t xml:space="preserve">, sondern </w:t>
      </w:r>
      <w:r w:rsidR="00A9131D">
        <w:t xml:space="preserve">durch </w:t>
      </w:r>
      <w:r w:rsidR="00DA0E8B">
        <w:t xml:space="preserve">die </w:t>
      </w:r>
      <w:r w:rsidR="00100169" w:rsidRPr="00E02C6B">
        <w:t>Kompetenz von Mitarbeitenden</w:t>
      </w:r>
      <w:r w:rsidR="00DA0E8B">
        <w:t xml:space="preserve">, </w:t>
      </w:r>
      <w:r w:rsidR="00707672">
        <w:t xml:space="preserve">die </w:t>
      </w:r>
      <w:r w:rsidR="00DA0E8B" w:rsidRPr="00DA0E8B">
        <w:t>Einwilligung als Befähigungsprozess zu gestalten.</w:t>
      </w:r>
      <w:r w:rsidR="00DA0E8B">
        <w:t xml:space="preserve"> </w:t>
      </w:r>
      <w:r w:rsidR="00DA0E8B" w:rsidRPr="00DA0E8B">
        <w:t>Gerade in den existen</w:t>
      </w:r>
      <w:r w:rsidR="00707672">
        <w:t>z</w:t>
      </w:r>
      <w:r w:rsidR="00DA0E8B" w:rsidRPr="00DA0E8B">
        <w:t>iellen Entscheidungen am Lebensende braucht es in Wohneinrichtungen eine</w:t>
      </w:r>
      <w:r w:rsidR="004602B5" w:rsidRPr="00DA0E8B">
        <w:t xml:space="preserve"> Kultur des </w:t>
      </w:r>
      <w:r w:rsidR="00AA522F" w:rsidRPr="006B1CFE">
        <w:rPr>
          <w:i/>
          <w:iCs/>
        </w:rPr>
        <w:t>ethischen Räsonierens</w:t>
      </w:r>
      <w:r w:rsidR="00AA522F">
        <w:t xml:space="preserve"> (</w:t>
      </w:r>
      <w:r w:rsidR="00100169" w:rsidRPr="00DA0E8B">
        <w:t>«</w:t>
      </w:r>
      <w:proofErr w:type="spellStart"/>
      <w:r w:rsidR="004602B5" w:rsidRPr="00DA0E8B">
        <w:t>e</w:t>
      </w:r>
      <w:r w:rsidR="00100169" w:rsidRPr="00DA0E8B">
        <w:t>thical</w:t>
      </w:r>
      <w:proofErr w:type="spellEnd"/>
      <w:r w:rsidR="00100169" w:rsidRPr="00DA0E8B">
        <w:t xml:space="preserve"> </w:t>
      </w:r>
      <w:proofErr w:type="spellStart"/>
      <w:r w:rsidR="00100169" w:rsidRPr="00DA0E8B">
        <w:t>reasoning</w:t>
      </w:r>
      <w:proofErr w:type="spellEnd"/>
      <w:r w:rsidR="00100169" w:rsidRPr="00DA0E8B">
        <w:t>»</w:t>
      </w:r>
      <w:r w:rsidR="00AA522F">
        <w:t xml:space="preserve">, </w:t>
      </w:r>
      <w:proofErr w:type="spellStart"/>
      <w:r w:rsidR="00100169" w:rsidRPr="00DA0E8B">
        <w:t>Großmaß</w:t>
      </w:r>
      <w:proofErr w:type="spellEnd"/>
      <w:r w:rsidR="00DA0E8B">
        <w:t>, 2013</w:t>
      </w:r>
      <w:r w:rsidR="00100169" w:rsidRPr="00DA0E8B">
        <w:t>)</w:t>
      </w:r>
      <w:r w:rsidR="004602B5" w:rsidRPr="00DA0E8B">
        <w:t xml:space="preserve">: </w:t>
      </w:r>
      <w:r w:rsidR="00F1460E">
        <w:t>ein</w:t>
      </w:r>
      <w:r w:rsidR="004602B5" w:rsidRPr="00DA0E8B">
        <w:t xml:space="preserve"> </w:t>
      </w:r>
      <w:r w:rsidR="00F1460E" w:rsidRPr="00DA0E8B">
        <w:t>prozesshafte</w:t>
      </w:r>
      <w:r w:rsidR="00F1460E">
        <w:t>s</w:t>
      </w:r>
      <w:r w:rsidR="004602B5" w:rsidRPr="00DA0E8B">
        <w:t>,</w:t>
      </w:r>
      <w:r w:rsidR="004602B5" w:rsidRPr="00E02C6B">
        <w:t xml:space="preserve"> </w:t>
      </w:r>
      <w:r w:rsidR="00F1460E" w:rsidRPr="00E02C6B">
        <w:t>argumentierende</w:t>
      </w:r>
      <w:r w:rsidR="00F1460E">
        <w:t>s</w:t>
      </w:r>
      <w:r w:rsidR="00F1460E" w:rsidRPr="00E02C6B">
        <w:t xml:space="preserve"> </w:t>
      </w:r>
      <w:r w:rsidR="004602B5" w:rsidRPr="00E02C6B">
        <w:t xml:space="preserve">Nachdenken, </w:t>
      </w:r>
      <w:r w:rsidR="00F1460E">
        <w:t xml:space="preserve">das </w:t>
      </w:r>
      <w:r w:rsidR="00DA0E8B">
        <w:t>auf allen Ebenen</w:t>
      </w:r>
      <w:r w:rsidR="004602B5" w:rsidRPr="00E02C6B">
        <w:t xml:space="preserve"> </w:t>
      </w:r>
      <w:r w:rsidR="005B15FA">
        <w:t xml:space="preserve">– bei und mit </w:t>
      </w:r>
      <w:proofErr w:type="spellStart"/>
      <w:proofErr w:type="gramStart"/>
      <w:r w:rsidR="005B15FA">
        <w:t>Bewohner:innen</w:t>
      </w:r>
      <w:proofErr w:type="spellEnd"/>
      <w:proofErr w:type="gramEnd"/>
      <w:r w:rsidR="005B15FA">
        <w:t>, auf der Ebene der Mitarbeitenden und auf Leitungsebene – ein</w:t>
      </w:r>
      <w:r w:rsidR="004602B5" w:rsidRPr="00E02C6B">
        <w:t xml:space="preserve">geübt </w:t>
      </w:r>
      <w:r w:rsidR="00DA0E8B">
        <w:t>werden muss</w:t>
      </w:r>
      <w:r w:rsidR="004602B5" w:rsidRPr="00E02C6B">
        <w:t>.</w:t>
      </w:r>
      <w:r w:rsidR="00DA0E8B">
        <w:t xml:space="preserve"> E</w:t>
      </w:r>
      <w:r w:rsidR="004602B5" w:rsidRPr="00E02C6B">
        <w:t>thisch verantwortliches Handeln entsteht in Organisationen nicht durch eine schlichte Ableitung von Handlungsmaximen aus ethischen Normen</w:t>
      </w:r>
      <w:r w:rsidR="006B04A2">
        <w:t>.</w:t>
      </w:r>
      <w:r w:rsidR="004602B5" w:rsidRPr="00E02C6B">
        <w:t xml:space="preserve"> </w:t>
      </w:r>
      <w:r w:rsidR="006B04A2">
        <w:t xml:space="preserve">Gerade </w:t>
      </w:r>
      <w:r w:rsidR="004602B5" w:rsidRPr="00E02C6B">
        <w:t xml:space="preserve">in sozialen Berufen </w:t>
      </w:r>
      <w:r w:rsidR="006B04A2">
        <w:t>ist die</w:t>
      </w:r>
      <w:r w:rsidR="004602B5" w:rsidRPr="00E02C6B">
        <w:t xml:space="preserve"> Kompetenz des </w:t>
      </w:r>
      <w:r w:rsidR="004602B5" w:rsidRPr="00804B8A">
        <w:rPr>
          <w:i/>
          <w:iCs/>
        </w:rPr>
        <w:t>ethischen R</w:t>
      </w:r>
      <w:r w:rsidR="004602B5" w:rsidRPr="00804B8A">
        <w:rPr>
          <w:rFonts w:hint="cs"/>
          <w:i/>
          <w:iCs/>
        </w:rPr>
        <w:t>ä</w:t>
      </w:r>
      <w:r w:rsidR="004602B5" w:rsidRPr="00804B8A">
        <w:rPr>
          <w:i/>
          <w:iCs/>
        </w:rPr>
        <w:t>sonierens</w:t>
      </w:r>
      <w:r w:rsidR="006B04A2">
        <w:t xml:space="preserve"> die Basis</w:t>
      </w:r>
      <w:r w:rsidR="004602B5" w:rsidRPr="00E02C6B">
        <w:t>.</w:t>
      </w:r>
      <w:r w:rsidR="008374A8" w:rsidRPr="00E02C6B">
        <w:t xml:space="preserve"> Dafür müssen Einrichtungen zeitliche Ressourcen schaffen</w:t>
      </w:r>
      <w:r w:rsidR="00935833">
        <w:t>, um ihre</w:t>
      </w:r>
      <w:r w:rsidR="008374A8" w:rsidRPr="00E02C6B">
        <w:t xml:space="preserve"> </w:t>
      </w:r>
      <w:proofErr w:type="spellStart"/>
      <w:proofErr w:type="gramStart"/>
      <w:r w:rsidR="00935833">
        <w:t>Bewohner:innen</w:t>
      </w:r>
      <w:proofErr w:type="spellEnd"/>
      <w:proofErr w:type="gramEnd"/>
      <w:r w:rsidR="00935833">
        <w:t xml:space="preserve"> bei Entscheidungen gut begleiten zu können.</w:t>
      </w:r>
      <w:r w:rsidR="008374A8" w:rsidRPr="00E02C6B">
        <w:t xml:space="preserve"> </w:t>
      </w:r>
      <w:r w:rsidR="002E665F">
        <w:t xml:space="preserve">Werden ethische Fragen an </w:t>
      </w:r>
      <w:r w:rsidR="008374A8" w:rsidRPr="00E02C6B">
        <w:t xml:space="preserve">eine </w:t>
      </w:r>
      <w:r w:rsidR="00D4224D">
        <w:t>spezialisiert</w:t>
      </w:r>
      <w:r w:rsidR="008374A8" w:rsidRPr="00E02C6B">
        <w:t xml:space="preserve"> arbeitende Ethik</w:t>
      </w:r>
      <w:r w:rsidR="00A7531D">
        <w:t>k</w:t>
      </w:r>
      <w:r w:rsidR="008374A8" w:rsidRPr="00E02C6B">
        <w:t xml:space="preserve">ommission delegiert, ist </w:t>
      </w:r>
      <w:r w:rsidR="000728FD">
        <w:t xml:space="preserve">das </w:t>
      </w:r>
      <w:r w:rsidR="008374A8" w:rsidRPr="00E02C6B">
        <w:t xml:space="preserve">für die Entwicklung einer Kultur des </w:t>
      </w:r>
      <w:r w:rsidR="008374A8" w:rsidRPr="000728FD">
        <w:rPr>
          <w:i/>
          <w:iCs/>
        </w:rPr>
        <w:t>ethischen R</w:t>
      </w:r>
      <w:r w:rsidR="008374A8" w:rsidRPr="000728FD">
        <w:rPr>
          <w:rFonts w:hint="cs"/>
          <w:i/>
          <w:iCs/>
        </w:rPr>
        <w:t>ä</w:t>
      </w:r>
      <w:r w:rsidR="008374A8" w:rsidRPr="000728FD">
        <w:rPr>
          <w:i/>
          <w:iCs/>
        </w:rPr>
        <w:t>sonierens</w:t>
      </w:r>
      <w:r w:rsidR="008374A8" w:rsidRPr="00E02C6B">
        <w:t xml:space="preserve"> nicht unbedingt hilfreich</w:t>
      </w:r>
      <w:r w:rsidR="00D4224D">
        <w:t>. Vielmehr muss auch hier das Prinzip maximaler Partizipation gelten, vor allem derer, die von einer zu</w:t>
      </w:r>
      <w:r w:rsidR="006D48FB">
        <w:t xml:space="preserve"> </w:t>
      </w:r>
      <w:r w:rsidR="00D4224D">
        <w:t xml:space="preserve">treffenden Entscheidung am meisten betroffen sind. </w:t>
      </w:r>
    </w:p>
    <w:p w14:paraId="4D9DF31D" w14:textId="4A23755E" w:rsidR="006E260B" w:rsidRPr="00E02C6B" w:rsidRDefault="00D4224D" w:rsidP="004A5D96">
      <w:pPr>
        <w:pStyle w:val="Textkrper"/>
      </w:pPr>
      <w:r>
        <w:t>D</w:t>
      </w:r>
      <w:r w:rsidR="00F41821">
        <w:t xml:space="preserve">amit sich die </w:t>
      </w:r>
      <w:r>
        <w:t xml:space="preserve">Praxis gelingender Entscheidungs- und Einwilligungsprozesse </w:t>
      </w:r>
      <w:r w:rsidR="00F41821">
        <w:t>etabliert, braucht es</w:t>
      </w:r>
      <w:r>
        <w:t xml:space="preserve"> ein</w:t>
      </w:r>
      <w:r w:rsidR="00F41821">
        <w:t>en</w:t>
      </w:r>
      <w:r>
        <w:t xml:space="preserve"> organisationale</w:t>
      </w:r>
      <w:r w:rsidR="00BE2251">
        <w:t>n</w:t>
      </w:r>
      <w:r>
        <w:t xml:space="preserve"> Lernprozess</w:t>
      </w:r>
      <w:r w:rsidR="00ED10BD">
        <w:t>.</w:t>
      </w:r>
      <w:r>
        <w:t xml:space="preserve"> </w:t>
      </w:r>
      <w:r w:rsidR="00E50D0E">
        <w:t xml:space="preserve">Menschen mit Behinderungen sind abhängig von </w:t>
      </w:r>
      <w:r>
        <w:t xml:space="preserve">der Fähigkeit </w:t>
      </w:r>
      <w:r w:rsidR="008B6E40">
        <w:t>ihrer Begleitpersonen</w:t>
      </w:r>
      <w:r w:rsidR="00D36952">
        <w:t>,</w:t>
      </w:r>
      <w:r>
        <w:t xml:space="preserve"> Menschen zur Wahrnehmung und Artikulation des eigenen Willens zu befähigen und sie in Entscheidungsprozessen zu unterstützen</w:t>
      </w:r>
      <w:r w:rsidR="00EC0E8B">
        <w:t>,</w:t>
      </w:r>
      <w:r>
        <w:t xml:space="preserve"> statt zu entmündigen</w:t>
      </w:r>
      <w:r w:rsidR="007F6C2A">
        <w:t>.</w:t>
      </w:r>
      <w:r>
        <w:t xml:space="preserve"> </w:t>
      </w:r>
      <w:r w:rsidR="007F6C2A">
        <w:t>Die</w:t>
      </w:r>
      <w:r w:rsidR="002F38FB">
        <w:t>se Fähigkeit bestimmt</w:t>
      </w:r>
      <w:r>
        <w:t>, inwieweit Menschen</w:t>
      </w:r>
      <w:r w:rsidR="00A77657" w:rsidRPr="00E02C6B">
        <w:t xml:space="preserve"> einwilligungsfähig </w:t>
      </w:r>
      <w:r w:rsidR="00A77657" w:rsidRPr="00E02C6B">
        <w:rPr>
          <w:i/>
        </w:rPr>
        <w:t>werden</w:t>
      </w:r>
      <w:r w:rsidR="00A77657" w:rsidRPr="00E02C6B">
        <w:t xml:space="preserve"> können.</w:t>
      </w:r>
      <w:bookmarkEnd w:id="4"/>
    </w:p>
    <w:tbl>
      <w:tblPr>
        <w:tblStyle w:val="Tabellenras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5"/>
        <w:gridCol w:w="3024"/>
        <w:gridCol w:w="3022"/>
      </w:tblGrid>
      <w:tr w:rsidR="006B5540" w:rsidRPr="00E02C6B" w14:paraId="08ECB943" w14:textId="77777777">
        <w:tc>
          <w:tcPr>
            <w:tcW w:w="1667" w:type="pct"/>
            <w:vAlign w:val="center"/>
          </w:tcPr>
          <w:p w14:paraId="3F8478ED" w14:textId="77777777" w:rsidR="006B5540" w:rsidRPr="00E02C6B" w:rsidRDefault="002B32A8" w:rsidP="00C04410">
            <w:pPr>
              <w:pStyle w:val="Textkrper"/>
              <w:ind w:firstLine="0"/>
            </w:pPr>
            <w:r w:rsidRPr="00E02C6B">
              <w:rPr>
                <w:noProof/>
              </w:rPr>
              <w:lastRenderedPageBreak/>
              <w:drawing>
                <wp:inline distT="0" distB="0" distL="0" distR="0" wp14:anchorId="12C5EE52" wp14:editId="12588D45">
                  <wp:extent cx="935736" cy="935736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fik 1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5736" cy="9357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7" w:type="pct"/>
            <w:vAlign w:val="center"/>
          </w:tcPr>
          <w:p w14:paraId="581FEA52" w14:textId="77777777" w:rsidR="006B5540" w:rsidRPr="00E02C6B" w:rsidRDefault="006B5540" w:rsidP="007F5E1D">
            <w:pPr>
              <w:pStyle w:val="Textkrper"/>
              <w:rPr>
                <w:noProof/>
              </w:rPr>
            </w:pPr>
          </w:p>
        </w:tc>
        <w:tc>
          <w:tcPr>
            <w:tcW w:w="1667" w:type="pct"/>
            <w:vAlign w:val="center"/>
          </w:tcPr>
          <w:p w14:paraId="5B6D3DE7" w14:textId="77777777" w:rsidR="006B5540" w:rsidRPr="00E02C6B" w:rsidRDefault="006B5540" w:rsidP="007F5E1D">
            <w:pPr>
              <w:pStyle w:val="Textkrper"/>
              <w:rPr>
                <w:noProof/>
              </w:rPr>
            </w:pPr>
          </w:p>
        </w:tc>
      </w:tr>
      <w:tr w:rsidR="006B5540" w:rsidRPr="00207FD1" w14:paraId="66F6B703" w14:textId="77777777" w:rsidTr="00533DA1">
        <w:trPr>
          <w:trHeight w:val="960"/>
        </w:trPr>
        <w:tc>
          <w:tcPr>
            <w:tcW w:w="1667" w:type="pct"/>
          </w:tcPr>
          <w:p w14:paraId="2406AA59" w14:textId="6FC2276B" w:rsidR="00231758" w:rsidRDefault="00413F57" w:rsidP="00CC499D">
            <w:pPr>
              <w:pStyle w:val="Textkrper3"/>
            </w:pPr>
            <w:r w:rsidRPr="00E02C6B">
              <w:t xml:space="preserve">Prof. Dr. </w:t>
            </w:r>
            <w:proofErr w:type="spellStart"/>
            <w:r w:rsidRPr="00E02C6B">
              <w:t>theol</w:t>
            </w:r>
            <w:proofErr w:type="spellEnd"/>
            <w:r w:rsidRPr="00E02C6B">
              <w:t xml:space="preserve">. </w:t>
            </w:r>
            <w:r w:rsidR="00F63FAC" w:rsidRPr="00E02C6B">
              <w:t xml:space="preserve">Sabine </w:t>
            </w:r>
            <w:r w:rsidR="002B32A8" w:rsidRPr="00E02C6B">
              <w:t xml:space="preserve">Schäper </w:t>
            </w:r>
          </w:p>
          <w:p w14:paraId="05456193" w14:textId="77777777" w:rsidR="00413F57" w:rsidRDefault="002B32A8" w:rsidP="00CC499D">
            <w:pPr>
              <w:pStyle w:val="Textkrper3"/>
            </w:pPr>
            <w:r w:rsidRPr="00E02C6B">
              <w:t>Katholische Hochschule Nordrhein-Westfalen</w:t>
            </w:r>
          </w:p>
          <w:p w14:paraId="7C8BF9DB" w14:textId="49C42828" w:rsidR="006B5540" w:rsidRPr="00E02C6B" w:rsidRDefault="002B32A8" w:rsidP="00CC499D">
            <w:pPr>
              <w:pStyle w:val="Textkrper3"/>
            </w:pPr>
            <w:r w:rsidRPr="00E02C6B">
              <w:t>Abteilung Münster</w:t>
            </w:r>
          </w:p>
          <w:p w14:paraId="20FD4171" w14:textId="3E593781" w:rsidR="006B5540" w:rsidRPr="00E02C6B" w:rsidRDefault="00000000" w:rsidP="00CC499D">
            <w:pPr>
              <w:pStyle w:val="Textkrper3"/>
            </w:pPr>
            <w:hyperlink r:id="rId15" w:history="1">
              <w:r w:rsidR="00F13B5A" w:rsidRPr="001053CB">
                <w:rPr>
                  <w:rStyle w:val="Hyperlink"/>
                </w:rPr>
                <w:t>s.schaeper@katho-nrw.de</w:t>
              </w:r>
            </w:hyperlink>
            <w:r w:rsidR="00F13B5A">
              <w:t xml:space="preserve"> </w:t>
            </w:r>
          </w:p>
        </w:tc>
        <w:tc>
          <w:tcPr>
            <w:tcW w:w="1667" w:type="pct"/>
          </w:tcPr>
          <w:p w14:paraId="2EC461B2" w14:textId="77777777" w:rsidR="006B5540" w:rsidRPr="00E02C6B" w:rsidRDefault="006B5540" w:rsidP="00CC499D">
            <w:pPr>
              <w:pStyle w:val="Textkrper3"/>
            </w:pPr>
          </w:p>
        </w:tc>
        <w:tc>
          <w:tcPr>
            <w:tcW w:w="1667" w:type="pct"/>
          </w:tcPr>
          <w:p w14:paraId="3EE4B4BE" w14:textId="77777777" w:rsidR="006B5540" w:rsidRPr="00E02C6B" w:rsidRDefault="006B5540" w:rsidP="00CC499D">
            <w:pPr>
              <w:pStyle w:val="Textkrper3"/>
            </w:pPr>
          </w:p>
        </w:tc>
      </w:tr>
    </w:tbl>
    <w:p w14:paraId="6EFB1D2C" w14:textId="77777777" w:rsidR="00DA14A6" w:rsidRPr="00E02C6B" w:rsidRDefault="00D232F1" w:rsidP="004A5D96">
      <w:pPr>
        <w:pStyle w:val="berschrift1"/>
      </w:pPr>
      <w:r w:rsidRPr="00E02C6B">
        <w:t>Literatur</w:t>
      </w:r>
    </w:p>
    <w:p w14:paraId="329B1653" w14:textId="0AF6B843" w:rsidR="003B0A8C" w:rsidRDefault="003B0A8C" w:rsidP="008501D3">
      <w:pPr>
        <w:pStyle w:val="Literaturverzeichnis"/>
      </w:pPr>
      <w:r w:rsidRPr="003B0A8C">
        <w:t>Bielefeldt, H. (2017). Menschenw</w:t>
      </w:r>
      <w:r w:rsidRPr="003B0A8C">
        <w:rPr>
          <w:rFonts w:hint="cs"/>
        </w:rPr>
        <w:t>ü</w:t>
      </w:r>
      <w:r w:rsidRPr="003B0A8C">
        <w:t>rde und Autonomie am Lebensende. Perspektiven der internationalen Menschenrechte. In C.</w:t>
      </w:r>
      <w:r w:rsidR="00914E05">
        <w:t> </w:t>
      </w:r>
      <w:r w:rsidRPr="003B0A8C">
        <w:t xml:space="preserve">Welsh et al. (Hrsg.). </w:t>
      </w:r>
      <w:r w:rsidRPr="003B0A8C">
        <w:rPr>
          <w:i/>
        </w:rPr>
        <w:t>Autonomie und Menschenrechte am Lebensende</w:t>
      </w:r>
      <w:r w:rsidRPr="003B0A8C">
        <w:t xml:space="preserve"> (S.</w:t>
      </w:r>
      <w:r w:rsidR="00914E05">
        <w:t> </w:t>
      </w:r>
      <w:r w:rsidRPr="003B0A8C">
        <w:t>45</w:t>
      </w:r>
      <w:r w:rsidR="00E973E2">
        <w:t>–</w:t>
      </w:r>
      <w:r w:rsidRPr="003B0A8C">
        <w:t xml:space="preserve">66). </w:t>
      </w:r>
      <w:proofErr w:type="spellStart"/>
      <w:r>
        <w:t>t</w:t>
      </w:r>
      <w:r w:rsidRPr="003B0A8C">
        <w:t>ranscript</w:t>
      </w:r>
      <w:proofErr w:type="spellEnd"/>
      <w:r>
        <w:t>.</w:t>
      </w:r>
    </w:p>
    <w:p w14:paraId="02B43304" w14:textId="581407D0" w:rsidR="00512B58" w:rsidRDefault="00512B58" w:rsidP="008501D3">
      <w:pPr>
        <w:pStyle w:val="Literaturverzeichnis"/>
      </w:pPr>
      <w:proofErr w:type="spellStart"/>
      <w:r w:rsidRPr="00DA42D8">
        <w:rPr>
          <w:lang w:val="de-DE"/>
        </w:rPr>
        <w:t>Bigby</w:t>
      </w:r>
      <w:proofErr w:type="spellEnd"/>
      <w:r w:rsidRPr="00DA42D8">
        <w:rPr>
          <w:lang w:val="de-DE"/>
        </w:rPr>
        <w:t xml:space="preserve">, C., &amp; Douglas, J. (2016). </w:t>
      </w:r>
      <w:r w:rsidRPr="00512B58">
        <w:rPr>
          <w:i/>
          <w:lang w:val="en-GB"/>
        </w:rPr>
        <w:t xml:space="preserve">Support for decision-making </w:t>
      </w:r>
      <w:r w:rsidRPr="00512B58">
        <w:rPr>
          <w:rFonts w:hint="cs"/>
          <w:i/>
          <w:lang w:val="en-GB"/>
        </w:rPr>
        <w:t>–</w:t>
      </w:r>
      <w:r w:rsidRPr="00512B58">
        <w:rPr>
          <w:i/>
          <w:lang w:val="en-GB"/>
        </w:rPr>
        <w:t xml:space="preserve"> A practice framework</w:t>
      </w:r>
      <w:r w:rsidRPr="00512B58">
        <w:rPr>
          <w:lang w:val="en-GB"/>
        </w:rPr>
        <w:t>.</w:t>
      </w:r>
      <w:r w:rsidRPr="00C23088">
        <w:rPr>
          <w:lang w:val="en-GB"/>
        </w:rPr>
        <w:t xml:space="preserve"> </w:t>
      </w:r>
      <w:r w:rsidRPr="00512B58">
        <w:t xml:space="preserve">La </w:t>
      </w:r>
      <w:proofErr w:type="spellStart"/>
      <w:r w:rsidRPr="00512B58">
        <w:t>Trobe</w:t>
      </w:r>
      <w:proofErr w:type="spellEnd"/>
      <w:r w:rsidRPr="00512B58">
        <w:t xml:space="preserve"> University</w:t>
      </w:r>
      <w:r>
        <w:t>.</w:t>
      </w:r>
      <w:r w:rsidRPr="00512B58">
        <w:t xml:space="preserve"> </w:t>
      </w:r>
      <w:hyperlink r:id="rId16" w:history="1">
        <w:r w:rsidR="00F36AFA" w:rsidRPr="009B27A2">
          <w:rPr>
            <w:rStyle w:val="Hyperlink"/>
          </w:rPr>
          <w:t>www.supportfordecisionmakingresource.com.au/</w:t>
        </w:r>
      </w:hyperlink>
      <w:r>
        <w:t xml:space="preserve"> </w:t>
      </w:r>
    </w:p>
    <w:p w14:paraId="3D43C0FD" w14:textId="56639E78" w:rsidR="001154F8" w:rsidRDefault="001154F8" w:rsidP="001154F8">
      <w:pPr>
        <w:pStyle w:val="Literaturverzeichnis"/>
      </w:pPr>
      <w:r w:rsidRPr="00E02C6B">
        <w:t xml:space="preserve">Bundesamt für Gesundheit </w:t>
      </w:r>
      <w:r w:rsidR="007E5CDF">
        <w:t xml:space="preserve">(BAG) </w:t>
      </w:r>
      <w:r w:rsidRPr="00E02C6B">
        <w:t xml:space="preserve">(Hrsg.) (2020). </w:t>
      </w:r>
      <w:r w:rsidRPr="00E02C6B">
        <w:rPr>
          <w:i/>
        </w:rPr>
        <w:t>Bessere Betreuung und Behandlung von Menschen am Lebensende. Bericht des Bundesrates</w:t>
      </w:r>
      <w:r w:rsidRPr="00E02C6B">
        <w:t xml:space="preserve">. </w:t>
      </w:r>
      <w:hyperlink r:id="rId17" w:anchor="-309017583" w:history="1">
        <w:r w:rsidR="000365EC" w:rsidRPr="00245D5B">
          <w:rPr>
            <w:rStyle w:val="Hyperlink"/>
          </w:rPr>
          <w:t>https://www.bag.admin.ch/bag/de/home/strategie-und-politik/nationale-gesundheitsstrategien/strategie-palliative-care.html#-309017583</w:t>
        </w:r>
      </w:hyperlink>
      <w:r w:rsidR="000365EC">
        <w:t xml:space="preserve"> </w:t>
      </w:r>
    </w:p>
    <w:p w14:paraId="2C5073DD" w14:textId="2FEDA76A" w:rsidR="00550F57" w:rsidRPr="007954D3" w:rsidRDefault="00550F57" w:rsidP="008501D3">
      <w:pPr>
        <w:pStyle w:val="Literaturverzeichnis"/>
        <w:rPr>
          <w:rStyle w:val="Hyperlink"/>
        </w:rPr>
      </w:pPr>
      <w:r w:rsidRPr="007954D3">
        <w:t xml:space="preserve">Bundesamt für Gesundheit (BAG) </w:t>
      </w:r>
      <w:r>
        <w:t>&amp;</w:t>
      </w:r>
      <w:r w:rsidRPr="007954D3">
        <w:t xml:space="preserve"> Schweizerische Konferenz der kantonalen Gesundheitsdirektorinnen und -direktoren (GDK) (2012). </w:t>
      </w:r>
      <w:r w:rsidRPr="007954D3">
        <w:rPr>
          <w:i/>
          <w:iCs/>
        </w:rPr>
        <w:t>Nationale Strategie Palliative Care 2013–2015. Bilanz «Nationale Strategie Palliative Care 2010–2012» und Handlungsbedarf 2013–2015</w:t>
      </w:r>
      <w:r w:rsidRPr="007954D3">
        <w:t xml:space="preserve">. Bern. </w:t>
      </w:r>
      <w:hyperlink r:id="rId18" w:history="1">
        <w:r w:rsidR="00EB7963">
          <w:rPr>
            <w:rStyle w:val="Hyperlink"/>
          </w:rPr>
          <w:t>http://www.bag.admin.ch/bag/de/home/strategie-und-politik/nationale-gesundheitsstrategien/strategie-palliative-care.html</w:t>
        </w:r>
      </w:hyperlink>
      <w:r w:rsidR="00EA0080">
        <w:rPr>
          <w:rStyle w:val="Hyperlink"/>
        </w:rPr>
        <w:t xml:space="preserve"> </w:t>
      </w:r>
    </w:p>
    <w:p w14:paraId="08A39196" w14:textId="1E3A1A4F" w:rsidR="00AE3BD8" w:rsidRPr="00E02C6B" w:rsidRDefault="00AE3BD8" w:rsidP="008501D3">
      <w:pPr>
        <w:pStyle w:val="Literaturverzeichnis"/>
      </w:pPr>
      <w:r w:rsidRPr="001434FD">
        <w:t xml:space="preserve">Bundesministerium für Gesundheit (2016). </w:t>
      </w:r>
      <w:r w:rsidRPr="001434FD">
        <w:rPr>
          <w:i/>
          <w:iCs/>
        </w:rPr>
        <w:t>Hospiz- und Palliativgesetz. Bessere Versorgung schwerstkranker</w:t>
      </w:r>
      <w:r w:rsidRPr="007954D3">
        <w:rPr>
          <w:i/>
          <w:iCs/>
        </w:rPr>
        <w:t xml:space="preserve"> Menschen.</w:t>
      </w:r>
      <w:r w:rsidRPr="007954D3">
        <w:t xml:space="preserve"> </w:t>
      </w:r>
      <w:hyperlink r:id="rId19" w:history="1">
        <w:r w:rsidR="00483AD4" w:rsidRPr="00245D5B">
          <w:rPr>
            <w:rStyle w:val="Hyperlink"/>
          </w:rPr>
          <w:t>https://www.bundesgesundheitsministerium.de/fileadmin/Dateien/5_Publikationen/Gesundheit/Flyer_Poster_etc/Hospiz-_und_Palliativgesetz.pdf</w:t>
        </w:r>
      </w:hyperlink>
      <w:r w:rsidR="00483AD4">
        <w:t xml:space="preserve"> </w:t>
      </w:r>
    </w:p>
    <w:p w14:paraId="1E05C7EC" w14:textId="111B2F8F" w:rsidR="007D1826" w:rsidRPr="00432BE1" w:rsidRDefault="007D1826" w:rsidP="00016C55">
      <w:pPr>
        <w:pStyle w:val="Literaturverzeichnis"/>
      </w:pPr>
      <w:r w:rsidRPr="00E02C6B">
        <w:t xml:space="preserve">Dasch, B., Blum, K., </w:t>
      </w:r>
      <w:proofErr w:type="spellStart"/>
      <w:r w:rsidRPr="00E02C6B">
        <w:t>Gude</w:t>
      </w:r>
      <w:proofErr w:type="spellEnd"/>
      <w:r w:rsidRPr="00E02C6B">
        <w:t xml:space="preserve">, P. &amp; Bausewein, C. (2015). </w:t>
      </w:r>
      <w:r w:rsidRPr="00DA42D8">
        <w:rPr>
          <w:lang w:val="en-GB"/>
        </w:rPr>
        <w:t xml:space="preserve">Place of death: trends over the course of a decade. A population-based study of death certificates from the years 2001 and 2011. </w:t>
      </w:r>
      <w:r w:rsidRPr="00432BE1">
        <w:rPr>
          <w:i/>
        </w:rPr>
        <w:t>D</w:t>
      </w:r>
      <w:r w:rsidR="00547352" w:rsidRPr="00432BE1">
        <w:rPr>
          <w:i/>
        </w:rPr>
        <w:t>eutsches Ärzteblatt</w:t>
      </w:r>
      <w:r w:rsidRPr="00432BE1">
        <w:rPr>
          <w:i/>
        </w:rPr>
        <w:t xml:space="preserve"> Int</w:t>
      </w:r>
      <w:r w:rsidR="00547352" w:rsidRPr="00432BE1">
        <w:rPr>
          <w:i/>
        </w:rPr>
        <w:t>ernational</w:t>
      </w:r>
      <w:r w:rsidR="00602655" w:rsidRPr="00432BE1">
        <w:rPr>
          <w:i/>
          <w:iCs/>
        </w:rPr>
        <w:t xml:space="preserve">, </w:t>
      </w:r>
      <w:r w:rsidRPr="00432BE1">
        <w:rPr>
          <w:i/>
          <w:iCs/>
        </w:rPr>
        <w:t>112</w:t>
      </w:r>
      <w:r w:rsidR="006539DA" w:rsidRPr="00432BE1">
        <w:rPr>
          <w:i/>
          <w:iCs/>
        </w:rPr>
        <w:t> </w:t>
      </w:r>
      <w:r w:rsidR="006539DA" w:rsidRPr="00432BE1">
        <w:t>(29</w:t>
      </w:r>
      <w:r w:rsidR="006539DA" w:rsidRPr="007954D3">
        <w:rPr>
          <w:lang w:val="en-GB"/>
        </w:rPr>
        <w:sym w:font="Symbol" w:char="F02D"/>
      </w:r>
      <w:r w:rsidR="006539DA" w:rsidRPr="00432BE1">
        <w:t>30)</w:t>
      </w:r>
      <w:r w:rsidR="0034290D" w:rsidRPr="00432BE1">
        <w:t>,</w:t>
      </w:r>
      <w:r w:rsidRPr="00432BE1">
        <w:t xml:space="preserve"> 496–504. </w:t>
      </w:r>
      <w:hyperlink r:id="rId20" w:history="1">
        <w:r w:rsidR="0053169F" w:rsidRPr="00432BE1">
          <w:rPr>
            <w:rStyle w:val="Hyperlink"/>
          </w:rPr>
          <w:t>https://doi.org/10.3238/arztebl.2015.0496</w:t>
        </w:r>
      </w:hyperlink>
    </w:p>
    <w:p w14:paraId="5ED371CA" w14:textId="510BC84D" w:rsidR="003F1245" w:rsidRPr="00771E87" w:rsidRDefault="00AD0733" w:rsidP="003F1245">
      <w:pPr>
        <w:pStyle w:val="Literaturverzeichnis"/>
        <w:rPr>
          <w:lang w:val="en-GB"/>
        </w:rPr>
      </w:pPr>
      <w:r w:rsidRPr="009A2EEE">
        <w:rPr>
          <w:lang w:val="en-GB"/>
        </w:rPr>
        <w:t>D</w:t>
      </w:r>
      <w:r w:rsidR="00016C55" w:rsidRPr="009A2EEE">
        <w:rPr>
          <w:lang w:val="en-GB"/>
        </w:rPr>
        <w:t xml:space="preserve">unkley, S. &amp; Sales, R. (2014). </w:t>
      </w:r>
      <w:r w:rsidR="00016C55" w:rsidRPr="00DA42D8">
        <w:rPr>
          <w:lang w:val="en-GB"/>
        </w:rPr>
        <w:t xml:space="preserve">The challenges of providing palliative care for people with intellectual disabilities: a literature review. </w:t>
      </w:r>
      <w:r w:rsidR="00016C55" w:rsidRPr="00DA42D8">
        <w:rPr>
          <w:i/>
          <w:lang w:val="en-GB"/>
        </w:rPr>
        <w:t>International Journal of Palliative Nursing,</w:t>
      </w:r>
      <w:r w:rsidR="00016C55" w:rsidRPr="00C23088">
        <w:rPr>
          <w:i/>
          <w:iCs/>
          <w:lang w:val="en-GB"/>
        </w:rPr>
        <w:t xml:space="preserve"> 20</w:t>
      </w:r>
      <w:r w:rsidR="00B05018">
        <w:rPr>
          <w:lang w:val="en-GB"/>
        </w:rPr>
        <w:t> (</w:t>
      </w:r>
      <w:r w:rsidR="00016C55" w:rsidRPr="00DA42D8">
        <w:rPr>
          <w:lang w:val="en-GB"/>
        </w:rPr>
        <w:t>6</w:t>
      </w:r>
      <w:r w:rsidR="00B05018">
        <w:rPr>
          <w:lang w:val="en-GB"/>
        </w:rPr>
        <w:t>), 279–284</w:t>
      </w:r>
      <w:r w:rsidR="00016C55" w:rsidRPr="00DA42D8">
        <w:rPr>
          <w:lang w:val="en-GB"/>
        </w:rPr>
        <w:t xml:space="preserve">. </w:t>
      </w:r>
      <w:hyperlink r:id="rId21" w:history="1">
        <w:r w:rsidR="00ED7BB9" w:rsidRPr="00771E87">
          <w:rPr>
            <w:rStyle w:val="Hyperlink"/>
            <w:lang w:val="en-GB"/>
          </w:rPr>
          <w:t>https://doi.org/10.12968/ijpn.2014.20.6.279</w:t>
        </w:r>
      </w:hyperlink>
    </w:p>
    <w:p w14:paraId="70C1300A" w14:textId="6CBD4873" w:rsidR="00C46FD6" w:rsidRPr="003F1245" w:rsidRDefault="00C46FD6" w:rsidP="003F1245">
      <w:pPr>
        <w:pStyle w:val="Literaturverzeichnis"/>
      </w:pPr>
      <w:proofErr w:type="spellStart"/>
      <w:r w:rsidRPr="00C23088">
        <w:rPr>
          <w:lang w:val="en-GB"/>
        </w:rPr>
        <w:t>Gro</w:t>
      </w:r>
      <w:r w:rsidRPr="00C23088">
        <w:rPr>
          <w:rFonts w:hint="cs"/>
          <w:lang w:val="en-GB"/>
        </w:rPr>
        <w:t>ß</w:t>
      </w:r>
      <w:r w:rsidRPr="00C23088">
        <w:rPr>
          <w:lang w:val="en-GB"/>
        </w:rPr>
        <w:t>ma</w:t>
      </w:r>
      <w:r w:rsidRPr="00C23088">
        <w:rPr>
          <w:rFonts w:hint="cs"/>
          <w:lang w:val="en-GB"/>
        </w:rPr>
        <w:t>ß</w:t>
      </w:r>
      <w:proofErr w:type="spellEnd"/>
      <w:r w:rsidRPr="00C23088">
        <w:rPr>
          <w:lang w:val="en-GB"/>
        </w:rPr>
        <w:t xml:space="preserve">, R. (2013). </w:t>
      </w:r>
      <w:proofErr w:type="spellStart"/>
      <w:r w:rsidRPr="00E02C6B">
        <w:t>Ethical</w:t>
      </w:r>
      <w:proofErr w:type="spellEnd"/>
      <w:r w:rsidRPr="00E02C6B">
        <w:t xml:space="preserve"> </w:t>
      </w:r>
      <w:proofErr w:type="spellStart"/>
      <w:r w:rsidRPr="00E02C6B">
        <w:t>Reasoning</w:t>
      </w:r>
      <w:proofErr w:type="spellEnd"/>
      <w:r w:rsidRPr="00E02C6B">
        <w:t xml:space="preserve"> – Ethik in der beruflichen Praxis. In R.</w:t>
      </w:r>
      <w:r w:rsidR="00B05018">
        <w:t> </w:t>
      </w:r>
      <w:proofErr w:type="spellStart"/>
      <w:r w:rsidRPr="00E02C6B">
        <w:t>Großmaß</w:t>
      </w:r>
      <w:proofErr w:type="spellEnd"/>
      <w:r w:rsidRPr="00E02C6B">
        <w:t xml:space="preserve"> &amp; R.</w:t>
      </w:r>
      <w:r w:rsidR="00B05018">
        <w:t> </w:t>
      </w:r>
      <w:r w:rsidRPr="00E02C6B">
        <w:t xml:space="preserve">Anhorn (Hrsg.), </w:t>
      </w:r>
      <w:r w:rsidRPr="00C23088">
        <w:rPr>
          <w:i/>
          <w:iCs/>
        </w:rPr>
        <w:t>Kritik der Moralisierung</w:t>
      </w:r>
      <w:r w:rsidRPr="00E02C6B">
        <w:t xml:space="preserve"> (S.</w:t>
      </w:r>
      <w:r w:rsidR="00B05018">
        <w:t> </w:t>
      </w:r>
      <w:r w:rsidRPr="00E02C6B">
        <w:t>209</w:t>
      </w:r>
      <w:r w:rsidR="00B05018">
        <w:t>–</w:t>
      </w:r>
      <w:r w:rsidRPr="00E02C6B">
        <w:t>226). Springer.</w:t>
      </w:r>
    </w:p>
    <w:p w14:paraId="3E5CF1C9" w14:textId="20CA47EA" w:rsidR="00512B58" w:rsidRDefault="00512B58" w:rsidP="00E02C6B">
      <w:pPr>
        <w:pStyle w:val="Literaturverzeichnis"/>
        <w:rPr>
          <w:lang w:val="en-GB"/>
        </w:rPr>
      </w:pPr>
      <w:r w:rsidRPr="00194A1C">
        <w:t>Kohn, N.</w:t>
      </w:r>
      <w:r w:rsidR="00C767FB" w:rsidRPr="00194A1C">
        <w:t> </w:t>
      </w:r>
      <w:r w:rsidRPr="00194A1C">
        <w:t>A., Blumenthal, J.</w:t>
      </w:r>
      <w:r w:rsidR="00C767FB" w:rsidRPr="00194A1C">
        <w:t> </w:t>
      </w:r>
      <w:r w:rsidRPr="00194A1C">
        <w:t>A. &amp; Campbell, A.</w:t>
      </w:r>
      <w:r w:rsidR="00C767FB">
        <w:t> </w:t>
      </w:r>
      <w:r w:rsidRPr="00194A1C">
        <w:t xml:space="preserve">T. (2013). </w:t>
      </w:r>
      <w:r w:rsidRPr="00512B58">
        <w:rPr>
          <w:lang w:val="en-GB"/>
        </w:rPr>
        <w:t xml:space="preserve">Supported Decision-Making: A Viable Alternative to Guardianship? </w:t>
      </w:r>
      <w:r w:rsidRPr="00512B58">
        <w:rPr>
          <w:i/>
          <w:lang w:val="en-GB"/>
        </w:rPr>
        <w:t>Penn State Law Review</w:t>
      </w:r>
      <w:r w:rsidR="00BF64C9">
        <w:rPr>
          <w:i/>
          <w:lang w:val="en-GB"/>
        </w:rPr>
        <w:t>,</w:t>
      </w:r>
      <w:r w:rsidRPr="00512B58">
        <w:rPr>
          <w:lang w:val="en-GB"/>
        </w:rPr>
        <w:t xml:space="preserve"> </w:t>
      </w:r>
      <w:r w:rsidRPr="00C23088">
        <w:rPr>
          <w:i/>
          <w:iCs/>
          <w:lang w:val="en-GB"/>
        </w:rPr>
        <w:t>117</w:t>
      </w:r>
      <w:r w:rsidR="00B05018">
        <w:rPr>
          <w:lang w:val="en-GB"/>
        </w:rPr>
        <w:t> </w:t>
      </w:r>
      <w:r w:rsidRPr="00512B58">
        <w:rPr>
          <w:lang w:val="en-GB"/>
        </w:rPr>
        <w:t xml:space="preserve">(4), 2013. </w:t>
      </w:r>
      <w:hyperlink r:id="rId22" w:history="1">
        <w:r w:rsidRPr="00C10477">
          <w:rPr>
            <w:rStyle w:val="Hyperlink"/>
            <w:lang w:val="en-GB"/>
          </w:rPr>
          <w:t>http://dx.doi.org/10.2139/ssrn.2161115</w:t>
        </w:r>
      </w:hyperlink>
    </w:p>
    <w:p w14:paraId="0EB47321" w14:textId="1528DA76" w:rsidR="00E02C6B" w:rsidRDefault="00E02C6B" w:rsidP="00E02C6B">
      <w:pPr>
        <w:pStyle w:val="Literaturverzeichnis"/>
      </w:pPr>
      <w:proofErr w:type="spellStart"/>
      <w:r w:rsidRPr="00512B58">
        <w:rPr>
          <w:lang w:val="en-GB"/>
        </w:rPr>
        <w:t>Lachwitz</w:t>
      </w:r>
      <w:proofErr w:type="spellEnd"/>
      <w:r w:rsidRPr="00512B58">
        <w:rPr>
          <w:lang w:val="en-GB"/>
        </w:rPr>
        <w:t xml:space="preserve">, </w:t>
      </w:r>
      <w:r w:rsidR="00D576E2">
        <w:rPr>
          <w:lang w:val="en-GB"/>
        </w:rPr>
        <w:t xml:space="preserve">K. </w:t>
      </w:r>
      <w:r w:rsidRPr="00512B58">
        <w:rPr>
          <w:lang w:val="en-GB"/>
        </w:rPr>
        <w:t xml:space="preserve">(2013). </w:t>
      </w:r>
      <w:r w:rsidRPr="00E02C6B">
        <w:t xml:space="preserve">Funktion und Anwendungsbereich der </w:t>
      </w:r>
      <w:r w:rsidR="00D576E2">
        <w:t>«</w:t>
      </w:r>
      <w:r w:rsidRPr="00E02C6B">
        <w:t>Unterst</w:t>
      </w:r>
      <w:r w:rsidRPr="00E02C6B">
        <w:rPr>
          <w:rFonts w:hint="cs"/>
        </w:rPr>
        <w:t>ü</w:t>
      </w:r>
      <w:r w:rsidRPr="00E02C6B">
        <w:t>tzung</w:t>
      </w:r>
      <w:r w:rsidR="00D576E2">
        <w:t>»</w:t>
      </w:r>
      <w:r w:rsidRPr="00E02C6B">
        <w:t xml:space="preserve"> (</w:t>
      </w:r>
      <w:r w:rsidR="00D576E2">
        <w:t>«</w:t>
      </w:r>
      <w:r w:rsidRPr="00E02C6B">
        <w:t>support</w:t>
      </w:r>
      <w:r w:rsidR="00D576E2">
        <w:t>»</w:t>
      </w:r>
      <w:r w:rsidRPr="00E02C6B">
        <w:t>)</w:t>
      </w:r>
      <w:r>
        <w:t xml:space="preserve"> </w:t>
      </w:r>
      <w:r w:rsidRPr="00E02C6B">
        <w:t>bei der Aus</w:t>
      </w:r>
      <w:r w:rsidRPr="00E02C6B">
        <w:rPr>
          <w:rFonts w:hint="cs"/>
        </w:rPr>
        <w:t>ü</w:t>
      </w:r>
      <w:r w:rsidRPr="00E02C6B">
        <w:t>bung der Rechts- und Handlungsf</w:t>
      </w:r>
      <w:r w:rsidRPr="00E02C6B">
        <w:rPr>
          <w:rFonts w:hint="cs"/>
        </w:rPr>
        <w:t>ä</w:t>
      </w:r>
      <w:r w:rsidRPr="00E02C6B">
        <w:t>higkeit gem</w:t>
      </w:r>
      <w:r w:rsidRPr="00E02C6B">
        <w:rPr>
          <w:rFonts w:hint="cs"/>
        </w:rPr>
        <w:t>äß</w:t>
      </w:r>
      <w:r w:rsidRPr="00E02C6B">
        <w:t xml:space="preserve"> Artikel</w:t>
      </w:r>
      <w:r>
        <w:t xml:space="preserve"> </w:t>
      </w:r>
      <w:r w:rsidRPr="00E02C6B">
        <w:t xml:space="preserve">12 UN-BRK </w:t>
      </w:r>
      <w:r w:rsidRPr="00E02C6B">
        <w:rPr>
          <w:rFonts w:hint="cs"/>
        </w:rPr>
        <w:t>–</w:t>
      </w:r>
      <w:r w:rsidRPr="00E02C6B">
        <w:t xml:space="preserve"> Anforderungen aus der Perspektive von Menschen mit</w:t>
      </w:r>
      <w:r>
        <w:t xml:space="preserve"> </w:t>
      </w:r>
      <w:r w:rsidRPr="00E02C6B">
        <w:t>geistiger Behinderung</w:t>
      </w:r>
      <w:r w:rsidR="00A14293">
        <w:t xml:space="preserve">. </w:t>
      </w:r>
      <w:r>
        <w:t xml:space="preserve">In </w:t>
      </w:r>
      <w:r w:rsidRPr="00E02C6B">
        <w:t>V</w:t>
      </w:r>
      <w:r>
        <w:t>.</w:t>
      </w:r>
      <w:r w:rsidR="00BF64C9">
        <w:t> </w:t>
      </w:r>
      <w:r w:rsidRPr="00E02C6B">
        <w:t>Aichele, T</w:t>
      </w:r>
      <w:r>
        <w:t>.</w:t>
      </w:r>
      <w:r w:rsidR="00BF64C9">
        <w:t> </w:t>
      </w:r>
      <w:r w:rsidRPr="00E02C6B">
        <w:t>Degener</w:t>
      </w:r>
      <w:r>
        <w:t xml:space="preserve">, </w:t>
      </w:r>
      <w:r w:rsidRPr="00E02C6B">
        <w:t>K</w:t>
      </w:r>
      <w:r>
        <w:t>.</w:t>
      </w:r>
      <w:r w:rsidR="00BF64C9">
        <w:t> </w:t>
      </w:r>
      <w:proofErr w:type="spellStart"/>
      <w:r w:rsidRPr="00E02C6B">
        <w:t>Lachwitz</w:t>
      </w:r>
      <w:proofErr w:type="spellEnd"/>
      <w:r>
        <w:t xml:space="preserve">, </w:t>
      </w:r>
      <w:r w:rsidRPr="00E02C6B">
        <w:t>L</w:t>
      </w:r>
      <w:r>
        <w:t>.</w:t>
      </w:r>
      <w:r w:rsidR="00BF64C9">
        <w:t> </w:t>
      </w:r>
      <w:r w:rsidRPr="00E02C6B">
        <w:t>Krappmann</w:t>
      </w:r>
      <w:r>
        <w:t xml:space="preserve">, </w:t>
      </w:r>
      <w:r w:rsidRPr="00E02C6B">
        <w:t>H</w:t>
      </w:r>
      <w:r>
        <w:t>.</w:t>
      </w:r>
      <w:r w:rsidR="00BF64C9">
        <w:t> </w:t>
      </w:r>
      <w:proofErr w:type="spellStart"/>
      <w:r w:rsidRPr="00E02C6B">
        <w:t>Loytved</w:t>
      </w:r>
      <w:proofErr w:type="spellEnd"/>
      <w:r w:rsidRPr="00E02C6B">
        <w:t>, R</w:t>
      </w:r>
      <w:r>
        <w:t>.</w:t>
      </w:r>
      <w:r w:rsidR="00BF64C9">
        <w:t> </w:t>
      </w:r>
      <w:r w:rsidRPr="00E02C6B">
        <w:t>Northoff</w:t>
      </w:r>
      <w:r w:rsidR="0093115C">
        <w:t xml:space="preserve"> (Hrsg.),</w:t>
      </w:r>
      <w:r w:rsidRPr="00E02C6B">
        <w:t xml:space="preserve"> </w:t>
      </w:r>
      <w:r w:rsidRPr="00E02C6B">
        <w:rPr>
          <w:i/>
        </w:rPr>
        <w:t>Das Menschenrecht auf gleiche Anerkennung vor dem Recht: Artikel 12 der UN-Behindertenrechtskonvention</w:t>
      </w:r>
      <w:r w:rsidRPr="00E02C6B">
        <w:t xml:space="preserve"> </w:t>
      </w:r>
      <w:r w:rsidR="00A14293">
        <w:t>(S.</w:t>
      </w:r>
      <w:r w:rsidR="005A52E2">
        <w:t> </w:t>
      </w:r>
      <w:r w:rsidR="00A14293">
        <w:t>67</w:t>
      </w:r>
      <w:r w:rsidR="005A52E2">
        <w:t>–</w:t>
      </w:r>
      <w:r w:rsidR="00A14293">
        <w:t>99)</w:t>
      </w:r>
      <w:r w:rsidR="00B80C85">
        <w:t>.</w:t>
      </w:r>
      <w:r w:rsidR="00A14293">
        <w:t xml:space="preserve"> </w:t>
      </w:r>
      <w:r w:rsidRPr="00E02C6B">
        <w:t>Nomos.</w:t>
      </w:r>
    </w:p>
    <w:p w14:paraId="3BB17AED" w14:textId="77777777" w:rsidR="004A34C5" w:rsidRPr="00E02C6B" w:rsidRDefault="004A34C5" w:rsidP="004A34C5">
      <w:pPr>
        <w:pStyle w:val="Literaturverzeichnis"/>
      </w:pPr>
      <w:r w:rsidRPr="00E02C6B">
        <w:lastRenderedPageBreak/>
        <w:t xml:space="preserve">Naef, J., Baumann-Hölzle, R. &amp; Ritzenthaler-Spielmann, D. (2012). </w:t>
      </w:r>
      <w:r w:rsidRPr="00E02C6B">
        <w:rPr>
          <w:i/>
        </w:rPr>
        <w:t>Patientenverfügungen in der Schweiz</w:t>
      </w:r>
      <w:r w:rsidRPr="00E02C6B">
        <w:t xml:space="preserve"> (Basiswissen Recht, Ethik und Medizin für Fachpersonen aus dem Gesundheitswesen).</w:t>
      </w:r>
      <w:r w:rsidR="00C46FD6" w:rsidRPr="00E02C6B">
        <w:t xml:space="preserve"> </w:t>
      </w:r>
      <w:r w:rsidRPr="00E02C6B">
        <w:t>Schulthess Juristische Medien.</w:t>
      </w:r>
    </w:p>
    <w:p w14:paraId="22C5A9F2" w14:textId="77777777" w:rsidR="009C1BD2" w:rsidRPr="00E02C6B" w:rsidRDefault="009C1BD2" w:rsidP="004A34C5">
      <w:pPr>
        <w:pStyle w:val="Literaturverzeichnis"/>
      </w:pPr>
      <w:r w:rsidRPr="00E02C6B">
        <w:t xml:space="preserve">Ritzenthaler-Spielmann, D (2017). </w:t>
      </w:r>
      <w:r w:rsidRPr="00E02C6B">
        <w:rPr>
          <w:i/>
        </w:rPr>
        <w:t>Lebensendentscheidungen bei Menschen mit einer kognitiven Beeinträchtigung</w:t>
      </w:r>
      <w:r w:rsidRPr="00E02C6B">
        <w:t>. Klinkhardt.</w:t>
      </w:r>
    </w:p>
    <w:p w14:paraId="14156635" w14:textId="5989B016" w:rsidR="00F27A04" w:rsidRPr="00DA42D8" w:rsidRDefault="00F27A04" w:rsidP="00F27A04">
      <w:pPr>
        <w:pStyle w:val="Literaturverzeichnis"/>
        <w:rPr>
          <w:lang w:val="en-GB"/>
        </w:rPr>
      </w:pPr>
      <w:r>
        <w:t xml:space="preserve">Schäper, S. (2018). </w:t>
      </w:r>
      <w:r w:rsidRPr="00F27A04">
        <w:t>Einwilligung als Bef</w:t>
      </w:r>
      <w:r w:rsidRPr="00F27A04">
        <w:rPr>
          <w:rFonts w:hint="cs"/>
        </w:rPr>
        <w:t>ä</w:t>
      </w:r>
      <w:r w:rsidRPr="00F27A04">
        <w:t>higungsprozess</w:t>
      </w:r>
      <w:r>
        <w:t>. K</w:t>
      </w:r>
      <w:r w:rsidRPr="00F27A04">
        <w:t>ritische Hinweise zur Praxis der Beteiligung von Probandinnen mit kognitiven Beeintr</w:t>
      </w:r>
      <w:r w:rsidRPr="00F27A04">
        <w:rPr>
          <w:rFonts w:hint="cs"/>
        </w:rPr>
        <w:t>ä</w:t>
      </w:r>
      <w:r w:rsidRPr="00F27A04">
        <w:t>chtigungen in Forschungsprojekten</w:t>
      </w:r>
      <w:r>
        <w:t xml:space="preserve">. </w:t>
      </w:r>
      <w:proofErr w:type="spellStart"/>
      <w:r w:rsidRPr="00DA42D8">
        <w:rPr>
          <w:i/>
          <w:lang w:val="en-GB"/>
        </w:rPr>
        <w:t>Behindertenpädagogik</w:t>
      </w:r>
      <w:proofErr w:type="spellEnd"/>
      <w:r w:rsidR="00791FBA">
        <w:rPr>
          <w:i/>
          <w:lang w:val="en-GB"/>
        </w:rPr>
        <w:t>,</w:t>
      </w:r>
      <w:r w:rsidRPr="00DA42D8">
        <w:rPr>
          <w:i/>
          <w:lang w:val="en-GB"/>
        </w:rPr>
        <w:t xml:space="preserve"> </w:t>
      </w:r>
      <w:r w:rsidRPr="00C23088">
        <w:rPr>
          <w:i/>
          <w:iCs/>
          <w:lang w:val="en-GB"/>
        </w:rPr>
        <w:t>57</w:t>
      </w:r>
      <w:r w:rsidR="00B80C85">
        <w:rPr>
          <w:lang w:val="en-GB"/>
        </w:rPr>
        <w:t> </w:t>
      </w:r>
      <w:r w:rsidR="00FD4FF9">
        <w:rPr>
          <w:lang w:val="en-GB"/>
        </w:rPr>
        <w:t>(</w:t>
      </w:r>
      <w:r w:rsidRPr="00DA42D8">
        <w:rPr>
          <w:lang w:val="en-GB"/>
        </w:rPr>
        <w:t>2</w:t>
      </w:r>
      <w:r w:rsidR="00FD4FF9">
        <w:rPr>
          <w:lang w:val="en-GB"/>
        </w:rPr>
        <w:t xml:space="preserve">), </w:t>
      </w:r>
      <w:r w:rsidRPr="00DA42D8">
        <w:rPr>
          <w:lang w:val="en-GB"/>
        </w:rPr>
        <w:t>134</w:t>
      </w:r>
      <w:r w:rsidR="00FD4FF9">
        <w:rPr>
          <w:lang w:val="en-GB"/>
        </w:rPr>
        <w:t>–</w:t>
      </w:r>
      <w:r w:rsidRPr="00DA42D8">
        <w:rPr>
          <w:lang w:val="en-GB"/>
        </w:rPr>
        <w:t>146.</w:t>
      </w:r>
    </w:p>
    <w:p w14:paraId="13FEC910" w14:textId="039FE874" w:rsidR="00E5478F" w:rsidRPr="00DA42D8" w:rsidRDefault="00E5478F" w:rsidP="00E5478F">
      <w:pPr>
        <w:pStyle w:val="Literaturverzeichnis"/>
        <w:rPr>
          <w:lang w:val="en-GB"/>
        </w:rPr>
      </w:pPr>
      <w:proofErr w:type="spellStart"/>
      <w:r w:rsidRPr="00DA42D8">
        <w:rPr>
          <w:lang w:val="en-GB"/>
        </w:rPr>
        <w:t>Tuffrey-Wijne</w:t>
      </w:r>
      <w:proofErr w:type="spellEnd"/>
      <w:r w:rsidR="00DF5E32">
        <w:rPr>
          <w:lang w:val="en-GB"/>
        </w:rPr>
        <w:t>,</w:t>
      </w:r>
      <w:r w:rsidRPr="00DA42D8">
        <w:rPr>
          <w:lang w:val="en-GB"/>
        </w:rPr>
        <w:t xml:space="preserve"> I. (2003). The palliative care needs of people with intellectual disabilities: a literature review. </w:t>
      </w:r>
      <w:r w:rsidRPr="00DA42D8">
        <w:rPr>
          <w:i/>
          <w:lang w:val="en-GB"/>
        </w:rPr>
        <w:t xml:space="preserve">Palliative </w:t>
      </w:r>
      <w:r w:rsidRPr="00FD6CB0">
        <w:rPr>
          <w:i/>
          <w:lang w:val="en-GB"/>
        </w:rPr>
        <w:t>Medicine</w:t>
      </w:r>
      <w:r w:rsidR="00C66903" w:rsidRPr="00194A1C">
        <w:rPr>
          <w:i/>
          <w:lang w:val="en-GB"/>
        </w:rPr>
        <w:t>,</w:t>
      </w:r>
      <w:r w:rsidRPr="00194A1C">
        <w:rPr>
          <w:i/>
          <w:lang w:val="en-GB"/>
        </w:rPr>
        <w:t>17</w:t>
      </w:r>
      <w:r w:rsidR="00FD4FF9">
        <w:rPr>
          <w:lang w:val="en-GB"/>
        </w:rPr>
        <w:t> </w:t>
      </w:r>
      <w:r w:rsidRPr="00DA42D8">
        <w:rPr>
          <w:lang w:val="en-GB"/>
        </w:rPr>
        <w:t>(1)</w:t>
      </w:r>
      <w:r w:rsidR="00FD4FF9">
        <w:rPr>
          <w:lang w:val="en-GB"/>
        </w:rPr>
        <w:t xml:space="preserve">, </w:t>
      </w:r>
      <w:r w:rsidRPr="00DA42D8">
        <w:rPr>
          <w:lang w:val="en-GB"/>
        </w:rPr>
        <w:t>55</w:t>
      </w:r>
      <w:r w:rsidR="00FD4FF9">
        <w:rPr>
          <w:lang w:val="en-GB"/>
        </w:rPr>
        <w:t>–</w:t>
      </w:r>
      <w:r w:rsidRPr="00DA42D8">
        <w:rPr>
          <w:lang w:val="en-GB"/>
        </w:rPr>
        <w:t xml:space="preserve">62. </w:t>
      </w:r>
      <w:hyperlink r:id="rId23" w:history="1">
        <w:r w:rsidR="007865E1" w:rsidRPr="00F45DE3">
          <w:rPr>
            <w:rStyle w:val="Hyperlink"/>
            <w:lang w:val="en-GB"/>
          </w:rPr>
          <w:t>https://pubmed.ncbi.nlm.nih.gov/12597467/</w:t>
        </w:r>
      </w:hyperlink>
      <w:r w:rsidR="007865E1" w:rsidRPr="00F45DE3">
        <w:rPr>
          <w:lang w:val="en-GB"/>
        </w:rPr>
        <w:t xml:space="preserve"> </w:t>
      </w:r>
    </w:p>
    <w:p w14:paraId="30741B11" w14:textId="4180DA4D" w:rsidR="00F46185" w:rsidRPr="00F45DE3" w:rsidRDefault="00347AEA" w:rsidP="00347AEA">
      <w:pPr>
        <w:pStyle w:val="Literaturverzeichnis"/>
        <w:rPr>
          <w:rStyle w:val="Hyperlink"/>
        </w:rPr>
      </w:pPr>
      <w:proofErr w:type="spellStart"/>
      <w:r w:rsidRPr="00DA42D8">
        <w:rPr>
          <w:lang w:val="en-GB"/>
        </w:rPr>
        <w:t>Tuffrey-Wijne</w:t>
      </w:r>
      <w:proofErr w:type="spellEnd"/>
      <w:r w:rsidRPr="00DA42D8">
        <w:rPr>
          <w:lang w:val="en-GB"/>
        </w:rPr>
        <w:t xml:space="preserve">, I. &amp; McLaughlin, D. (2015). </w:t>
      </w:r>
      <w:r w:rsidRPr="00DA42D8">
        <w:rPr>
          <w:i/>
          <w:lang w:val="en-GB"/>
        </w:rPr>
        <w:t>Consensus Norms for Palliative Care of People with Intellectual Disabilities in Europe</w:t>
      </w:r>
      <w:r w:rsidRPr="00DA42D8">
        <w:rPr>
          <w:lang w:val="en-GB"/>
        </w:rPr>
        <w:t xml:space="preserve"> (European Association for Palliative Care (EAPC), Taskforce on People with Intellectual Disabilities). </w:t>
      </w:r>
      <w:hyperlink r:id="rId24" w:history="1">
        <w:r w:rsidR="00AA17D1" w:rsidRPr="00F45DE3">
          <w:rPr>
            <w:rStyle w:val="Hyperlink"/>
          </w:rPr>
          <w:t>https://www.learningdisabilityanddementia.org/uploads/1/1/5/8/11581920/eapc-white-paper-id_full-version_april-2015.pdf</w:t>
        </w:r>
      </w:hyperlink>
      <w:r w:rsidR="00AA17D1" w:rsidRPr="00F45DE3">
        <w:t xml:space="preserve"> </w:t>
      </w:r>
    </w:p>
    <w:p w14:paraId="4272C76A" w14:textId="5A4AAE6F" w:rsidR="00AF109F" w:rsidRPr="00CA70C2" w:rsidRDefault="00AF109F" w:rsidP="00347AEA">
      <w:pPr>
        <w:pStyle w:val="Literaturverzeichnis"/>
        <w:rPr>
          <w:color w:val="000000" w:themeColor="text1"/>
          <w:lang w:val="fr-CH"/>
        </w:rPr>
      </w:pPr>
      <w:r w:rsidRPr="00194A1C">
        <w:rPr>
          <w:color w:val="000000" w:themeColor="text1"/>
        </w:rPr>
        <w:t>Übereinkommen über die Rechte von Menschen mit Behinderungen (Behindertenrechtskonvention, BRK), vom 13. Dezember 2006, durch die Schweiz ratifiziert am 15. April 2014, in Kraft seit dem 15. </w:t>
      </w:r>
      <w:r w:rsidRPr="00CA70C2">
        <w:rPr>
          <w:color w:val="000000" w:themeColor="text1"/>
          <w:lang w:val="fr-CH"/>
        </w:rPr>
        <w:t>Mai 2014, SR 0.109.</w:t>
      </w:r>
    </w:p>
    <w:p w14:paraId="713F341D" w14:textId="5B51B0AA" w:rsidR="00ED7BB9" w:rsidRPr="00DA42D8" w:rsidRDefault="00ED7BB9" w:rsidP="00ED7BB9">
      <w:pPr>
        <w:pStyle w:val="Literaturverzeichnis"/>
        <w:rPr>
          <w:lang w:val="en-GB"/>
        </w:rPr>
      </w:pPr>
      <w:r w:rsidRPr="00CA70C2">
        <w:rPr>
          <w:lang w:val="fr-CH"/>
        </w:rPr>
        <w:t xml:space="preserve">Voss, H., </w:t>
      </w:r>
      <w:proofErr w:type="spellStart"/>
      <w:r w:rsidRPr="00CA70C2">
        <w:rPr>
          <w:lang w:val="fr-CH"/>
        </w:rPr>
        <w:t>Francke</w:t>
      </w:r>
      <w:proofErr w:type="spellEnd"/>
      <w:r w:rsidRPr="00CA70C2">
        <w:rPr>
          <w:lang w:val="fr-CH"/>
        </w:rPr>
        <w:t>, A.</w:t>
      </w:r>
      <w:r w:rsidR="00ED09FC" w:rsidRPr="00CA70C2">
        <w:rPr>
          <w:lang w:val="fr-CH"/>
        </w:rPr>
        <w:t> </w:t>
      </w:r>
      <w:r w:rsidRPr="00CA70C2">
        <w:rPr>
          <w:lang w:val="fr-CH"/>
        </w:rPr>
        <w:t xml:space="preserve">L. &amp; de </w:t>
      </w:r>
      <w:proofErr w:type="spellStart"/>
      <w:r w:rsidRPr="00CA70C2">
        <w:rPr>
          <w:lang w:val="fr-CH"/>
        </w:rPr>
        <w:t>Veer</w:t>
      </w:r>
      <w:proofErr w:type="spellEnd"/>
      <w:r w:rsidRPr="00CA70C2">
        <w:rPr>
          <w:lang w:val="fr-CH"/>
        </w:rPr>
        <w:t xml:space="preserve">, A. (2021). </w:t>
      </w:r>
      <w:r w:rsidRPr="00DA42D8">
        <w:rPr>
          <w:lang w:val="en-GB"/>
        </w:rPr>
        <w:t xml:space="preserve">Implementation and sustainment of palliative care innovations within organizations for people with intellectual disabilities: A multi-method evaluation, </w:t>
      </w:r>
      <w:r w:rsidRPr="00DA42D8">
        <w:rPr>
          <w:i/>
          <w:lang w:val="en-GB"/>
        </w:rPr>
        <w:t xml:space="preserve">Disability and Health </w:t>
      </w:r>
      <w:r w:rsidRPr="004569F9">
        <w:rPr>
          <w:i/>
          <w:lang w:val="en-GB"/>
        </w:rPr>
        <w:t xml:space="preserve">Journal, </w:t>
      </w:r>
      <w:r w:rsidRPr="00194A1C">
        <w:rPr>
          <w:i/>
          <w:lang w:val="en-GB"/>
        </w:rPr>
        <w:t>14</w:t>
      </w:r>
      <w:r w:rsidR="00960AEC">
        <w:rPr>
          <w:lang w:val="en-GB"/>
        </w:rPr>
        <w:t> (</w:t>
      </w:r>
      <w:r w:rsidRPr="00DA42D8">
        <w:rPr>
          <w:lang w:val="en-GB"/>
        </w:rPr>
        <w:t>2</w:t>
      </w:r>
      <w:r w:rsidR="00960AEC">
        <w:rPr>
          <w:lang w:val="en-GB"/>
        </w:rPr>
        <w:t>)</w:t>
      </w:r>
      <w:r w:rsidRPr="00DA42D8">
        <w:rPr>
          <w:lang w:val="en-GB"/>
        </w:rPr>
        <w:t xml:space="preserve">. </w:t>
      </w:r>
      <w:r w:rsidRPr="00DA42D8">
        <w:rPr>
          <w:color w:val="D31932" w:themeColor="accent1"/>
          <w:lang w:val="en-GB"/>
        </w:rPr>
        <w:t>https://doi.org/10.1016/j.dhjo.2020.101049</w:t>
      </w:r>
    </w:p>
    <w:p w14:paraId="20BF2DAE" w14:textId="57B8C2D5" w:rsidR="005C6DE1" w:rsidRPr="00E02C6B" w:rsidRDefault="005C6DE1" w:rsidP="00347AEA">
      <w:pPr>
        <w:pStyle w:val="Literaturverzeichnis"/>
        <w:rPr>
          <w:color w:val="D31932" w:themeColor="accent1"/>
        </w:rPr>
      </w:pPr>
      <w:r w:rsidRPr="00E02C6B">
        <w:t xml:space="preserve">Wicki, M., &amp; Meier, S. (2015). </w:t>
      </w:r>
      <w:r w:rsidRPr="00E02C6B">
        <w:rPr>
          <w:i/>
        </w:rPr>
        <w:t>Palliative Care für Menschen mit einer intellektuellen Behinderung</w:t>
      </w:r>
      <w:r w:rsidRPr="00C23088">
        <w:rPr>
          <w:i/>
          <w:iCs/>
        </w:rPr>
        <w:t>. Handlungsbedarf und Ma</w:t>
      </w:r>
      <w:r w:rsidRPr="00C23088">
        <w:rPr>
          <w:rFonts w:hint="cs"/>
          <w:i/>
          <w:iCs/>
        </w:rPr>
        <w:t>ß</w:t>
      </w:r>
      <w:r w:rsidRPr="00C23088">
        <w:rPr>
          <w:i/>
          <w:iCs/>
        </w:rPr>
        <w:t>nahmenvorschl</w:t>
      </w:r>
      <w:r w:rsidRPr="00C23088">
        <w:rPr>
          <w:rFonts w:hint="cs"/>
          <w:i/>
          <w:iCs/>
        </w:rPr>
        <w:t>ä</w:t>
      </w:r>
      <w:r w:rsidRPr="00C23088">
        <w:rPr>
          <w:i/>
          <w:iCs/>
        </w:rPr>
        <w:t>ge.</w:t>
      </w:r>
      <w:r w:rsidRPr="00E02C6B">
        <w:t xml:space="preserve"> Bundesamt für Gesundheit. </w:t>
      </w:r>
      <w:hyperlink r:id="rId25" w:history="1">
        <w:r w:rsidR="00066781" w:rsidRPr="00245D5B">
          <w:rPr>
            <w:rStyle w:val="Hyperlink"/>
          </w:rPr>
          <w:t>https://www.bag.admin.ch/bag/de/home/das-bag/publikationen/forschungsberichte/forschungsberichte-palliative-care/intellektuelle-beeintraechtigung-und-palliative-care.html</w:t>
        </w:r>
      </w:hyperlink>
      <w:r w:rsidR="00066781">
        <w:rPr>
          <w:color w:val="D31932" w:themeColor="accent1"/>
        </w:rPr>
        <w:t xml:space="preserve"> </w:t>
      </w:r>
    </w:p>
    <w:sectPr w:rsidR="005C6DE1" w:rsidRPr="00E02C6B" w:rsidSect="00432BE1">
      <w:headerReference w:type="default" r:id="rId26"/>
      <w:footerReference w:type="default" r:id="rId27"/>
      <w:pgSz w:w="11907" w:h="16840" w:code="9"/>
      <w:pgMar w:top="1418" w:right="1418" w:bottom="1134" w:left="1418" w:header="720" w:footer="567" w:gutter="0"/>
      <w:pgNumType w:start="33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D72FA7" w14:textId="77777777" w:rsidR="00C731D3" w:rsidRDefault="00C731D3">
      <w:pPr>
        <w:spacing w:line="240" w:lineRule="auto"/>
      </w:pPr>
      <w:r>
        <w:separator/>
      </w:r>
    </w:p>
  </w:endnote>
  <w:endnote w:type="continuationSeparator" w:id="0">
    <w:p w14:paraId="5D924850" w14:textId="77777777" w:rsidR="00C731D3" w:rsidRDefault="00C731D3">
      <w:pPr>
        <w:spacing w:line="240" w:lineRule="auto"/>
      </w:pPr>
      <w:r>
        <w:continuationSeparator/>
      </w:r>
    </w:p>
  </w:endnote>
  <w:endnote w:type="continuationNotice" w:id="1">
    <w:p w14:paraId="56822CEF" w14:textId="77777777" w:rsidR="00C731D3" w:rsidRDefault="00C731D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 SemiCondensed">
    <w:altName w:val="Segoe UI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  <w:embedRegular r:id="rId1" w:fontKey="{F8F25275-FB66-4AFE-9350-371629CFF1D2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A750A" w14:textId="77777777" w:rsidR="004B3A29" w:rsidRPr="007B448B" w:rsidRDefault="006E210A" w:rsidP="001D3BFB">
    <w:pPr>
      <w:pStyle w:val="Fuzeile"/>
      <w:rPr>
        <w:szCs w:val="22"/>
      </w:rPr>
    </w:pPr>
    <w:r>
      <w:rPr>
        <w:noProof/>
      </w:rPr>
      <w:drawing>
        <wp:anchor distT="0" distB="0" distL="114300" distR="114300" simplePos="0" relativeHeight="251658241" behindDoc="1" locked="0" layoutInCell="1" allowOverlap="1" wp14:anchorId="61A1FA74" wp14:editId="1E122E0D">
          <wp:simplePos x="0" y="0"/>
          <wp:positionH relativeFrom="column">
            <wp:posOffset>-671830</wp:posOffset>
          </wp:positionH>
          <wp:positionV relativeFrom="paragraph">
            <wp:posOffset>-726440</wp:posOffset>
          </wp:positionV>
          <wp:extent cx="101861" cy="849482"/>
          <wp:effectExtent l="0" t="0" r="0" b="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61" cy="8494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D3BFB">
      <w:tab/>
    </w:r>
    <w:r w:rsidR="001D3BFB">
      <w:tab/>
    </w:r>
    <w:r w:rsidR="001D3BFB" w:rsidRPr="007B448B">
      <w:rPr>
        <w:szCs w:val="22"/>
      </w:rPr>
      <w:fldChar w:fldCharType="begin"/>
    </w:r>
    <w:r w:rsidR="001D3BFB" w:rsidRPr="007B448B">
      <w:rPr>
        <w:szCs w:val="22"/>
      </w:rPr>
      <w:instrText>PAGE  \* Arabic  \* MERGEFORMAT</w:instrText>
    </w:r>
    <w:r w:rsidR="001D3BFB" w:rsidRPr="007B448B">
      <w:rPr>
        <w:szCs w:val="22"/>
      </w:rPr>
      <w:fldChar w:fldCharType="separate"/>
    </w:r>
    <w:r w:rsidR="001D3BFB" w:rsidRPr="007B448B">
      <w:rPr>
        <w:szCs w:val="22"/>
      </w:rPr>
      <w:t>1</w:t>
    </w:r>
    <w:r w:rsidR="001D3BFB" w:rsidRPr="007B448B">
      <w:rPr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5124D8" w14:textId="77777777" w:rsidR="00C731D3" w:rsidRPr="00777A2F" w:rsidRDefault="00C731D3" w:rsidP="002E13B6">
      <w:pPr>
        <w:spacing w:line="240" w:lineRule="auto"/>
        <w:rPr>
          <w:rFonts w:asciiTheme="minorHAnsi" w:hAnsiTheme="minorHAnsi"/>
        </w:rPr>
      </w:pPr>
      <w:r w:rsidRPr="00777A2F">
        <w:rPr>
          <w:rFonts w:asciiTheme="minorHAnsi" w:hAnsiTheme="minorHAnsi"/>
        </w:rPr>
        <w:separator/>
      </w:r>
    </w:p>
  </w:footnote>
  <w:footnote w:type="continuationSeparator" w:id="0">
    <w:p w14:paraId="1C308399" w14:textId="77777777" w:rsidR="00C731D3" w:rsidRDefault="00C731D3">
      <w:r>
        <w:continuationSeparator/>
      </w:r>
    </w:p>
  </w:footnote>
  <w:footnote w:type="continuationNotice" w:id="1">
    <w:p w14:paraId="72AE525B" w14:textId="77777777" w:rsidR="00C731D3" w:rsidRDefault="00C731D3">
      <w:pPr>
        <w:spacing w:line="240" w:lineRule="auto"/>
      </w:pPr>
    </w:p>
  </w:footnote>
  <w:footnote w:id="2">
    <w:p w14:paraId="7E068576" w14:textId="1D7E0DE3" w:rsidR="00FA2C8C" w:rsidRDefault="00FA2C8C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FA2C8C">
        <w:t xml:space="preserve">Zum Vergleich: Die Studie von Wicki und Meier (2015) ergab, dass in den Wohneinrichtungen in der Schweiz zwischen 2007 und 2012 3,7 Prozent der </w:t>
      </w:r>
      <w:proofErr w:type="spellStart"/>
      <w:proofErr w:type="gramStart"/>
      <w:r w:rsidRPr="00FA2C8C">
        <w:t>Bewohner:innen</w:t>
      </w:r>
      <w:proofErr w:type="spellEnd"/>
      <w:proofErr w:type="gramEnd"/>
      <w:r w:rsidRPr="00FA2C8C">
        <w:t xml:space="preserve"> von Wohneinrichtungen verstorben sind. Diese Zahl ist etwa doppelt so hoch wie die in Deutschland, was auf die beschriebene Generationenl</w:t>
      </w:r>
      <w:r w:rsidRPr="00FA2C8C">
        <w:rPr>
          <w:rFonts w:hint="cs"/>
        </w:rPr>
        <w:t>ü</w:t>
      </w:r>
      <w:r w:rsidRPr="00FA2C8C">
        <w:t>cke und die daher etwas verschobene Altersentwicklung in Deutschland zur</w:t>
      </w:r>
      <w:r w:rsidRPr="00FA2C8C">
        <w:rPr>
          <w:rFonts w:hint="cs"/>
        </w:rPr>
        <w:t>ü</w:t>
      </w:r>
      <w:r w:rsidRPr="00FA2C8C">
        <w:t>ckgef</w:t>
      </w:r>
      <w:r w:rsidRPr="00FA2C8C">
        <w:rPr>
          <w:rFonts w:hint="cs"/>
        </w:rPr>
        <w:t>ü</w:t>
      </w:r>
      <w:r w:rsidRPr="00FA2C8C">
        <w:t>hrt werden k</w:t>
      </w:r>
      <w:r w:rsidRPr="00FA2C8C">
        <w:rPr>
          <w:rFonts w:hint="cs"/>
        </w:rPr>
        <w:t>ö</w:t>
      </w:r>
      <w:r w:rsidRPr="00FA2C8C">
        <w:t>nnte.</w:t>
      </w:r>
    </w:p>
  </w:footnote>
  <w:footnote w:id="3">
    <w:p w14:paraId="373F9F7C" w14:textId="10694D76" w:rsidR="00ED6C8B" w:rsidRPr="00ED6C8B" w:rsidRDefault="00ED6C8B">
      <w:pPr>
        <w:pStyle w:val="Funotentext"/>
      </w:pPr>
      <w:r>
        <w:rPr>
          <w:rStyle w:val="Funotenzeichen"/>
        </w:rPr>
        <w:footnoteRef/>
      </w:r>
      <w:r>
        <w:t xml:space="preserve"> Die Zahlen basieren auf den im </w:t>
      </w:r>
      <w:proofErr w:type="spellStart"/>
      <w:r>
        <w:t>PiCarDi</w:t>
      </w:r>
      <w:proofErr w:type="spellEnd"/>
      <w:r>
        <w:t>-Projekt erhobenen Daten zu Sterbefällen in Einrichtungen für Menschen mit kognitiver Beeinträchtigung in den Bundesländern Sachsen, Nordrhein-Westfalen und Berlin.</w:t>
      </w:r>
    </w:p>
  </w:footnote>
  <w:footnote w:id="4">
    <w:p w14:paraId="62BA253D" w14:textId="35070411" w:rsidR="0003170A" w:rsidRPr="00094622" w:rsidRDefault="0003170A">
      <w:pPr>
        <w:pStyle w:val="Funotentext"/>
        <w:rPr>
          <w:lang w:val="de-DE"/>
        </w:rPr>
      </w:pPr>
      <w:r>
        <w:rPr>
          <w:rStyle w:val="Funotenzeichen"/>
        </w:rPr>
        <w:footnoteRef/>
      </w:r>
      <w:r>
        <w:t xml:space="preserve"> </w:t>
      </w:r>
      <w:r w:rsidR="001D7B8E">
        <w:rPr>
          <w:lang w:val="de-DE"/>
        </w:rPr>
        <w:t xml:space="preserve">Diese Daten </w:t>
      </w:r>
      <w:r w:rsidR="00ED6C8B">
        <w:rPr>
          <w:lang w:val="de-DE"/>
        </w:rPr>
        <w:t xml:space="preserve">beziehen sich auf Deutschland insgesamt. Analoge Zahlen nur zu den drei Bundesländern, die im Fokus des </w:t>
      </w:r>
      <w:proofErr w:type="spellStart"/>
      <w:r w:rsidR="00ED6C8B">
        <w:rPr>
          <w:lang w:val="de-DE"/>
        </w:rPr>
        <w:t>PiCarDi</w:t>
      </w:r>
      <w:proofErr w:type="spellEnd"/>
      <w:r w:rsidR="00ED6C8B">
        <w:rPr>
          <w:lang w:val="de-DE"/>
        </w:rPr>
        <w:t>-Projektes standen, liegen für die Sterberaten der sog</w:t>
      </w:r>
      <w:r w:rsidR="00AB7FA3">
        <w:rPr>
          <w:lang w:val="de-DE"/>
        </w:rPr>
        <w:t>enannten</w:t>
      </w:r>
      <w:r w:rsidR="00ED6C8B">
        <w:rPr>
          <w:lang w:val="de-DE"/>
        </w:rPr>
        <w:t xml:space="preserve"> Allgemeinbevölkerung nicht vor.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2B542" w14:textId="46EBED69" w:rsidR="007B448B" w:rsidRPr="002E567F" w:rsidRDefault="00307EC7" w:rsidP="007B448B">
    <w:pPr>
      <w:pStyle w:val="Themenschwerpunkt"/>
      <w:rPr>
        <w:lang w:val="de-CH"/>
      </w:rPr>
    </w:pPr>
    <w:r>
      <mc:AlternateContent>
        <mc:Choice Requires="wps">
          <w:drawing>
            <wp:anchor distT="0" distB="0" distL="114299" distR="114299" simplePos="0" relativeHeight="251658240" behindDoc="0" locked="0" layoutInCell="1" allowOverlap="1" wp14:anchorId="2CDC6338" wp14:editId="1DD7248D">
              <wp:simplePos x="0" y="0"/>
              <wp:positionH relativeFrom="column">
                <wp:posOffset>-371476</wp:posOffset>
              </wp:positionH>
              <wp:positionV relativeFrom="paragraph">
                <wp:posOffset>-448310</wp:posOffset>
              </wp:positionV>
              <wp:extent cx="0" cy="12460605"/>
              <wp:effectExtent l="0" t="0" r="38100" b="36195"/>
              <wp:wrapNone/>
              <wp:docPr id="3" name="Straight Connector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0" cy="12460605"/>
                      </a:xfrm>
                      <a:prstGeom prst="line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line w14:anchorId="78EFD403" id="Gerader Verbinder 3" o:spid="_x0000_s1026" alt="&quot;&quot;" style="position:absolute;flip:x;z-index:2516582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-29.25pt,-35.3pt" to="-29.25pt,94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" strokecolor="#d31932 [3204]">
              <o:lock v:ext="edit" shapetype="f"/>
            </v:line>
          </w:pict>
        </mc:Fallback>
      </mc:AlternateContent>
    </w:r>
    <w:r w:rsidR="002E567F">
      <w:rPr>
        <w:lang w:val="de-CH"/>
      </w:rPr>
      <w:t>ETHIK</w:t>
    </w:r>
    <w:r w:rsidR="007B448B" w:rsidRPr="00237079">
      <w:rPr>
        <w:lang w:val="de-CH"/>
      </w:rPr>
      <w:tab/>
    </w:r>
    <w:r w:rsidR="007B448B" w:rsidRPr="00237079">
      <w:rPr>
        <w:lang w:val="de-CH"/>
      </w:rPr>
      <w:tab/>
    </w:r>
    <w:r w:rsidR="00237079" w:rsidRPr="00237079">
      <w:rPr>
        <w:b w:val="0"/>
        <w:bCs/>
        <w:lang w:val="de-CH"/>
      </w:rPr>
      <w:t xml:space="preserve">Schweizerische Zeitschrift für Heilpädagogik, Jg. </w:t>
    </w:r>
    <w:r w:rsidR="0049125E">
      <w:rPr>
        <w:b w:val="0"/>
        <w:bCs/>
        <w:lang w:val="de-CH"/>
      </w:rPr>
      <w:t>29</w:t>
    </w:r>
    <w:r w:rsidR="00237079" w:rsidRPr="00237079">
      <w:rPr>
        <w:b w:val="0"/>
        <w:bCs/>
        <w:lang w:val="de-CH"/>
      </w:rPr>
      <w:t xml:space="preserve">, </w:t>
    </w:r>
    <w:r w:rsidR="00A405AC">
      <w:rPr>
        <w:b w:val="0"/>
        <w:bCs/>
        <w:lang w:val="de-CH"/>
      </w:rPr>
      <w:t>04</w:t>
    </w:r>
    <w:r w:rsidR="00237079" w:rsidRPr="00237079">
      <w:rPr>
        <w:b w:val="0"/>
        <w:bCs/>
        <w:lang w:val="de-CH"/>
      </w:rPr>
      <w:t>/</w:t>
    </w:r>
    <w:r w:rsidR="00A405AC">
      <w:rPr>
        <w:b w:val="0"/>
        <w:bCs/>
        <w:lang w:val="de-CH"/>
      </w:rPr>
      <w:t>2023</w:t>
    </w:r>
  </w:p>
  <w:p w14:paraId="70815C8D" w14:textId="1EABEFAC" w:rsidR="00237079" w:rsidRPr="004177D5" w:rsidRDefault="00B7489C" w:rsidP="004177D5">
    <w:pPr>
      <w:pStyle w:val="Themenschwerpunkt"/>
      <w:rPr>
        <w:b w:val="0"/>
        <w:bCs/>
        <w:lang w:val="de-CH"/>
      </w:rPr>
    </w:pPr>
    <w:r w:rsidRPr="00237079">
      <w:rPr>
        <w:b w:val="0"/>
        <w:bCs/>
        <w:lang w:val="de-CH"/>
      </w:rPr>
      <w:t xml:space="preserve">| </w:t>
    </w:r>
    <w:r w:rsidR="00B71621" w:rsidRPr="00237079">
      <w:rPr>
        <w:b w:val="0"/>
        <w:bCs/>
        <w:lang w:val="de-CH"/>
      </w:rPr>
      <w:t>ARTI</w:t>
    </w:r>
    <w:r w:rsidR="00237079" w:rsidRPr="00237079">
      <w:rPr>
        <w:b w:val="0"/>
        <w:bCs/>
        <w:lang w:val="de-CH"/>
      </w:rPr>
      <w:t>KEL</w:t>
    </w:r>
    <w:r w:rsidR="007B448B" w:rsidRPr="00237079">
      <w:rPr>
        <w:b w:val="0"/>
        <w:bCs/>
        <w:lang w:val="de-CH"/>
      </w:rPr>
      <w:tab/>
    </w:r>
    <w:r w:rsidR="007B448B" w:rsidRPr="00237079">
      <w:rPr>
        <w:b w:val="0"/>
        <w:bCs/>
        <w:lang w:val="de-CH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6D68D2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88AB4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FE2138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426C10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A9CD8C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8380C2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21ED1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208F9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3EC4E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10257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214A9E"/>
    <w:multiLevelType w:val="multilevel"/>
    <w:tmpl w:val="08BA4C14"/>
    <w:styleLink w:val="ArtikelAbschnitt"/>
    <w:lvl w:ilvl="0">
      <w:start w:val="1"/>
      <w:numFmt w:val="none"/>
      <w:lvlText w:val=""/>
      <w:lvlJc w:val="left"/>
      <w:pPr>
        <w:ind w:left="0" w:firstLine="0"/>
      </w:pPr>
      <w:rPr>
        <w:rFonts w:ascii="Open Sans SemiCondensed" w:hAnsi="Open Sans SemiCondensed" w:hint="default"/>
      </w:rPr>
    </w:lvl>
    <w:lvl w:ilvl="1">
      <w:start w:val="1"/>
      <w:numFmt w:val="none"/>
      <w:isLgl/>
      <w:lvlText w:val=""/>
      <w:lvlJc w:val="left"/>
      <w:pPr>
        <w:ind w:left="0" w:firstLine="0"/>
      </w:pPr>
      <w:rPr>
        <w:rFonts w:ascii="Open Sans SemiCondensed" w:hAnsi="Open Sans SemiCondensed"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ascii="Open Sans SemiCondensed" w:hAnsi="Open Sans SemiCondensed" w:hint="default"/>
      </w:rPr>
    </w:lvl>
    <w:lvl w:ilvl="3">
      <w:start w:val="1"/>
      <w:numFmt w:val="none"/>
      <w:pStyle w:val="berschrift4"/>
      <w:lvlText w:val=""/>
      <w:lvlJc w:val="right"/>
      <w:pPr>
        <w:ind w:left="0" w:firstLine="0"/>
      </w:pPr>
      <w:rPr>
        <w:rFonts w:ascii="Open Sans SemiCondensed" w:hAnsi="Open Sans SemiCondensed" w:hint="default"/>
      </w:rPr>
    </w:lvl>
    <w:lvl w:ilvl="4">
      <w:start w:val="1"/>
      <w:numFmt w:val="none"/>
      <w:pStyle w:val="berschrift5"/>
      <w:lvlText w:val=""/>
      <w:lvlJc w:val="left"/>
      <w:pPr>
        <w:ind w:left="0" w:firstLine="0"/>
      </w:pPr>
      <w:rPr>
        <w:rFonts w:ascii="Open Sans SemiCondensed" w:hAnsi="Open Sans SemiCondensed" w:hint="default"/>
      </w:rPr>
    </w:lvl>
    <w:lvl w:ilvl="5">
      <w:start w:val="1"/>
      <w:numFmt w:val="none"/>
      <w:pStyle w:val="berschrift6"/>
      <w:lvlText w:val=""/>
      <w:lvlJc w:val="left"/>
      <w:pPr>
        <w:ind w:left="0" w:firstLine="0"/>
      </w:pPr>
      <w:rPr>
        <w:rFonts w:ascii="Open Sans SemiCondensed" w:hAnsi="Open Sans SemiCondensed" w:hint="default"/>
      </w:rPr>
    </w:lvl>
    <w:lvl w:ilvl="6">
      <w:start w:val="1"/>
      <w:numFmt w:val="none"/>
      <w:pStyle w:val="berschrift7"/>
      <w:lvlText w:val=""/>
      <w:lvlJc w:val="right"/>
      <w:pPr>
        <w:ind w:left="0" w:firstLine="0"/>
      </w:pPr>
      <w:rPr>
        <w:rFonts w:ascii="Open Sans SemiCondensed" w:hAnsi="Open Sans SemiCondensed" w:hint="default"/>
      </w:rPr>
    </w:lvl>
    <w:lvl w:ilvl="7">
      <w:start w:val="1"/>
      <w:numFmt w:val="none"/>
      <w:pStyle w:val="berschrift8"/>
      <w:lvlText w:val=""/>
      <w:lvlJc w:val="left"/>
      <w:pPr>
        <w:ind w:left="0" w:firstLine="0"/>
      </w:pPr>
      <w:rPr>
        <w:rFonts w:ascii="Open Sans SemiCondensed" w:hAnsi="Open Sans SemiCondensed" w:hint="default"/>
      </w:rPr>
    </w:lvl>
    <w:lvl w:ilvl="8">
      <w:start w:val="1"/>
      <w:numFmt w:val="none"/>
      <w:pStyle w:val="berschrift9"/>
      <w:lvlText w:val=""/>
      <w:lvlJc w:val="right"/>
      <w:pPr>
        <w:ind w:left="0" w:firstLine="0"/>
      </w:pPr>
      <w:rPr>
        <w:rFonts w:ascii="Open Sans SemiCondensed" w:hAnsi="Open Sans SemiCondensed" w:hint="default"/>
      </w:rPr>
    </w:lvl>
  </w:abstractNum>
  <w:abstractNum w:abstractNumId="11" w15:restartNumberingAfterBreak="0">
    <w:nsid w:val="04FD0897"/>
    <w:multiLevelType w:val="hybridMultilevel"/>
    <w:tmpl w:val="2B26DBBA"/>
    <w:lvl w:ilvl="0" w:tplc="F190D8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342E5D"/>
    <w:multiLevelType w:val="multilevel"/>
    <w:tmpl w:val="8DD24444"/>
    <w:lvl w:ilvl="0">
      <w:start w:val="1"/>
      <w:numFmt w:val="bullet"/>
      <w:pStyle w:val="Liste"/>
      <w:lvlText w:val=""/>
      <w:lvlJc w:val="left"/>
      <w:pPr>
        <w:ind w:left="169" w:hanging="227"/>
      </w:pPr>
      <w:rPr>
        <w:rFonts w:ascii="Symbol" w:hAnsi="Symbol" w:hint="default"/>
      </w:rPr>
    </w:lvl>
    <w:lvl w:ilvl="1">
      <w:start w:val="1"/>
      <w:numFmt w:val="bullet"/>
      <w:pStyle w:val="Liste2"/>
      <w:lvlText w:val="o"/>
      <w:lvlJc w:val="left"/>
      <w:pPr>
        <w:ind w:left="339" w:hanging="170"/>
      </w:pPr>
      <w:rPr>
        <w:rFonts w:ascii="Courier New" w:hAnsi="Courier New" w:hint="default"/>
      </w:rPr>
    </w:lvl>
    <w:lvl w:ilvl="2">
      <w:start w:val="1"/>
      <w:numFmt w:val="bullet"/>
      <w:pStyle w:val="Liste3"/>
      <w:lvlText w:val=""/>
      <w:lvlJc w:val="left"/>
      <w:pPr>
        <w:ind w:left="509" w:hanging="17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21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57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93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29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65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012" w:hanging="360"/>
      </w:pPr>
      <w:rPr>
        <w:rFonts w:hint="default"/>
      </w:rPr>
    </w:lvl>
  </w:abstractNum>
  <w:abstractNum w:abstractNumId="13" w15:restartNumberingAfterBreak="0">
    <w:nsid w:val="0B317AC0"/>
    <w:multiLevelType w:val="multilevel"/>
    <w:tmpl w:val="EF821572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170CD2DE"/>
    <w:multiLevelType w:val="multilevel"/>
    <w:tmpl w:val="E8F6A8CC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15" w15:restartNumberingAfterBreak="0">
    <w:nsid w:val="1A491185"/>
    <w:multiLevelType w:val="multilevel"/>
    <w:tmpl w:val="FF9A5A82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2136581B"/>
    <w:multiLevelType w:val="hybridMultilevel"/>
    <w:tmpl w:val="9D72C920"/>
    <w:lvl w:ilvl="0" w:tplc="37E4B926">
      <w:start w:val="5"/>
      <w:numFmt w:val="bullet"/>
      <w:lvlText w:val="-"/>
      <w:lvlJc w:val="left"/>
      <w:pPr>
        <w:ind w:left="720" w:hanging="360"/>
      </w:pPr>
      <w:rPr>
        <w:rFonts w:ascii="Open Sans SemiCondensed" w:eastAsiaTheme="minorHAnsi" w:hAnsi="Open Sans SemiCondensed" w:cs="Open Sans SemiCondensed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635DA1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FDF4D61"/>
    <w:multiLevelType w:val="hybridMultilevel"/>
    <w:tmpl w:val="80CCA0A8"/>
    <w:lvl w:ilvl="0" w:tplc="0407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9" w15:restartNumberingAfterBreak="0">
    <w:nsid w:val="35B34016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376A09E0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385F5572"/>
    <w:multiLevelType w:val="hybridMultilevel"/>
    <w:tmpl w:val="F0A0DE24"/>
    <w:lvl w:ilvl="0" w:tplc="92C661E4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39EB2F1F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C4159FC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3C75C70"/>
    <w:multiLevelType w:val="multilevel"/>
    <w:tmpl w:val="0807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4814E00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779247D"/>
    <w:multiLevelType w:val="multilevel"/>
    <w:tmpl w:val="8654D9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2B3CF3"/>
    <w:multiLevelType w:val="multilevel"/>
    <w:tmpl w:val="D16CDD2E"/>
    <w:lvl w:ilvl="0">
      <w:start w:val="1"/>
      <w:numFmt w:val="decimal"/>
      <w:pStyle w:val="Listennummer"/>
      <w:lvlText w:val="%1."/>
      <w:lvlJc w:val="left"/>
      <w:pPr>
        <w:ind w:left="360" w:hanging="360"/>
      </w:pPr>
    </w:lvl>
    <w:lvl w:ilvl="1">
      <w:start w:val="1"/>
      <w:numFmt w:val="decimal"/>
      <w:pStyle w:val="Listennummer2"/>
      <w:lvlText w:val="%1.%2."/>
      <w:lvlJc w:val="left"/>
      <w:pPr>
        <w:ind w:left="792" w:hanging="432"/>
      </w:pPr>
    </w:lvl>
    <w:lvl w:ilvl="2">
      <w:start w:val="1"/>
      <w:numFmt w:val="decimal"/>
      <w:pStyle w:val="Listennummer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50F75C3"/>
    <w:multiLevelType w:val="hybridMultilevel"/>
    <w:tmpl w:val="34867D26"/>
    <w:lvl w:ilvl="0" w:tplc="92C661E4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B25AC9"/>
    <w:multiLevelType w:val="multilevel"/>
    <w:tmpl w:val="22A0C26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0" w15:restartNumberingAfterBreak="0">
    <w:nsid w:val="59817A16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5E1B6C41"/>
    <w:multiLevelType w:val="multilevel"/>
    <w:tmpl w:val="5644F8BC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2" w15:restartNumberingAfterBreak="0">
    <w:nsid w:val="5F4B039B"/>
    <w:multiLevelType w:val="multilevel"/>
    <w:tmpl w:val="D26AD44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3" w15:restartNumberingAfterBreak="0">
    <w:nsid w:val="601D057B"/>
    <w:multiLevelType w:val="hybridMultilevel"/>
    <w:tmpl w:val="6CBE37DE"/>
    <w:lvl w:ilvl="0" w:tplc="D54665B0">
      <w:start w:val="1"/>
      <w:numFmt w:val="bullet"/>
      <w:lvlText w:val=""/>
      <w:lvlJc w:val="left"/>
      <w:pPr>
        <w:ind w:left="927" w:hanging="360"/>
      </w:pPr>
      <w:rPr>
        <w:rFonts w:ascii="Symbol" w:eastAsiaTheme="minorHAnsi" w:hAnsi="Symbol" w:cstheme="minorBidi" w:hint="default"/>
      </w:rPr>
    </w:lvl>
    <w:lvl w:ilvl="1" w:tplc="2000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4" w15:restartNumberingAfterBreak="0">
    <w:nsid w:val="60ED3FE8"/>
    <w:multiLevelType w:val="multilevel"/>
    <w:tmpl w:val="D20EE98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6B58653E"/>
    <w:multiLevelType w:val="multilevel"/>
    <w:tmpl w:val="70363362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6B5E4BFB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C610210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6E2C4A7C"/>
    <w:multiLevelType w:val="hybridMultilevel"/>
    <w:tmpl w:val="42201BE2"/>
    <w:lvl w:ilvl="0" w:tplc="2F0424FC">
      <w:start w:val="1"/>
      <w:numFmt w:val="decimal"/>
      <w:lvlText w:val="%1)"/>
      <w:lvlJc w:val="left"/>
      <w:pPr>
        <w:ind w:left="53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250" w:hanging="360"/>
      </w:pPr>
    </w:lvl>
    <w:lvl w:ilvl="2" w:tplc="0807001B" w:tentative="1">
      <w:start w:val="1"/>
      <w:numFmt w:val="lowerRoman"/>
      <w:lvlText w:val="%3."/>
      <w:lvlJc w:val="right"/>
      <w:pPr>
        <w:ind w:left="1970" w:hanging="180"/>
      </w:pPr>
    </w:lvl>
    <w:lvl w:ilvl="3" w:tplc="0807000F" w:tentative="1">
      <w:start w:val="1"/>
      <w:numFmt w:val="decimal"/>
      <w:lvlText w:val="%4."/>
      <w:lvlJc w:val="left"/>
      <w:pPr>
        <w:ind w:left="2690" w:hanging="360"/>
      </w:pPr>
    </w:lvl>
    <w:lvl w:ilvl="4" w:tplc="08070019" w:tentative="1">
      <w:start w:val="1"/>
      <w:numFmt w:val="lowerLetter"/>
      <w:lvlText w:val="%5."/>
      <w:lvlJc w:val="left"/>
      <w:pPr>
        <w:ind w:left="3410" w:hanging="360"/>
      </w:pPr>
    </w:lvl>
    <w:lvl w:ilvl="5" w:tplc="0807001B" w:tentative="1">
      <w:start w:val="1"/>
      <w:numFmt w:val="lowerRoman"/>
      <w:lvlText w:val="%6."/>
      <w:lvlJc w:val="right"/>
      <w:pPr>
        <w:ind w:left="4130" w:hanging="180"/>
      </w:pPr>
    </w:lvl>
    <w:lvl w:ilvl="6" w:tplc="0807000F" w:tentative="1">
      <w:start w:val="1"/>
      <w:numFmt w:val="decimal"/>
      <w:lvlText w:val="%7."/>
      <w:lvlJc w:val="left"/>
      <w:pPr>
        <w:ind w:left="4850" w:hanging="360"/>
      </w:pPr>
    </w:lvl>
    <w:lvl w:ilvl="7" w:tplc="08070019" w:tentative="1">
      <w:start w:val="1"/>
      <w:numFmt w:val="lowerLetter"/>
      <w:lvlText w:val="%8."/>
      <w:lvlJc w:val="left"/>
      <w:pPr>
        <w:ind w:left="5570" w:hanging="360"/>
      </w:pPr>
    </w:lvl>
    <w:lvl w:ilvl="8" w:tplc="0807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39" w15:restartNumberingAfterBreak="0">
    <w:nsid w:val="6F8B00A5"/>
    <w:multiLevelType w:val="multilevel"/>
    <w:tmpl w:val="8654D9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C1294B"/>
    <w:multiLevelType w:val="hybridMultilevel"/>
    <w:tmpl w:val="5A562022"/>
    <w:lvl w:ilvl="0" w:tplc="DB4A5C4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1D6C59"/>
    <w:multiLevelType w:val="hybridMultilevel"/>
    <w:tmpl w:val="2762288C"/>
    <w:lvl w:ilvl="0" w:tplc="0807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42" w15:restartNumberingAfterBreak="0">
    <w:nsid w:val="787C0DBC"/>
    <w:multiLevelType w:val="multilevel"/>
    <w:tmpl w:val="D3283B2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3" w15:restartNumberingAfterBreak="0">
    <w:nsid w:val="7DC36AB4"/>
    <w:multiLevelType w:val="hybridMultilevel"/>
    <w:tmpl w:val="8A54242A"/>
    <w:lvl w:ilvl="0" w:tplc="FBA8F068">
      <w:start w:val="1"/>
      <w:numFmt w:val="bullet"/>
      <w:lvlText w:val=""/>
      <w:lvlJc w:val="left"/>
      <w:pPr>
        <w:ind w:left="405" w:hanging="360"/>
      </w:pPr>
      <w:rPr>
        <w:rFonts w:ascii="Symbol" w:eastAsiaTheme="minorHAnsi" w:hAnsi="Symbol" w:cstheme="minorBidi" w:hint="default"/>
      </w:rPr>
    </w:lvl>
    <w:lvl w:ilvl="1" w:tplc="2000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181356447">
    <w:abstractNumId w:val="14"/>
  </w:num>
  <w:num w:numId="2" w16cid:durableId="256602157">
    <w:abstractNumId w:val="8"/>
  </w:num>
  <w:num w:numId="3" w16cid:durableId="347803419">
    <w:abstractNumId w:val="3"/>
  </w:num>
  <w:num w:numId="4" w16cid:durableId="1374692677">
    <w:abstractNumId w:val="2"/>
  </w:num>
  <w:num w:numId="5" w16cid:durableId="1681008920">
    <w:abstractNumId w:val="1"/>
  </w:num>
  <w:num w:numId="6" w16cid:durableId="624238352">
    <w:abstractNumId w:val="0"/>
  </w:num>
  <w:num w:numId="7" w16cid:durableId="452094120">
    <w:abstractNumId w:val="9"/>
  </w:num>
  <w:num w:numId="8" w16cid:durableId="1613322302">
    <w:abstractNumId w:val="7"/>
  </w:num>
  <w:num w:numId="9" w16cid:durableId="1194687890">
    <w:abstractNumId w:val="6"/>
  </w:num>
  <w:num w:numId="10" w16cid:durableId="851336300">
    <w:abstractNumId w:val="5"/>
  </w:num>
  <w:num w:numId="11" w16cid:durableId="73213476">
    <w:abstractNumId w:val="4"/>
  </w:num>
  <w:num w:numId="12" w16cid:durableId="1882981774">
    <w:abstractNumId w:val="21"/>
  </w:num>
  <w:num w:numId="13" w16cid:durableId="1196313889">
    <w:abstractNumId w:val="28"/>
  </w:num>
  <w:num w:numId="14" w16cid:durableId="1928491966">
    <w:abstractNumId w:val="11"/>
  </w:num>
  <w:num w:numId="15" w16cid:durableId="1042171094">
    <w:abstractNumId w:val="26"/>
  </w:num>
  <w:num w:numId="16" w16cid:durableId="2022273855">
    <w:abstractNumId w:val="39"/>
  </w:num>
  <w:num w:numId="17" w16cid:durableId="637415841">
    <w:abstractNumId w:val="12"/>
  </w:num>
  <w:num w:numId="18" w16cid:durableId="1808621338">
    <w:abstractNumId w:val="33"/>
  </w:num>
  <w:num w:numId="19" w16cid:durableId="23792214">
    <w:abstractNumId w:val="43"/>
  </w:num>
  <w:num w:numId="20" w16cid:durableId="2129423155">
    <w:abstractNumId w:val="40"/>
  </w:num>
  <w:num w:numId="21" w16cid:durableId="1436556128">
    <w:abstractNumId w:val="27"/>
  </w:num>
  <w:num w:numId="22" w16cid:durableId="976835739">
    <w:abstractNumId w:val="15"/>
  </w:num>
  <w:num w:numId="23" w16cid:durableId="209927855">
    <w:abstractNumId w:val="31"/>
  </w:num>
  <w:num w:numId="24" w16cid:durableId="1643459519">
    <w:abstractNumId w:val="35"/>
  </w:num>
  <w:num w:numId="25" w16cid:durableId="822820370">
    <w:abstractNumId w:val="22"/>
  </w:num>
  <w:num w:numId="26" w16cid:durableId="1855923281">
    <w:abstractNumId w:val="23"/>
  </w:num>
  <w:num w:numId="27" w16cid:durableId="600721279">
    <w:abstractNumId w:val="29"/>
  </w:num>
  <w:num w:numId="28" w16cid:durableId="190726117">
    <w:abstractNumId w:val="24"/>
  </w:num>
  <w:num w:numId="29" w16cid:durableId="347411035">
    <w:abstractNumId w:val="36"/>
  </w:num>
  <w:num w:numId="30" w16cid:durableId="1918441926">
    <w:abstractNumId w:val="37"/>
  </w:num>
  <w:num w:numId="31" w16cid:durableId="349919755">
    <w:abstractNumId w:val="19"/>
  </w:num>
  <w:num w:numId="32" w16cid:durableId="1041320391">
    <w:abstractNumId w:val="17"/>
  </w:num>
  <w:num w:numId="33" w16cid:durableId="268465143">
    <w:abstractNumId w:val="30"/>
  </w:num>
  <w:num w:numId="34" w16cid:durableId="2026899140">
    <w:abstractNumId w:val="42"/>
  </w:num>
  <w:num w:numId="35" w16cid:durableId="222109543">
    <w:abstractNumId w:val="34"/>
  </w:num>
  <w:num w:numId="36" w16cid:durableId="239947260">
    <w:abstractNumId w:val="25"/>
  </w:num>
  <w:num w:numId="37" w16cid:durableId="1743411629">
    <w:abstractNumId w:val="20"/>
  </w:num>
  <w:num w:numId="38" w16cid:durableId="185600540">
    <w:abstractNumId w:val="32"/>
  </w:num>
  <w:num w:numId="39" w16cid:durableId="914048317">
    <w:abstractNumId w:val="13"/>
  </w:num>
  <w:num w:numId="40" w16cid:durableId="1902671767">
    <w:abstractNumId w:val="10"/>
  </w:num>
  <w:num w:numId="41" w16cid:durableId="868496839">
    <w:abstractNumId w:val="16"/>
  </w:num>
  <w:num w:numId="42" w16cid:durableId="449520771">
    <w:abstractNumId w:val="41"/>
  </w:num>
  <w:num w:numId="43" w16cid:durableId="10032946">
    <w:abstractNumId w:val="38"/>
  </w:num>
  <w:num w:numId="44" w16cid:durableId="159397605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TrueTypeFonts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stylePaneSortMethod w:val="0002"/>
  <w:defaultTabStop w:val="720"/>
  <w:autoHyphenation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2A8"/>
    <w:rsid w:val="00005AC3"/>
    <w:rsid w:val="000075C8"/>
    <w:rsid w:val="00013202"/>
    <w:rsid w:val="00013E09"/>
    <w:rsid w:val="00014EC7"/>
    <w:rsid w:val="00016168"/>
    <w:rsid w:val="00016BFF"/>
    <w:rsid w:val="00016C55"/>
    <w:rsid w:val="00022E71"/>
    <w:rsid w:val="00024143"/>
    <w:rsid w:val="00025554"/>
    <w:rsid w:val="000272D0"/>
    <w:rsid w:val="000275AD"/>
    <w:rsid w:val="000302CB"/>
    <w:rsid w:val="0003170A"/>
    <w:rsid w:val="0003314D"/>
    <w:rsid w:val="000339A7"/>
    <w:rsid w:val="00034C38"/>
    <w:rsid w:val="000352CE"/>
    <w:rsid w:val="000356E4"/>
    <w:rsid w:val="000365EC"/>
    <w:rsid w:val="00036AFC"/>
    <w:rsid w:val="0004035A"/>
    <w:rsid w:val="0004218D"/>
    <w:rsid w:val="0004452E"/>
    <w:rsid w:val="00044EBB"/>
    <w:rsid w:val="000520EC"/>
    <w:rsid w:val="00052F66"/>
    <w:rsid w:val="00053094"/>
    <w:rsid w:val="00053353"/>
    <w:rsid w:val="00057A8D"/>
    <w:rsid w:val="000638F6"/>
    <w:rsid w:val="00064E18"/>
    <w:rsid w:val="00066781"/>
    <w:rsid w:val="000728FD"/>
    <w:rsid w:val="000759D7"/>
    <w:rsid w:val="000765E1"/>
    <w:rsid w:val="00076A1D"/>
    <w:rsid w:val="0008341D"/>
    <w:rsid w:val="00083458"/>
    <w:rsid w:val="00083C51"/>
    <w:rsid w:val="000873AD"/>
    <w:rsid w:val="000909B4"/>
    <w:rsid w:val="00093303"/>
    <w:rsid w:val="00093561"/>
    <w:rsid w:val="00094622"/>
    <w:rsid w:val="00094DDE"/>
    <w:rsid w:val="000A40F3"/>
    <w:rsid w:val="000B0766"/>
    <w:rsid w:val="000B2AE8"/>
    <w:rsid w:val="000B410B"/>
    <w:rsid w:val="000B4B8F"/>
    <w:rsid w:val="000B5BB8"/>
    <w:rsid w:val="000C6D27"/>
    <w:rsid w:val="000D143F"/>
    <w:rsid w:val="000D30C4"/>
    <w:rsid w:val="000D3765"/>
    <w:rsid w:val="000D3C1B"/>
    <w:rsid w:val="000E0522"/>
    <w:rsid w:val="000E492C"/>
    <w:rsid w:val="000E6A66"/>
    <w:rsid w:val="000E732C"/>
    <w:rsid w:val="000F0956"/>
    <w:rsid w:val="000F4B54"/>
    <w:rsid w:val="000F4CD3"/>
    <w:rsid w:val="000F5288"/>
    <w:rsid w:val="000F728D"/>
    <w:rsid w:val="00100169"/>
    <w:rsid w:val="00102172"/>
    <w:rsid w:val="0010334E"/>
    <w:rsid w:val="00103C40"/>
    <w:rsid w:val="001114E2"/>
    <w:rsid w:val="001128BB"/>
    <w:rsid w:val="001150A5"/>
    <w:rsid w:val="001154F8"/>
    <w:rsid w:val="00115EF5"/>
    <w:rsid w:val="001161D6"/>
    <w:rsid w:val="00117142"/>
    <w:rsid w:val="00120CBF"/>
    <w:rsid w:val="0012743D"/>
    <w:rsid w:val="0013000D"/>
    <w:rsid w:val="00130ED3"/>
    <w:rsid w:val="00131769"/>
    <w:rsid w:val="001331DC"/>
    <w:rsid w:val="00133F3E"/>
    <w:rsid w:val="001403DA"/>
    <w:rsid w:val="00140FAB"/>
    <w:rsid w:val="00142FF7"/>
    <w:rsid w:val="001434FD"/>
    <w:rsid w:val="00143FFA"/>
    <w:rsid w:val="001477A5"/>
    <w:rsid w:val="001507A6"/>
    <w:rsid w:val="00151BCA"/>
    <w:rsid w:val="00152023"/>
    <w:rsid w:val="00153133"/>
    <w:rsid w:val="00153493"/>
    <w:rsid w:val="00154946"/>
    <w:rsid w:val="00156417"/>
    <w:rsid w:val="00157D7E"/>
    <w:rsid w:val="00157F81"/>
    <w:rsid w:val="00167858"/>
    <w:rsid w:val="00170CA5"/>
    <w:rsid w:val="00173EE4"/>
    <w:rsid w:val="00176419"/>
    <w:rsid w:val="00183B9C"/>
    <w:rsid w:val="00186844"/>
    <w:rsid w:val="00194A1C"/>
    <w:rsid w:val="00197958"/>
    <w:rsid w:val="001A0F6E"/>
    <w:rsid w:val="001A2EEC"/>
    <w:rsid w:val="001A3389"/>
    <w:rsid w:val="001B05BD"/>
    <w:rsid w:val="001B09FA"/>
    <w:rsid w:val="001B16E8"/>
    <w:rsid w:val="001B1BD6"/>
    <w:rsid w:val="001B25F3"/>
    <w:rsid w:val="001B26CE"/>
    <w:rsid w:val="001B4015"/>
    <w:rsid w:val="001B4505"/>
    <w:rsid w:val="001B6519"/>
    <w:rsid w:val="001B7781"/>
    <w:rsid w:val="001C03FB"/>
    <w:rsid w:val="001C5BE8"/>
    <w:rsid w:val="001D1C57"/>
    <w:rsid w:val="001D3BFB"/>
    <w:rsid w:val="001D66B6"/>
    <w:rsid w:val="001D7B8E"/>
    <w:rsid w:val="001E3BE9"/>
    <w:rsid w:val="001E6858"/>
    <w:rsid w:val="001F2A01"/>
    <w:rsid w:val="001F6DAA"/>
    <w:rsid w:val="00201B29"/>
    <w:rsid w:val="00202A19"/>
    <w:rsid w:val="0020358C"/>
    <w:rsid w:val="0020467E"/>
    <w:rsid w:val="00205A51"/>
    <w:rsid w:val="00207FD1"/>
    <w:rsid w:val="00213050"/>
    <w:rsid w:val="0021373E"/>
    <w:rsid w:val="00214F2B"/>
    <w:rsid w:val="00221A9E"/>
    <w:rsid w:val="00226608"/>
    <w:rsid w:val="00231758"/>
    <w:rsid w:val="002321C6"/>
    <w:rsid w:val="00235A6C"/>
    <w:rsid w:val="00235D43"/>
    <w:rsid w:val="00237079"/>
    <w:rsid w:val="00241303"/>
    <w:rsid w:val="002435B8"/>
    <w:rsid w:val="002443A6"/>
    <w:rsid w:val="0024574D"/>
    <w:rsid w:val="00256758"/>
    <w:rsid w:val="00261D5E"/>
    <w:rsid w:val="00265ABB"/>
    <w:rsid w:val="0026768B"/>
    <w:rsid w:val="00267E47"/>
    <w:rsid w:val="00271B91"/>
    <w:rsid w:val="00272E72"/>
    <w:rsid w:val="002736C1"/>
    <w:rsid w:val="002750BC"/>
    <w:rsid w:val="00276B2C"/>
    <w:rsid w:val="00276E45"/>
    <w:rsid w:val="002817F3"/>
    <w:rsid w:val="002837C6"/>
    <w:rsid w:val="00283F6A"/>
    <w:rsid w:val="00284EA0"/>
    <w:rsid w:val="002862AA"/>
    <w:rsid w:val="002869CA"/>
    <w:rsid w:val="00292B7F"/>
    <w:rsid w:val="002A15E2"/>
    <w:rsid w:val="002A25EE"/>
    <w:rsid w:val="002B0344"/>
    <w:rsid w:val="002B2853"/>
    <w:rsid w:val="002B28D4"/>
    <w:rsid w:val="002B2EAC"/>
    <w:rsid w:val="002B32A8"/>
    <w:rsid w:val="002B39EC"/>
    <w:rsid w:val="002B5E15"/>
    <w:rsid w:val="002C5235"/>
    <w:rsid w:val="002D39A1"/>
    <w:rsid w:val="002D7B6A"/>
    <w:rsid w:val="002E13B6"/>
    <w:rsid w:val="002E2703"/>
    <w:rsid w:val="002E3785"/>
    <w:rsid w:val="002E4BC9"/>
    <w:rsid w:val="002E5374"/>
    <w:rsid w:val="002E567F"/>
    <w:rsid w:val="002E665F"/>
    <w:rsid w:val="002F00B0"/>
    <w:rsid w:val="002F13BB"/>
    <w:rsid w:val="002F3540"/>
    <w:rsid w:val="002F38FB"/>
    <w:rsid w:val="002F3D29"/>
    <w:rsid w:val="002F6D97"/>
    <w:rsid w:val="002F728A"/>
    <w:rsid w:val="00300B35"/>
    <w:rsid w:val="003020F7"/>
    <w:rsid w:val="0030447C"/>
    <w:rsid w:val="0030678E"/>
    <w:rsid w:val="00307EC7"/>
    <w:rsid w:val="00311AE2"/>
    <w:rsid w:val="00314E31"/>
    <w:rsid w:val="00315E74"/>
    <w:rsid w:val="00322024"/>
    <w:rsid w:val="003222A6"/>
    <w:rsid w:val="003241A1"/>
    <w:rsid w:val="00330D61"/>
    <w:rsid w:val="0033113B"/>
    <w:rsid w:val="00336C5E"/>
    <w:rsid w:val="003420B7"/>
    <w:rsid w:val="0034290D"/>
    <w:rsid w:val="00346623"/>
    <w:rsid w:val="00346EAA"/>
    <w:rsid w:val="00347AEA"/>
    <w:rsid w:val="00347DF6"/>
    <w:rsid w:val="0035077A"/>
    <w:rsid w:val="0035161B"/>
    <w:rsid w:val="00351B98"/>
    <w:rsid w:val="00351E94"/>
    <w:rsid w:val="003534FE"/>
    <w:rsid w:val="00360D6A"/>
    <w:rsid w:val="00364145"/>
    <w:rsid w:val="00364E6F"/>
    <w:rsid w:val="0036569A"/>
    <w:rsid w:val="00365730"/>
    <w:rsid w:val="003714FD"/>
    <w:rsid w:val="003738F5"/>
    <w:rsid w:val="003755D3"/>
    <w:rsid w:val="00376A2A"/>
    <w:rsid w:val="00380202"/>
    <w:rsid w:val="003813EC"/>
    <w:rsid w:val="003819B7"/>
    <w:rsid w:val="00382314"/>
    <w:rsid w:val="00383074"/>
    <w:rsid w:val="00383637"/>
    <w:rsid w:val="003861B3"/>
    <w:rsid w:val="00386CFF"/>
    <w:rsid w:val="00387235"/>
    <w:rsid w:val="00391619"/>
    <w:rsid w:val="00393CF3"/>
    <w:rsid w:val="00394AA5"/>
    <w:rsid w:val="00394CFA"/>
    <w:rsid w:val="00395938"/>
    <w:rsid w:val="0039627E"/>
    <w:rsid w:val="003A0C13"/>
    <w:rsid w:val="003A0EA7"/>
    <w:rsid w:val="003A2717"/>
    <w:rsid w:val="003A545D"/>
    <w:rsid w:val="003B0A8C"/>
    <w:rsid w:val="003B0CC8"/>
    <w:rsid w:val="003B4C81"/>
    <w:rsid w:val="003B504E"/>
    <w:rsid w:val="003B55C5"/>
    <w:rsid w:val="003B6979"/>
    <w:rsid w:val="003B6F22"/>
    <w:rsid w:val="003B7229"/>
    <w:rsid w:val="003C2773"/>
    <w:rsid w:val="003D2177"/>
    <w:rsid w:val="003D221C"/>
    <w:rsid w:val="003D31E5"/>
    <w:rsid w:val="003D44D5"/>
    <w:rsid w:val="003D470E"/>
    <w:rsid w:val="003D502F"/>
    <w:rsid w:val="003D5067"/>
    <w:rsid w:val="003D7463"/>
    <w:rsid w:val="003D79A5"/>
    <w:rsid w:val="003E022D"/>
    <w:rsid w:val="003E0578"/>
    <w:rsid w:val="003E3F16"/>
    <w:rsid w:val="003E4272"/>
    <w:rsid w:val="003E60C7"/>
    <w:rsid w:val="003E76B5"/>
    <w:rsid w:val="003F0987"/>
    <w:rsid w:val="003F1245"/>
    <w:rsid w:val="003F444B"/>
    <w:rsid w:val="003F4D42"/>
    <w:rsid w:val="003F55DF"/>
    <w:rsid w:val="003F68EF"/>
    <w:rsid w:val="003F6A6B"/>
    <w:rsid w:val="003F6F17"/>
    <w:rsid w:val="003F78C2"/>
    <w:rsid w:val="0040096E"/>
    <w:rsid w:val="0040160F"/>
    <w:rsid w:val="004019DB"/>
    <w:rsid w:val="00401ACB"/>
    <w:rsid w:val="004027D5"/>
    <w:rsid w:val="00404AAF"/>
    <w:rsid w:val="00404F18"/>
    <w:rsid w:val="004070A1"/>
    <w:rsid w:val="004108D3"/>
    <w:rsid w:val="00413F57"/>
    <w:rsid w:val="00414332"/>
    <w:rsid w:val="00415333"/>
    <w:rsid w:val="004177D5"/>
    <w:rsid w:val="00421D05"/>
    <w:rsid w:val="004236C5"/>
    <w:rsid w:val="00424F67"/>
    <w:rsid w:val="00426606"/>
    <w:rsid w:val="00427F77"/>
    <w:rsid w:val="00430C76"/>
    <w:rsid w:val="00432BE1"/>
    <w:rsid w:val="00432F97"/>
    <w:rsid w:val="00433406"/>
    <w:rsid w:val="00433FFF"/>
    <w:rsid w:val="004348C2"/>
    <w:rsid w:val="00440D56"/>
    <w:rsid w:val="00441F45"/>
    <w:rsid w:val="004421C7"/>
    <w:rsid w:val="00443F4B"/>
    <w:rsid w:val="0044517F"/>
    <w:rsid w:val="00450DDF"/>
    <w:rsid w:val="0045144F"/>
    <w:rsid w:val="0045212E"/>
    <w:rsid w:val="00452671"/>
    <w:rsid w:val="004543F1"/>
    <w:rsid w:val="00454BCF"/>
    <w:rsid w:val="004569F9"/>
    <w:rsid w:val="004602B5"/>
    <w:rsid w:val="004609F9"/>
    <w:rsid w:val="004642E4"/>
    <w:rsid w:val="00467D26"/>
    <w:rsid w:val="00467E46"/>
    <w:rsid w:val="0047168D"/>
    <w:rsid w:val="00475221"/>
    <w:rsid w:val="004815EE"/>
    <w:rsid w:val="004822F1"/>
    <w:rsid w:val="00483569"/>
    <w:rsid w:val="00483826"/>
    <w:rsid w:val="00483876"/>
    <w:rsid w:val="00483AD4"/>
    <w:rsid w:val="00486270"/>
    <w:rsid w:val="004862A4"/>
    <w:rsid w:val="0049125E"/>
    <w:rsid w:val="00491FFA"/>
    <w:rsid w:val="004923A0"/>
    <w:rsid w:val="00492716"/>
    <w:rsid w:val="004927CF"/>
    <w:rsid w:val="00492FC7"/>
    <w:rsid w:val="004955A2"/>
    <w:rsid w:val="00496413"/>
    <w:rsid w:val="004A08EF"/>
    <w:rsid w:val="004A2854"/>
    <w:rsid w:val="004A34C5"/>
    <w:rsid w:val="004A5D96"/>
    <w:rsid w:val="004A66F1"/>
    <w:rsid w:val="004B1834"/>
    <w:rsid w:val="004B29F8"/>
    <w:rsid w:val="004B2D43"/>
    <w:rsid w:val="004B3001"/>
    <w:rsid w:val="004B3754"/>
    <w:rsid w:val="004B3A29"/>
    <w:rsid w:val="004B47AB"/>
    <w:rsid w:val="004B6FDD"/>
    <w:rsid w:val="004C13EB"/>
    <w:rsid w:val="004C4A76"/>
    <w:rsid w:val="004D136F"/>
    <w:rsid w:val="004D1EDC"/>
    <w:rsid w:val="004D3BD9"/>
    <w:rsid w:val="004D3D88"/>
    <w:rsid w:val="004D542D"/>
    <w:rsid w:val="004D58AC"/>
    <w:rsid w:val="004E232F"/>
    <w:rsid w:val="004E515D"/>
    <w:rsid w:val="004E6E03"/>
    <w:rsid w:val="004F4705"/>
    <w:rsid w:val="004F5C23"/>
    <w:rsid w:val="005037F6"/>
    <w:rsid w:val="00503D63"/>
    <w:rsid w:val="005055B4"/>
    <w:rsid w:val="005055D5"/>
    <w:rsid w:val="00511514"/>
    <w:rsid w:val="00512B58"/>
    <w:rsid w:val="00512C44"/>
    <w:rsid w:val="00513649"/>
    <w:rsid w:val="00515553"/>
    <w:rsid w:val="005166E6"/>
    <w:rsid w:val="00517775"/>
    <w:rsid w:val="00521559"/>
    <w:rsid w:val="00523E19"/>
    <w:rsid w:val="0052738A"/>
    <w:rsid w:val="00530E98"/>
    <w:rsid w:val="00531520"/>
    <w:rsid w:val="0053169F"/>
    <w:rsid w:val="00531F94"/>
    <w:rsid w:val="00533DA1"/>
    <w:rsid w:val="00537C50"/>
    <w:rsid w:val="005443BF"/>
    <w:rsid w:val="00546490"/>
    <w:rsid w:val="00547352"/>
    <w:rsid w:val="00550C13"/>
    <w:rsid w:val="00550F57"/>
    <w:rsid w:val="00551857"/>
    <w:rsid w:val="00556E20"/>
    <w:rsid w:val="0056578A"/>
    <w:rsid w:val="0056595B"/>
    <w:rsid w:val="00566268"/>
    <w:rsid w:val="00566877"/>
    <w:rsid w:val="00567B3C"/>
    <w:rsid w:val="00570681"/>
    <w:rsid w:val="00570BC7"/>
    <w:rsid w:val="00571774"/>
    <w:rsid w:val="00571C0D"/>
    <w:rsid w:val="00572C4C"/>
    <w:rsid w:val="0057605E"/>
    <w:rsid w:val="00576E09"/>
    <w:rsid w:val="00577261"/>
    <w:rsid w:val="00577C83"/>
    <w:rsid w:val="00581DB2"/>
    <w:rsid w:val="00583DB2"/>
    <w:rsid w:val="00583E5F"/>
    <w:rsid w:val="00584DE6"/>
    <w:rsid w:val="00585ED0"/>
    <w:rsid w:val="00585F08"/>
    <w:rsid w:val="00587EF6"/>
    <w:rsid w:val="00592B57"/>
    <w:rsid w:val="00594160"/>
    <w:rsid w:val="00594747"/>
    <w:rsid w:val="00594844"/>
    <w:rsid w:val="00595287"/>
    <w:rsid w:val="005959C2"/>
    <w:rsid w:val="005A13E5"/>
    <w:rsid w:val="005A198C"/>
    <w:rsid w:val="005A2893"/>
    <w:rsid w:val="005A52E2"/>
    <w:rsid w:val="005A646E"/>
    <w:rsid w:val="005A6F41"/>
    <w:rsid w:val="005A7AE7"/>
    <w:rsid w:val="005B00CC"/>
    <w:rsid w:val="005B1399"/>
    <w:rsid w:val="005B15FA"/>
    <w:rsid w:val="005B1D4B"/>
    <w:rsid w:val="005C1626"/>
    <w:rsid w:val="005C21DA"/>
    <w:rsid w:val="005C2542"/>
    <w:rsid w:val="005C6010"/>
    <w:rsid w:val="005C6DD2"/>
    <w:rsid w:val="005C6DE1"/>
    <w:rsid w:val="005C772D"/>
    <w:rsid w:val="005D0CED"/>
    <w:rsid w:val="005D113D"/>
    <w:rsid w:val="005D15B8"/>
    <w:rsid w:val="005D186C"/>
    <w:rsid w:val="005D2459"/>
    <w:rsid w:val="005D2924"/>
    <w:rsid w:val="005D45D3"/>
    <w:rsid w:val="005D71A0"/>
    <w:rsid w:val="005D7F8A"/>
    <w:rsid w:val="005E0C27"/>
    <w:rsid w:val="005E150A"/>
    <w:rsid w:val="005E1D7B"/>
    <w:rsid w:val="005E22BD"/>
    <w:rsid w:val="005E28CB"/>
    <w:rsid w:val="005E30CE"/>
    <w:rsid w:val="005E6973"/>
    <w:rsid w:val="005E7DD5"/>
    <w:rsid w:val="005F4B5F"/>
    <w:rsid w:val="005F5BA4"/>
    <w:rsid w:val="00601708"/>
    <w:rsid w:val="00602655"/>
    <w:rsid w:val="0060556F"/>
    <w:rsid w:val="00606BD6"/>
    <w:rsid w:val="006111D5"/>
    <w:rsid w:val="006111F5"/>
    <w:rsid w:val="00614FB7"/>
    <w:rsid w:val="00617EA1"/>
    <w:rsid w:val="00621C22"/>
    <w:rsid w:val="00623E11"/>
    <w:rsid w:val="00624556"/>
    <w:rsid w:val="00625B09"/>
    <w:rsid w:val="00626A34"/>
    <w:rsid w:val="00630883"/>
    <w:rsid w:val="00630CBB"/>
    <w:rsid w:val="0063644E"/>
    <w:rsid w:val="00637079"/>
    <w:rsid w:val="00637C20"/>
    <w:rsid w:val="00640AA5"/>
    <w:rsid w:val="006411DE"/>
    <w:rsid w:val="006422B1"/>
    <w:rsid w:val="006448C5"/>
    <w:rsid w:val="006452C0"/>
    <w:rsid w:val="006528FE"/>
    <w:rsid w:val="00652C21"/>
    <w:rsid w:val="006539DA"/>
    <w:rsid w:val="006555BD"/>
    <w:rsid w:val="0066355A"/>
    <w:rsid w:val="006635B0"/>
    <w:rsid w:val="006644ED"/>
    <w:rsid w:val="00664975"/>
    <w:rsid w:val="006676E2"/>
    <w:rsid w:val="00671605"/>
    <w:rsid w:val="006748E4"/>
    <w:rsid w:val="00675AE1"/>
    <w:rsid w:val="006771C5"/>
    <w:rsid w:val="006804E6"/>
    <w:rsid w:val="00682B8C"/>
    <w:rsid w:val="00683D19"/>
    <w:rsid w:val="00683ED1"/>
    <w:rsid w:val="00684705"/>
    <w:rsid w:val="00684993"/>
    <w:rsid w:val="00685EB4"/>
    <w:rsid w:val="0068702F"/>
    <w:rsid w:val="006900A4"/>
    <w:rsid w:val="0069040D"/>
    <w:rsid w:val="006916A9"/>
    <w:rsid w:val="006932E2"/>
    <w:rsid w:val="0069554D"/>
    <w:rsid w:val="00695A69"/>
    <w:rsid w:val="00696681"/>
    <w:rsid w:val="006A4C05"/>
    <w:rsid w:val="006A526B"/>
    <w:rsid w:val="006B04A2"/>
    <w:rsid w:val="006B1CFE"/>
    <w:rsid w:val="006B5540"/>
    <w:rsid w:val="006C2B84"/>
    <w:rsid w:val="006C3BC1"/>
    <w:rsid w:val="006C3DFC"/>
    <w:rsid w:val="006C40A3"/>
    <w:rsid w:val="006C5E9E"/>
    <w:rsid w:val="006C63FA"/>
    <w:rsid w:val="006D0FE2"/>
    <w:rsid w:val="006D1776"/>
    <w:rsid w:val="006D48FB"/>
    <w:rsid w:val="006D5D28"/>
    <w:rsid w:val="006D6269"/>
    <w:rsid w:val="006D6D16"/>
    <w:rsid w:val="006D6FCF"/>
    <w:rsid w:val="006E210A"/>
    <w:rsid w:val="006E260B"/>
    <w:rsid w:val="006E2C88"/>
    <w:rsid w:val="006E2E8E"/>
    <w:rsid w:val="006F11D0"/>
    <w:rsid w:val="006F3246"/>
    <w:rsid w:val="007007F9"/>
    <w:rsid w:val="007018BD"/>
    <w:rsid w:val="00702BE5"/>
    <w:rsid w:val="00707672"/>
    <w:rsid w:val="00710490"/>
    <w:rsid w:val="007123BA"/>
    <w:rsid w:val="007155B8"/>
    <w:rsid w:val="00720FD7"/>
    <w:rsid w:val="007234B3"/>
    <w:rsid w:val="00725100"/>
    <w:rsid w:val="00725494"/>
    <w:rsid w:val="00734476"/>
    <w:rsid w:val="00734A40"/>
    <w:rsid w:val="007373E7"/>
    <w:rsid w:val="007424F5"/>
    <w:rsid w:val="0074442C"/>
    <w:rsid w:val="00745EA6"/>
    <w:rsid w:val="0075153A"/>
    <w:rsid w:val="00753E08"/>
    <w:rsid w:val="007545FE"/>
    <w:rsid w:val="00754A9F"/>
    <w:rsid w:val="0075575D"/>
    <w:rsid w:val="00755BEC"/>
    <w:rsid w:val="0075619D"/>
    <w:rsid w:val="0076224C"/>
    <w:rsid w:val="007635EC"/>
    <w:rsid w:val="00764F3F"/>
    <w:rsid w:val="00764FC4"/>
    <w:rsid w:val="00765458"/>
    <w:rsid w:val="0076588F"/>
    <w:rsid w:val="00770C67"/>
    <w:rsid w:val="00771E87"/>
    <w:rsid w:val="00772C5D"/>
    <w:rsid w:val="00775449"/>
    <w:rsid w:val="0077752F"/>
    <w:rsid w:val="00777A2F"/>
    <w:rsid w:val="007818C3"/>
    <w:rsid w:val="007865E1"/>
    <w:rsid w:val="00787B6E"/>
    <w:rsid w:val="0079059B"/>
    <w:rsid w:val="00790847"/>
    <w:rsid w:val="00791FBA"/>
    <w:rsid w:val="00792284"/>
    <w:rsid w:val="00794707"/>
    <w:rsid w:val="00794B2A"/>
    <w:rsid w:val="007954D3"/>
    <w:rsid w:val="00795B45"/>
    <w:rsid w:val="007A0780"/>
    <w:rsid w:val="007A3489"/>
    <w:rsid w:val="007A3597"/>
    <w:rsid w:val="007A4015"/>
    <w:rsid w:val="007A5746"/>
    <w:rsid w:val="007A75E1"/>
    <w:rsid w:val="007A7EFC"/>
    <w:rsid w:val="007B0A9C"/>
    <w:rsid w:val="007B11AF"/>
    <w:rsid w:val="007B293C"/>
    <w:rsid w:val="007B448B"/>
    <w:rsid w:val="007B4F54"/>
    <w:rsid w:val="007B5591"/>
    <w:rsid w:val="007B5701"/>
    <w:rsid w:val="007B62B5"/>
    <w:rsid w:val="007B6CD2"/>
    <w:rsid w:val="007B73C9"/>
    <w:rsid w:val="007B7BC0"/>
    <w:rsid w:val="007C1DCB"/>
    <w:rsid w:val="007C4E9D"/>
    <w:rsid w:val="007C5AB3"/>
    <w:rsid w:val="007C6CDA"/>
    <w:rsid w:val="007D121A"/>
    <w:rsid w:val="007D1826"/>
    <w:rsid w:val="007D3294"/>
    <w:rsid w:val="007D482E"/>
    <w:rsid w:val="007D5462"/>
    <w:rsid w:val="007D6F2D"/>
    <w:rsid w:val="007E3CCB"/>
    <w:rsid w:val="007E5343"/>
    <w:rsid w:val="007E5CDF"/>
    <w:rsid w:val="007E5E23"/>
    <w:rsid w:val="007E6C1D"/>
    <w:rsid w:val="007E727B"/>
    <w:rsid w:val="007E78D0"/>
    <w:rsid w:val="007F43B0"/>
    <w:rsid w:val="007F5E1D"/>
    <w:rsid w:val="007F6BCA"/>
    <w:rsid w:val="007F6C2A"/>
    <w:rsid w:val="008019AD"/>
    <w:rsid w:val="00804B8A"/>
    <w:rsid w:val="00804F5E"/>
    <w:rsid w:val="008101BB"/>
    <w:rsid w:val="008152E5"/>
    <w:rsid w:val="00815458"/>
    <w:rsid w:val="0081577C"/>
    <w:rsid w:val="0081634A"/>
    <w:rsid w:val="00820C8C"/>
    <w:rsid w:val="00822A51"/>
    <w:rsid w:val="00822E13"/>
    <w:rsid w:val="00827627"/>
    <w:rsid w:val="00830A17"/>
    <w:rsid w:val="008351F7"/>
    <w:rsid w:val="00835891"/>
    <w:rsid w:val="008374A8"/>
    <w:rsid w:val="0083789D"/>
    <w:rsid w:val="0084162E"/>
    <w:rsid w:val="008420E0"/>
    <w:rsid w:val="008461B8"/>
    <w:rsid w:val="008501D3"/>
    <w:rsid w:val="00850FFB"/>
    <w:rsid w:val="008522F5"/>
    <w:rsid w:val="00853805"/>
    <w:rsid w:val="00855097"/>
    <w:rsid w:val="00856D3A"/>
    <w:rsid w:val="0086305F"/>
    <w:rsid w:val="0086615B"/>
    <w:rsid w:val="00866D4A"/>
    <w:rsid w:val="00870508"/>
    <w:rsid w:val="008713AA"/>
    <w:rsid w:val="008744E9"/>
    <w:rsid w:val="00875A8A"/>
    <w:rsid w:val="00882B9B"/>
    <w:rsid w:val="008854C8"/>
    <w:rsid w:val="00891E7D"/>
    <w:rsid w:val="008924D4"/>
    <w:rsid w:val="0089315A"/>
    <w:rsid w:val="00894092"/>
    <w:rsid w:val="00895A23"/>
    <w:rsid w:val="00895DC2"/>
    <w:rsid w:val="008A2229"/>
    <w:rsid w:val="008A299E"/>
    <w:rsid w:val="008A4397"/>
    <w:rsid w:val="008A55EF"/>
    <w:rsid w:val="008B2A71"/>
    <w:rsid w:val="008B4AE8"/>
    <w:rsid w:val="008B67A5"/>
    <w:rsid w:val="008B6E40"/>
    <w:rsid w:val="008B6F2D"/>
    <w:rsid w:val="008C0CE0"/>
    <w:rsid w:val="008C111A"/>
    <w:rsid w:val="008C30CE"/>
    <w:rsid w:val="008C6EDB"/>
    <w:rsid w:val="008C7BAA"/>
    <w:rsid w:val="008D07E2"/>
    <w:rsid w:val="008D1807"/>
    <w:rsid w:val="008D23CD"/>
    <w:rsid w:val="008D25C8"/>
    <w:rsid w:val="008D2ACF"/>
    <w:rsid w:val="008E2145"/>
    <w:rsid w:val="008E22FA"/>
    <w:rsid w:val="008E35FF"/>
    <w:rsid w:val="008E7D69"/>
    <w:rsid w:val="008F2368"/>
    <w:rsid w:val="008F2E4E"/>
    <w:rsid w:val="008F6197"/>
    <w:rsid w:val="00902E78"/>
    <w:rsid w:val="0090579E"/>
    <w:rsid w:val="00907618"/>
    <w:rsid w:val="00907F02"/>
    <w:rsid w:val="009101D5"/>
    <w:rsid w:val="00912E02"/>
    <w:rsid w:val="00914328"/>
    <w:rsid w:val="00914E05"/>
    <w:rsid w:val="00916CE8"/>
    <w:rsid w:val="00920292"/>
    <w:rsid w:val="00920846"/>
    <w:rsid w:val="00920A21"/>
    <w:rsid w:val="009251F6"/>
    <w:rsid w:val="00927012"/>
    <w:rsid w:val="0093115C"/>
    <w:rsid w:val="00933FD2"/>
    <w:rsid w:val="00935833"/>
    <w:rsid w:val="0094300F"/>
    <w:rsid w:val="00943B46"/>
    <w:rsid w:val="00945C77"/>
    <w:rsid w:val="009468CC"/>
    <w:rsid w:val="009469D9"/>
    <w:rsid w:val="009552F9"/>
    <w:rsid w:val="00956E99"/>
    <w:rsid w:val="00960351"/>
    <w:rsid w:val="00960AEC"/>
    <w:rsid w:val="00960FAD"/>
    <w:rsid w:val="00962203"/>
    <w:rsid w:val="00963F2B"/>
    <w:rsid w:val="00963F59"/>
    <w:rsid w:val="009656DC"/>
    <w:rsid w:val="009660DC"/>
    <w:rsid w:val="00967D5F"/>
    <w:rsid w:val="00974053"/>
    <w:rsid w:val="00975459"/>
    <w:rsid w:val="00985126"/>
    <w:rsid w:val="00986B0C"/>
    <w:rsid w:val="009901B7"/>
    <w:rsid w:val="00992DA1"/>
    <w:rsid w:val="00993493"/>
    <w:rsid w:val="009A0421"/>
    <w:rsid w:val="009A2EEE"/>
    <w:rsid w:val="009A57A5"/>
    <w:rsid w:val="009A73FC"/>
    <w:rsid w:val="009A7FF6"/>
    <w:rsid w:val="009B013D"/>
    <w:rsid w:val="009B40E1"/>
    <w:rsid w:val="009B5334"/>
    <w:rsid w:val="009B66BD"/>
    <w:rsid w:val="009B74D1"/>
    <w:rsid w:val="009C1BD2"/>
    <w:rsid w:val="009C3E09"/>
    <w:rsid w:val="009C6886"/>
    <w:rsid w:val="009C7A7E"/>
    <w:rsid w:val="009D1A1B"/>
    <w:rsid w:val="009D4CCF"/>
    <w:rsid w:val="009D5C92"/>
    <w:rsid w:val="009E26B5"/>
    <w:rsid w:val="009E5005"/>
    <w:rsid w:val="009E76C8"/>
    <w:rsid w:val="009E7DDC"/>
    <w:rsid w:val="009F0A79"/>
    <w:rsid w:val="009F4CD6"/>
    <w:rsid w:val="009F6A07"/>
    <w:rsid w:val="00A01B83"/>
    <w:rsid w:val="00A02DD4"/>
    <w:rsid w:val="00A07A61"/>
    <w:rsid w:val="00A10362"/>
    <w:rsid w:val="00A11087"/>
    <w:rsid w:val="00A11404"/>
    <w:rsid w:val="00A11D8A"/>
    <w:rsid w:val="00A12854"/>
    <w:rsid w:val="00A14293"/>
    <w:rsid w:val="00A16B06"/>
    <w:rsid w:val="00A17FF3"/>
    <w:rsid w:val="00A21D6C"/>
    <w:rsid w:val="00A2602B"/>
    <w:rsid w:val="00A37E53"/>
    <w:rsid w:val="00A405AC"/>
    <w:rsid w:val="00A42170"/>
    <w:rsid w:val="00A45075"/>
    <w:rsid w:val="00A47376"/>
    <w:rsid w:val="00A50A1E"/>
    <w:rsid w:val="00A52F17"/>
    <w:rsid w:val="00A543D6"/>
    <w:rsid w:val="00A54D0B"/>
    <w:rsid w:val="00A55E72"/>
    <w:rsid w:val="00A61330"/>
    <w:rsid w:val="00A61DF9"/>
    <w:rsid w:val="00A62E92"/>
    <w:rsid w:val="00A63823"/>
    <w:rsid w:val="00A67025"/>
    <w:rsid w:val="00A73722"/>
    <w:rsid w:val="00A738BD"/>
    <w:rsid w:val="00A7531D"/>
    <w:rsid w:val="00A75EFD"/>
    <w:rsid w:val="00A7686E"/>
    <w:rsid w:val="00A77657"/>
    <w:rsid w:val="00A85F8B"/>
    <w:rsid w:val="00A87F44"/>
    <w:rsid w:val="00A9131D"/>
    <w:rsid w:val="00A93547"/>
    <w:rsid w:val="00AA158E"/>
    <w:rsid w:val="00AA17D1"/>
    <w:rsid w:val="00AA26CE"/>
    <w:rsid w:val="00AA2EE7"/>
    <w:rsid w:val="00AA2F41"/>
    <w:rsid w:val="00AA522F"/>
    <w:rsid w:val="00AA5BBF"/>
    <w:rsid w:val="00AA601A"/>
    <w:rsid w:val="00AA7D4C"/>
    <w:rsid w:val="00AB04C7"/>
    <w:rsid w:val="00AB1BA0"/>
    <w:rsid w:val="00AB3707"/>
    <w:rsid w:val="00AB4190"/>
    <w:rsid w:val="00AB4BB5"/>
    <w:rsid w:val="00AB5801"/>
    <w:rsid w:val="00AB62BF"/>
    <w:rsid w:val="00AB7501"/>
    <w:rsid w:val="00AB7FA3"/>
    <w:rsid w:val="00AC20F1"/>
    <w:rsid w:val="00AC6B09"/>
    <w:rsid w:val="00AC7E82"/>
    <w:rsid w:val="00AD0733"/>
    <w:rsid w:val="00AD4C82"/>
    <w:rsid w:val="00AD5865"/>
    <w:rsid w:val="00AD7943"/>
    <w:rsid w:val="00AD7C7B"/>
    <w:rsid w:val="00AE3BD8"/>
    <w:rsid w:val="00AE583E"/>
    <w:rsid w:val="00AE5B14"/>
    <w:rsid w:val="00AE5D15"/>
    <w:rsid w:val="00AE631D"/>
    <w:rsid w:val="00AF109F"/>
    <w:rsid w:val="00AF16EB"/>
    <w:rsid w:val="00B02C1A"/>
    <w:rsid w:val="00B05018"/>
    <w:rsid w:val="00B067D7"/>
    <w:rsid w:val="00B06CDF"/>
    <w:rsid w:val="00B06E4A"/>
    <w:rsid w:val="00B074C5"/>
    <w:rsid w:val="00B113BE"/>
    <w:rsid w:val="00B15BC6"/>
    <w:rsid w:val="00B223B9"/>
    <w:rsid w:val="00B23FEC"/>
    <w:rsid w:val="00B24C90"/>
    <w:rsid w:val="00B271A8"/>
    <w:rsid w:val="00B31E0C"/>
    <w:rsid w:val="00B3462A"/>
    <w:rsid w:val="00B45FAA"/>
    <w:rsid w:val="00B50E21"/>
    <w:rsid w:val="00B51588"/>
    <w:rsid w:val="00B54494"/>
    <w:rsid w:val="00B5452E"/>
    <w:rsid w:val="00B54E5C"/>
    <w:rsid w:val="00B565BA"/>
    <w:rsid w:val="00B613F1"/>
    <w:rsid w:val="00B641AD"/>
    <w:rsid w:val="00B6477C"/>
    <w:rsid w:val="00B64EBE"/>
    <w:rsid w:val="00B64F61"/>
    <w:rsid w:val="00B71621"/>
    <w:rsid w:val="00B7489C"/>
    <w:rsid w:val="00B7596B"/>
    <w:rsid w:val="00B7599C"/>
    <w:rsid w:val="00B77942"/>
    <w:rsid w:val="00B80C85"/>
    <w:rsid w:val="00B83A5D"/>
    <w:rsid w:val="00B8691F"/>
    <w:rsid w:val="00B86EDC"/>
    <w:rsid w:val="00B917EA"/>
    <w:rsid w:val="00B92FF0"/>
    <w:rsid w:val="00B946CD"/>
    <w:rsid w:val="00B946D0"/>
    <w:rsid w:val="00B94C5E"/>
    <w:rsid w:val="00B95E6C"/>
    <w:rsid w:val="00B96A78"/>
    <w:rsid w:val="00B97D09"/>
    <w:rsid w:val="00BA0524"/>
    <w:rsid w:val="00BA4DF8"/>
    <w:rsid w:val="00BA50D5"/>
    <w:rsid w:val="00BA5318"/>
    <w:rsid w:val="00BA5E23"/>
    <w:rsid w:val="00BA6663"/>
    <w:rsid w:val="00BA7689"/>
    <w:rsid w:val="00BA7974"/>
    <w:rsid w:val="00BB3270"/>
    <w:rsid w:val="00BB4D1F"/>
    <w:rsid w:val="00BB54A7"/>
    <w:rsid w:val="00BB595E"/>
    <w:rsid w:val="00BB7626"/>
    <w:rsid w:val="00BB7EDB"/>
    <w:rsid w:val="00BC32F4"/>
    <w:rsid w:val="00BC47E1"/>
    <w:rsid w:val="00BC4849"/>
    <w:rsid w:val="00BC64CA"/>
    <w:rsid w:val="00BD4FAD"/>
    <w:rsid w:val="00BD67E5"/>
    <w:rsid w:val="00BD74F7"/>
    <w:rsid w:val="00BD7745"/>
    <w:rsid w:val="00BE2251"/>
    <w:rsid w:val="00BE71EE"/>
    <w:rsid w:val="00BF51DD"/>
    <w:rsid w:val="00BF64C9"/>
    <w:rsid w:val="00BF77DF"/>
    <w:rsid w:val="00C0187E"/>
    <w:rsid w:val="00C02254"/>
    <w:rsid w:val="00C04410"/>
    <w:rsid w:val="00C060DA"/>
    <w:rsid w:val="00C0614F"/>
    <w:rsid w:val="00C07833"/>
    <w:rsid w:val="00C11297"/>
    <w:rsid w:val="00C12BA5"/>
    <w:rsid w:val="00C12BF5"/>
    <w:rsid w:val="00C13AC4"/>
    <w:rsid w:val="00C201F8"/>
    <w:rsid w:val="00C20415"/>
    <w:rsid w:val="00C213B2"/>
    <w:rsid w:val="00C23088"/>
    <w:rsid w:val="00C24833"/>
    <w:rsid w:val="00C26248"/>
    <w:rsid w:val="00C27686"/>
    <w:rsid w:val="00C31994"/>
    <w:rsid w:val="00C3311B"/>
    <w:rsid w:val="00C336A6"/>
    <w:rsid w:val="00C350DC"/>
    <w:rsid w:val="00C42A83"/>
    <w:rsid w:val="00C43705"/>
    <w:rsid w:val="00C44ACF"/>
    <w:rsid w:val="00C44D9F"/>
    <w:rsid w:val="00C46FD6"/>
    <w:rsid w:val="00C50710"/>
    <w:rsid w:val="00C507D3"/>
    <w:rsid w:val="00C55853"/>
    <w:rsid w:val="00C55DC9"/>
    <w:rsid w:val="00C63ADB"/>
    <w:rsid w:val="00C65AA2"/>
    <w:rsid w:val="00C66903"/>
    <w:rsid w:val="00C678D9"/>
    <w:rsid w:val="00C70297"/>
    <w:rsid w:val="00C731D3"/>
    <w:rsid w:val="00C7447F"/>
    <w:rsid w:val="00C767FB"/>
    <w:rsid w:val="00C76A86"/>
    <w:rsid w:val="00C77A77"/>
    <w:rsid w:val="00C8169C"/>
    <w:rsid w:val="00C816AC"/>
    <w:rsid w:val="00C84D69"/>
    <w:rsid w:val="00C85052"/>
    <w:rsid w:val="00C853A8"/>
    <w:rsid w:val="00C86478"/>
    <w:rsid w:val="00C90953"/>
    <w:rsid w:val="00C93439"/>
    <w:rsid w:val="00C93D0A"/>
    <w:rsid w:val="00C94487"/>
    <w:rsid w:val="00C95144"/>
    <w:rsid w:val="00C954C0"/>
    <w:rsid w:val="00C95618"/>
    <w:rsid w:val="00C97E26"/>
    <w:rsid w:val="00CA5D08"/>
    <w:rsid w:val="00CA70C2"/>
    <w:rsid w:val="00CB4C17"/>
    <w:rsid w:val="00CB68A2"/>
    <w:rsid w:val="00CC1689"/>
    <w:rsid w:val="00CC19E0"/>
    <w:rsid w:val="00CC499D"/>
    <w:rsid w:val="00CC6827"/>
    <w:rsid w:val="00CD5382"/>
    <w:rsid w:val="00CE001D"/>
    <w:rsid w:val="00CE1066"/>
    <w:rsid w:val="00CE5D17"/>
    <w:rsid w:val="00CE7E42"/>
    <w:rsid w:val="00CF05F1"/>
    <w:rsid w:val="00CF0D4B"/>
    <w:rsid w:val="00CF4C21"/>
    <w:rsid w:val="00CF6051"/>
    <w:rsid w:val="00CF64F0"/>
    <w:rsid w:val="00CF7501"/>
    <w:rsid w:val="00CF788D"/>
    <w:rsid w:val="00D0130C"/>
    <w:rsid w:val="00D02DE1"/>
    <w:rsid w:val="00D039DB"/>
    <w:rsid w:val="00D03B9D"/>
    <w:rsid w:val="00D07F84"/>
    <w:rsid w:val="00D127A6"/>
    <w:rsid w:val="00D17F8E"/>
    <w:rsid w:val="00D232F1"/>
    <w:rsid w:val="00D30491"/>
    <w:rsid w:val="00D30BC4"/>
    <w:rsid w:val="00D32297"/>
    <w:rsid w:val="00D328C2"/>
    <w:rsid w:val="00D348A5"/>
    <w:rsid w:val="00D36952"/>
    <w:rsid w:val="00D37AEE"/>
    <w:rsid w:val="00D4120C"/>
    <w:rsid w:val="00D4224D"/>
    <w:rsid w:val="00D44FF6"/>
    <w:rsid w:val="00D45554"/>
    <w:rsid w:val="00D457CA"/>
    <w:rsid w:val="00D459C2"/>
    <w:rsid w:val="00D45B99"/>
    <w:rsid w:val="00D479E5"/>
    <w:rsid w:val="00D47E03"/>
    <w:rsid w:val="00D5023F"/>
    <w:rsid w:val="00D55316"/>
    <w:rsid w:val="00D576E2"/>
    <w:rsid w:val="00D607C3"/>
    <w:rsid w:val="00D614DC"/>
    <w:rsid w:val="00D63B30"/>
    <w:rsid w:val="00D63D80"/>
    <w:rsid w:val="00D65100"/>
    <w:rsid w:val="00D6666A"/>
    <w:rsid w:val="00D67ED3"/>
    <w:rsid w:val="00D7038B"/>
    <w:rsid w:val="00D75B90"/>
    <w:rsid w:val="00D766ED"/>
    <w:rsid w:val="00D774AA"/>
    <w:rsid w:val="00D77CF7"/>
    <w:rsid w:val="00D80117"/>
    <w:rsid w:val="00D82B03"/>
    <w:rsid w:val="00D844A5"/>
    <w:rsid w:val="00D85A37"/>
    <w:rsid w:val="00D86289"/>
    <w:rsid w:val="00D86630"/>
    <w:rsid w:val="00D90A5F"/>
    <w:rsid w:val="00D9463F"/>
    <w:rsid w:val="00D969AF"/>
    <w:rsid w:val="00DA0674"/>
    <w:rsid w:val="00DA0E8B"/>
    <w:rsid w:val="00DA14A6"/>
    <w:rsid w:val="00DA3CB5"/>
    <w:rsid w:val="00DA3CEB"/>
    <w:rsid w:val="00DA42D8"/>
    <w:rsid w:val="00DB085C"/>
    <w:rsid w:val="00DB1F8B"/>
    <w:rsid w:val="00DB3696"/>
    <w:rsid w:val="00DB4BAD"/>
    <w:rsid w:val="00DB5151"/>
    <w:rsid w:val="00DB5625"/>
    <w:rsid w:val="00DB6437"/>
    <w:rsid w:val="00DB6A34"/>
    <w:rsid w:val="00DC0AB5"/>
    <w:rsid w:val="00DC0CC2"/>
    <w:rsid w:val="00DC0E42"/>
    <w:rsid w:val="00DC0EE0"/>
    <w:rsid w:val="00DC399A"/>
    <w:rsid w:val="00DC57F8"/>
    <w:rsid w:val="00DD2AE9"/>
    <w:rsid w:val="00DD4324"/>
    <w:rsid w:val="00DD5A0A"/>
    <w:rsid w:val="00DD6D8B"/>
    <w:rsid w:val="00DE0DC2"/>
    <w:rsid w:val="00DE1B2A"/>
    <w:rsid w:val="00DE55F4"/>
    <w:rsid w:val="00DE6B7F"/>
    <w:rsid w:val="00DE7F8A"/>
    <w:rsid w:val="00DF11B1"/>
    <w:rsid w:val="00DF447D"/>
    <w:rsid w:val="00DF5157"/>
    <w:rsid w:val="00DF53B7"/>
    <w:rsid w:val="00DF5E32"/>
    <w:rsid w:val="00DF5F52"/>
    <w:rsid w:val="00DF7EDE"/>
    <w:rsid w:val="00E02C6B"/>
    <w:rsid w:val="00E02E1D"/>
    <w:rsid w:val="00E03695"/>
    <w:rsid w:val="00E10BDD"/>
    <w:rsid w:val="00E161D9"/>
    <w:rsid w:val="00E2005E"/>
    <w:rsid w:val="00E23124"/>
    <w:rsid w:val="00E24444"/>
    <w:rsid w:val="00E26F3D"/>
    <w:rsid w:val="00E31225"/>
    <w:rsid w:val="00E32255"/>
    <w:rsid w:val="00E345D3"/>
    <w:rsid w:val="00E35648"/>
    <w:rsid w:val="00E35A11"/>
    <w:rsid w:val="00E42E44"/>
    <w:rsid w:val="00E435A1"/>
    <w:rsid w:val="00E474E1"/>
    <w:rsid w:val="00E47556"/>
    <w:rsid w:val="00E50D0E"/>
    <w:rsid w:val="00E543F6"/>
    <w:rsid w:val="00E5478F"/>
    <w:rsid w:val="00E54DD0"/>
    <w:rsid w:val="00E57186"/>
    <w:rsid w:val="00E60B2A"/>
    <w:rsid w:val="00E60C6D"/>
    <w:rsid w:val="00E6236B"/>
    <w:rsid w:val="00E66BD4"/>
    <w:rsid w:val="00E7780E"/>
    <w:rsid w:val="00E8264A"/>
    <w:rsid w:val="00E8625B"/>
    <w:rsid w:val="00E86CD6"/>
    <w:rsid w:val="00E9092F"/>
    <w:rsid w:val="00E90A22"/>
    <w:rsid w:val="00E9142E"/>
    <w:rsid w:val="00E92CDF"/>
    <w:rsid w:val="00E93415"/>
    <w:rsid w:val="00E96E69"/>
    <w:rsid w:val="00E973E2"/>
    <w:rsid w:val="00EA0080"/>
    <w:rsid w:val="00EA1F39"/>
    <w:rsid w:val="00EA4676"/>
    <w:rsid w:val="00EA484D"/>
    <w:rsid w:val="00EB2962"/>
    <w:rsid w:val="00EB7963"/>
    <w:rsid w:val="00EC0A4F"/>
    <w:rsid w:val="00EC0E8B"/>
    <w:rsid w:val="00EC4D14"/>
    <w:rsid w:val="00EC565F"/>
    <w:rsid w:val="00EC61B0"/>
    <w:rsid w:val="00ED09FC"/>
    <w:rsid w:val="00ED10BD"/>
    <w:rsid w:val="00ED27A4"/>
    <w:rsid w:val="00ED473A"/>
    <w:rsid w:val="00ED6670"/>
    <w:rsid w:val="00ED6C8B"/>
    <w:rsid w:val="00ED7BB9"/>
    <w:rsid w:val="00EE015C"/>
    <w:rsid w:val="00EE4047"/>
    <w:rsid w:val="00EE5AC2"/>
    <w:rsid w:val="00EE5D35"/>
    <w:rsid w:val="00EF4967"/>
    <w:rsid w:val="00EF4C1D"/>
    <w:rsid w:val="00EF67FB"/>
    <w:rsid w:val="00EF7CFB"/>
    <w:rsid w:val="00F00EAA"/>
    <w:rsid w:val="00F06181"/>
    <w:rsid w:val="00F064DB"/>
    <w:rsid w:val="00F0793A"/>
    <w:rsid w:val="00F07BA4"/>
    <w:rsid w:val="00F100A7"/>
    <w:rsid w:val="00F12C25"/>
    <w:rsid w:val="00F12D0C"/>
    <w:rsid w:val="00F13B5A"/>
    <w:rsid w:val="00F13E1D"/>
    <w:rsid w:val="00F13F66"/>
    <w:rsid w:val="00F1460E"/>
    <w:rsid w:val="00F14FCC"/>
    <w:rsid w:val="00F15969"/>
    <w:rsid w:val="00F15BDC"/>
    <w:rsid w:val="00F21B4B"/>
    <w:rsid w:val="00F240E7"/>
    <w:rsid w:val="00F2558D"/>
    <w:rsid w:val="00F273C0"/>
    <w:rsid w:val="00F27A04"/>
    <w:rsid w:val="00F31F15"/>
    <w:rsid w:val="00F33856"/>
    <w:rsid w:val="00F36AFA"/>
    <w:rsid w:val="00F41821"/>
    <w:rsid w:val="00F41FEF"/>
    <w:rsid w:val="00F42317"/>
    <w:rsid w:val="00F42C03"/>
    <w:rsid w:val="00F432DE"/>
    <w:rsid w:val="00F44E3D"/>
    <w:rsid w:val="00F45DE3"/>
    <w:rsid w:val="00F46185"/>
    <w:rsid w:val="00F47AD4"/>
    <w:rsid w:val="00F512E4"/>
    <w:rsid w:val="00F533E9"/>
    <w:rsid w:val="00F54055"/>
    <w:rsid w:val="00F63D23"/>
    <w:rsid w:val="00F63FAC"/>
    <w:rsid w:val="00F7135D"/>
    <w:rsid w:val="00F71C6E"/>
    <w:rsid w:val="00F74E4B"/>
    <w:rsid w:val="00F767F6"/>
    <w:rsid w:val="00F76CB2"/>
    <w:rsid w:val="00F821E0"/>
    <w:rsid w:val="00F83A13"/>
    <w:rsid w:val="00F84FD0"/>
    <w:rsid w:val="00F860A7"/>
    <w:rsid w:val="00F925D7"/>
    <w:rsid w:val="00FA0DAC"/>
    <w:rsid w:val="00FA2C8C"/>
    <w:rsid w:val="00FB2600"/>
    <w:rsid w:val="00FB2DAA"/>
    <w:rsid w:val="00FB48D2"/>
    <w:rsid w:val="00FB6E48"/>
    <w:rsid w:val="00FB7742"/>
    <w:rsid w:val="00FC04DF"/>
    <w:rsid w:val="00FC6082"/>
    <w:rsid w:val="00FC713E"/>
    <w:rsid w:val="00FC7953"/>
    <w:rsid w:val="00FD0250"/>
    <w:rsid w:val="00FD4E53"/>
    <w:rsid w:val="00FD4FF9"/>
    <w:rsid w:val="00FD5708"/>
    <w:rsid w:val="00FD5FF2"/>
    <w:rsid w:val="00FD6CB0"/>
    <w:rsid w:val="00FE01CB"/>
    <w:rsid w:val="00FE0E2A"/>
    <w:rsid w:val="00FE144B"/>
    <w:rsid w:val="00FE44AB"/>
    <w:rsid w:val="00FE45CA"/>
    <w:rsid w:val="00FE57F9"/>
    <w:rsid w:val="00FF0292"/>
    <w:rsid w:val="00FF1A1E"/>
    <w:rsid w:val="00FF1D56"/>
    <w:rsid w:val="00FF2E2B"/>
    <w:rsid w:val="00FF3C9F"/>
    <w:rsid w:val="00FF4FAD"/>
    <w:rsid w:val="00FF7D2A"/>
    <w:rsid w:val="071B7702"/>
    <w:rsid w:val="5344DE43"/>
    <w:rsid w:val="669A9055"/>
    <w:rsid w:val="746BE5F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CE91655"/>
  <w15:docId w15:val="{78EDFED2-B648-410C-BA15-0EC36CC8B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Open Sans SemiCondensed" w:eastAsiaTheme="minorHAnsi" w:hAnsi="Open Sans SemiCondensed" w:cstheme="minorBidi"/>
        <w:spacing w:val="-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 w:unhideWhenUsed="1"/>
    <w:lsdException w:name="Bibliography" w:semiHidden="1" w:unhideWhenUsed="1" w:qFormat="1"/>
    <w:lsdException w:name="TOC Heading" w:semiHidden="1" w:unhideWhenUsed="1"/>
    <w:lsdException w:name="Grid Table 1 Light" w:uiPriority="4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rsid w:val="00153133"/>
    <w:pPr>
      <w:spacing w:after="0" w:line="276" w:lineRule="auto"/>
    </w:pPr>
    <w:rPr>
      <w:lang w:val="de-CH"/>
    </w:rPr>
  </w:style>
  <w:style w:type="paragraph" w:styleId="berschrift1">
    <w:name w:val="heading 1"/>
    <w:basedOn w:val="Standard"/>
    <w:next w:val="Textkrper"/>
    <w:uiPriority w:val="1"/>
    <w:qFormat/>
    <w:rsid w:val="009E5005"/>
    <w:pPr>
      <w:keepNext/>
      <w:keepLines/>
      <w:spacing w:before="360" w:after="60"/>
      <w:contextualSpacing/>
      <w:outlineLvl w:val="0"/>
    </w:pPr>
    <w:rPr>
      <w:rFonts w:eastAsiaTheme="majorEastAsia" w:cs="Open Sans SemiCondensed"/>
      <w:b/>
      <w:bCs/>
      <w:color w:val="000000" w:themeColor="text1"/>
      <w:sz w:val="24"/>
      <w:szCs w:val="32"/>
    </w:rPr>
  </w:style>
  <w:style w:type="paragraph" w:styleId="berschrift2">
    <w:name w:val="heading 2"/>
    <w:basedOn w:val="Standard"/>
    <w:next w:val="Textkrper"/>
    <w:uiPriority w:val="9"/>
    <w:qFormat/>
    <w:rsid w:val="00855097"/>
    <w:pPr>
      <w:keepNext/>
      <w:keepLines/>
      <w:spacing w:before="240" w:after="60"/>
      <w:outlineLvl w:val="1"/>
    </w:pPr>
    <w:rPr>
      <w:rFonts w:eastAsiaTheme="majorEastAsia" w:cs="Open Sans SemiCondensed"/>
      <w:b/>
      <w:bCs/>
      <w:szCs w:val="24"/>
    </w:rPr>
  </w:style>
  <w:style w:type="paragraph" w:styleId="berschrift3">
    <w:name w:val="heading 3"/>
    <w:basedOn w:val="Standard"/>
    <w:next w:val="Textkrper"/>
    <w:uiPriority w:val="9"/>
    <w:qFormat/>
    <w:rsid w:val="009E5005"/>
    <w:pPr>
      <w:keepNext/>
      <w:keepLines/>
      <w:spacing w:before="120" w:after="60"/>
      <w:outlineLvl w:val="2"/>
    </w:pPr>
    <w:rPr>
      <w:rFonts w:eastAsiaTheme="majorEastAsia" w:cs="Open Sans SemiCondensed"/>
      <w:bCs/>
      <w:i/>
    </w:rPr>
  </w:style>
  <w:style w:type="paragraph" w:styleId="berschrift4">
    <w:name w:val="heading 4"/>
    <w:basedOn w:val="Standard"/>
    <w:next w:val="Textkrper"/>
    <w:uiPriority w:val="9"/>
    <w:unhideWhenUsed/>
    <w:rsid w:val="00153133"/>
    <w:pPr>
      <w:keepNext/>
      <w:keepLines/>
      <w:numPr>
        <w:ilvl w:val="3"/>
        <w:numId w:val="40"/>
      </w:numPr>
      <w:spacing w:before="200"/>
      <w:outlineLvl w:val="3"/>
    </w:pPr>
    <w:rPr>
      <w:rFonts w:eastAsiaTheme="majorEastAsia" w:cstheme="majorBidi"/>
      <w:bCs/>
      <w:i/>
      <w:sz w:val="24"/>
    </w:rPr>
  </w:style>
  <w:style w:type="paragraph" w:styleId="berschrift5">
    <w:name w:val="heading 5"/>
    <w:basedOn w:val="Standard"/>
    <w:next w:val="Textkrper"/>
    <w:uiPriority w:val="9"/>
    <w:unhideWhenUsed/>
    <w:rsid w:val="00153133"/>
    <w:pPr>
      <w:keepNext/>
      <w:keepLines/>
      <w:numPr>
        <w:ilvl w:val="4"/>
        <w:numId w:val="40"/>
      </w:numPr>
      <w:spacing w:before="200"/>
      <w:outlineLvl w:val="4"/>
    </w:pPr>
    <w:rPr>
      <w:rFonts w:eastAsiaTheme="majorEastAsia" w:cstheme="majorBidi"/>
      <w:iCs/>
      <w:sz w:val="24"/>
    </w:rPr>
  </w:style>
  <w:style w:type="paragraph" w:styleId="berschrift6">
    <w:name w:val="heading 6"/>
    <w:basedOn w:val="Standard"/>
    <w:next w:val="Textkrper"/>
    <w:uiPriority w:val="9"/>
    <w:unhideWhenUsed/>
    <w:rsid w:val="00153133"/>
    <w:pPr>
      <w:keepNext/>
      <w:keepLines/>
      <w:numPr>
        <w:ilvl w:val="5"/>
        <w:numId w:val="40"/>
      </w:numPr>
      <w:spacing w:before="200"/>
      <w:outlineLvl w:val="5"/>
    </w:pPr>
    <w:rPr>
      <w:rFonts w:eastAsiaTheme="majorEastAsia" w:cstheme="majorBidi"/>
      <w:sz w:val="24"/>
    </w:rPr>
  </w:style>
  <w:style w:type="paragraph" w:styleId="berschrift7">
    <w:name w:val="heading 7"/>
    <w:basedOn w:val="Standard"/>
    <w:next w:val="Textkrper"/>
    <w:uiPriority w:val="9"/>
    <w:unhideWhenUsed/>
    <w:rsid w:val="00153133"/>
    <w:pPr>
      <w:keepNext/>
      <w:keepLines/>
      <w:numPr>
        <w:ilvl w:val="6"/>
        <w:numId w:val="40"/>
      </w:numPr>
      <w:spacing w:before="200"/>
      <w:outlineLvl w:val="6"/>
    </w:pPr>
    <w:rPr>
      <w:rFonts w:eastAsiaTheme="majorEastAsia" w:cstheme="majorBidi"/>
      <w:sz w:val="24"/>
    </w:rPr>
  </w:style>
  <w:style w:type="paragraph" w:styleId="berschrift8">
    <w:name w:val="heading 8"/>
    <w:basedOn w:val="Standard"/>
    <w:next w:val="Textkrper"/>
    <w:uiPriority w:val="9"/>
    <w:unhideWhenUsed/>
    <w:rsid w:val="00153133"/>
    <w:pPr>
      <w:keepNext/>
      <w:keepLines/>
      <w:numPr>
        <w:ilvl w:val="7"/>
        <w:numId w:val="40"/>
      </w:numPr>
      <w:spacing w:before="200"/>
      <w:outlineLvl w:val="7"/>
    </w:pPr>
    <w:rPr>
      <w:rFonts w:eastAsiaTheme="majorEastAsia" w:cstheme="majorBidi"/>
      <w:sz w:val="24"/>
    </w:rPr>
  </w:style>
  <w:style w:type="paragraph" w:styleId="berschrift9">
    <w:name w:val="heading 9"/>
    <w:basedOn w:val="Standard"/>
    <w:next w:val="Textkrper"/>
    <w:uiPriority w:val="9"/>
    <w:unhideWhenUsed/>
    <w:rsid w:val="00153133"/>
    <w:pPr>
      <w:keepNext/>
      <w:keepLines/>
      <w:numPr>
        <w:ilvl w:val="8"/>
        <w:numId w:val="40"/>
      </w:numPr>
      <w:spacing w:before="200"/>
      <w:outlineLvl w:val="8"/>
    </w:pPr>
    <w:rPr>
      <w:rFonts w:eastAsiaTheme="majorEastAsia" w:cstheme="majorBidi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qFormat/>
    <w:rsid w:val="007F5E1D"/>
    <w:pPr>
      <w:spacing w:before="60" w:after="60"/>
      <w:ind w:firstLine="170"/>
      <w:jc w:val="both"/>
    </w:pPr>
  </w:style>
  <w:style w:type="paragraph" w:customStyle="1" w:styleId="FirstParagraph">
    <w:name w:val="First Paragraph"/>
    <w:basedOn w:val="Textkrper"/>
    <w:next w:val="Textkrper"/>
  </w:style>
  <w:style w:type="paragraph" w:customStyle="1" w:styleId="Compact">
    <w:name w:val="Compact"/>
    <w:basedOn w:val="Textkrper2"/>
    <w:pPr>
      <w:spacing w:before="36" w:after="36"/>
    </w:pPr>
  </w:style>
  <w:style w:type="paragraph" w:styleId="Titel">
    <w:name w:val="Title"/>
    <w:basedOn w:val="Standard"/>
    <w:next w:val="Textkrper"/>
    <w:qFormat/>
    <w:rsid w:val="003D502F"/>
    <w:pPr>
      <w:keepNext/>
      <w:keepLines/>
      <w:spacing w:line="240" w:lineRule="auto"/>
    </w:pPr>
    <w:rPr>
      <w:rFonts w:eastAsiaTheme="majorEastAsia" w:cstheme="majorBidi"/>
      <w:b/>
      <w:bCs/>
      <w:color w:val="D31932" w:themeColor="accent1"/>
      <w:spacing w:val="20"/>
      <w:sz w:val="28"/>
      <w:szCs w:val="28"/>
    </w:rPr>
  </w:style>
  <w:style w:type="paragraph" w:styleId="Untertitel">
    <w:name w:val="Subtitle"/>
    <w:basedOn w:val="Titel"/>
    <w:next w:val="Textkrper"/>
    <w:link w:val="UntertitelZchn"/>
    <w:qFormat/>
    <w:rsid w:val="00EF7CFB"/>
    <w:pPr>
      <w:spacing w:before="120" w:after="120"/>
    </w:pPr>
    <w:rPr>
      <w:b w:val="0"/>
      <w:color w:val="auto"/>
      <w:sz w:val="24"/>
      <w:szCs w:val="30"/>
    </w:rPr>
  </w:style>
  <w:style w:type="paragraph" w:customStyle="1" w:styleId="Author">
    <w:name w:val="Author"/>
    <w:basedOn w:val="Standard"/>
    <w:next w:val="Textkrper"/>
    <w:qFormat/>
    <w:rsid w:val="000352CE"/>
    <w:pPr>
      <w:keepNext/>
      <w:keepLines/>
      <w:spacing w:after="240"/>
    </w:pPr>
    <w:rPr>
      <w:szCs w:val="18"/>
      <w:lang w:val="fr-CH"/>
    </w:rPr>
  </w:style>
  <w:style w:type="paragraph" w:styleId="Datum">
    <w:name w:val="Date"/>
    <w:next w:val="Textkrper"/>
    <w:pPr>
      <w:keepNext/>
      <w:keepLines/>
      <w:jc w:val="center"/>
    </w:pPr>
  </w:style>
  <w:style w:type="paragraph" w:customStyle="1" w:styleId="Abstract">
    <w:name w:val="Abstract"/>
    <w:basedOn w:val="Standard"/>
    <w:next w:val="Textkrper"/>
    <w:qFormat/>
    <w:rsid w:val="00855097"/>
    <w:pPr>
      <w:keepNext/>
      <w:keepLines/>
      <w:spacing w:after="240"/>
      <w:jc w:val="both"/>
    </w:pPr>
    <w:rPr>
      <w:i/>
    </w:rPr>
  </w:style>
  <w:style w:type="paragraph" w:styleId="Literaturverzeichnis">
    <w:name w:val="Bibliography"/>
    <w:basedOn w:val="Standard"/>
    <w:qFormat/>
    <w:rsid w:val="00CF788D"/>
    <w:pPr>
      <w:ind w:left="567" w:hanging="567"/>
    </w:pPr>
  </w:style>
  <w:style w:type="paragraph" w:styleId="Blocktext">
    <w:name w:val="Block Text"/>
    <w:basedOn w:val="Textkrper"/>
    <w:next w:val="Textkrper"/>
    <w:uiPriority w:val="9"/>
    <w:unhideWhenUsed/>
    <w:pPr>
      <w:spacing w:before="100" w:after="100"/>
      <w:ind w:left="480" w:right="480"/>
    </w:pPr>
  </w:style>
  <w:style w:type="paragraph" w:styleId="Funotentext">
    <w:name w:val="footnote text"/>
    <w:basedOn w:val="Standard"/>
    <w:link w:val="FunotentextZchn"/>
    <w:uiPriority w:val="99"/>
    <w:unhideWhenUsed/>
    <w:qFormat/>
    <w:rsid w:val="007B448B"/>
    <w:rPr>
      <w:sz w:val="18"/>
    </w:r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Standard"/>
    <w:next w:val="Definition"/>
    <w:pPr>
      <w:keepNext/>
      <w:keepLines/>
    </w:pPr>
    <w:rPr>
      <w:b/>
    </w:rPr>
  </w:style>
  <w:style w:type="paragraph" w:customStyle="1" w:styleId="Definition">
    <w:name w:val="Definition"/>
    <w:basedOn w:val="Standard"/>
  </w:style>
  <w:style w:type="paragraph" w:customStyle="1" w:styleId="AbbildungBeschriftung">
    <w:name w:val="Abbildung Beschriftung"/>
    <w:basedOn w:val="TabelleBeschriftung"/>
    <w:qFormat/>
    <w:rsid w:val="0047168D"/>
    <w:rPr>
      <w:lang w:val="fr-CH"/>
    </w:rPr>
  </w:style>
  <w:style w:type="paragraph" w:customStyle="1" w:styleId="NotizTabelle">
    <w:name w:val="Notiz Tabelle"/>
    <w:basedOn w:val="Standard"/>
    <w:qFormat/>
    <w:rsid w:val="00577261"/>
    <w:pPr>
      <w:keepNext/>
      <w:spacing w:before="60" w:after="180" w:line="240" w:lineRule="auto"/>
    </w:pPr>
    <w:rPr>
      <w:iCs/>
      <w:sz w:val="16"/>
    </w:rPr>
  </w:style>
  <w:style w:type="paragraph" w:customStyle="1" w:styleId="NotizAbbildung">
    <w:name w:val="Notiz Abbildung"/>
    <w:basedOn w:val="NotizTabelle"/>
    <w:qFormat/>
    <w:rsid w:val="006B5540"/>
  </w:style>
  <w:style w:type="paragraph" w:customStyle="1" w:styleId="Figure">
    <w:name w:val="Figure"/>
    <w:basedOn w:val="Standard"/>
  </w:style>
  <w:style w:type="character" w:customStyle="1" w:styleId="VerbatimChar">
    <w:name w:val="Verbatim Char"/>
    <w:basedOn w:val="Absatz-Standardschriftart"/>
    <w:rsid w:val="006676E2"/>
    <w:rPr>
      <w:rFonts w:ascii="Open Sans SemiCondensed" w:hAnsi="Open Sans SemiCondensed"/>
      <w:b w:val="0"/>
      <w:bCs/>
      <w:i/>
      <w:iCs/>
      <w:color w:val="C00000"/>
      <w:sz w:val="22"/>
    </w:rPr>
  </w:style>
  <w:style w:type="character" w:customStyle="1" w:styleId="SectionNumber">
    <w:name w:val="Section Number"/>
    <w:basedOn w:val="Absatz-Standardschriftart"/>
    <w:rsid w:val="006676E2"/>
    <w:rPr>
      <w:rFonts w:ascii="Open Sans SemiCondensed" w:hAnsi="Open Sans SemiCondensed"/>
      <w:b w:val="0"/>
      <w:bCs/>
      <w:i/>
      <w:iCs/>
      <w:color w:val="C00000"/>
      <w:sz w:val="20"/>
    </w:rPr>
  </w:style>
  <w:style w:type="character" w:styleId="Funotenzeichen">
    <w:name w:val="footnote reference"/>
    <w:basedOn w:val="Absatz-Standardschriftart"/>
    <w:uiPriority w:val="99"/>
    <w:rsid w:val="00EF7CFB"/>
    <w:rPr>
      <w:rFonts w:ascii="Open Sans SemiCondensed" w:hAnsi="Open Sans SemiCondensed"/>
      <w:b w:val="0"/>
      <w:bCs/>
      <w:i w:val="0"/>
      <w:iCs/>
      <w:color w:val="auto"/>
      <w:sz w:val="20"/>
      <w:vertAlign w:val="superscript"/>
    </w:rPr>
  </w:style>
  <w:style w:type="character" w:styleId="Hyperlink">
    <w:name w:val="Hyperlink"/>
    <w:basedOn w:val="FunotentextZchn"/>
    <w:rsid w:val="003D502F"/>
    <w:rPr>
      <w:rFonts w:ascii="Open Sans SemiCondensed" w:hAnsi="Open Sans SemiCondensed"/>
      <w:b w:val="0"/>
      <w:bCs/>
      <w:i w:val="0"/>
      <w:iCs/>
      <w:color w:val="D31932" w:themeColor="accent1"/>
      <w:spacing w:val="-4"/>
      <w:sz w:val="20"/>
    </w:rPr>
  </w:style>
  <w:style w:type="paragraph" w:styleId="Inhaltsverzeichnisberschrift">
    <w:name w:val="TOC Heading"/>
    <w:basedOn w:val="berschrift1"/>
    <w:next w:val="Textkrper"/>
    <w:uiPriority w:val="39"/>
    <w:unhideWhenUsed/>
    <w:rsid w:val="00024143"/>
    <w:pPr>
      <w:spacing w:line="259" w:lineRule="auto"/>
      <w:outlineLvl w:val="9"/>
    </w:pPr>
    <w:rPr>
      <w:bCs w:val="0"/>
      <w:color w:val="auto"/>
    </w:rPr>
  </w:style>
  <w:style w:type="paragraph" w:styleId="Kopfzeile">
    <w:name w:val="header"/>
    <w:basedOn w:val="Standard"/>
    <w:link w:val="KopfzeileZchn"/>
    <w:unhideWhenUsed/>
    <w:rsid w:val="004B3A29"/>
    <w:pPr>
      <w:tabs>
        <w:tab w:val="center" w:pos="4513"/>
        <w:tab w:val="right" w:pos="9026"/>
      </w:tabs>
    </w:pPr>
  </w:style>
  <w:style w:type="character" w:customStyle="1" w:styleId="TextkrperZchn">
    <w:name w:val="Textkörper Zchn"/>
    <w:basedOn w:val="Absatz-Standardschriftart"/>
    <w:link w:val="Textkrper"/>
    <w:rsid w:val="007F5E1D"/>
  </w:style>
  <w:style w:type="character" w:customStyle="1" w:styleId="KopfzeileZchn">
    <w:name w:val="Kopfzeile Zchn"/>
    <w:basedOn w:val="Absatz-Standardschriftart"/>
    <w:link w:val="Kopfzeile"/>
    <w:rsid w:val="004B3A29"/>
    <w:rPr>
      <w:rFonts w:ascii="Open Sans SemiCondensed" w:hAnsi="Open Sans SemiCondensed"/>
      <w:sz w:val="20"/>
    </w:rPr>
  </w:style>
  <w:style w:type="paragraph" w:styleId="Fuzeile">
    <w:name w:val="footer"/>
    <w:basedOn w:val="Standard"/>
    <w:link w:val="FuzeileZchn"/>
    <w:unhideWhenUsed/>
    <w:rsid w:val="007B448B"/>
    <w:pPr>
      <w:tabs>
        <w:tab w:val="center" w:pos="4513"/>
        <w:tab w:val="right" w:pos="9026"/>
      </w:tabs>
    </w:pPr>
    <w:rPr>
      <w:sz w:val="18"/>
    </w:rPr>
  </w:style>
  <w:style w:type="character" w:customStyle="1" w:styleId="FuzeileZchn">
    <w:name w:val="Fußzeile Zchn"/>
    <w:basedOn w:val="Absatz-Standardschriftart"/>
    <w:link w:val="Fuzeile"/>
    <w:rsid w:val="007B448B"/>
    <w:rPr>
      <w:rFonts w:ascii="Open Sans SemiCondensed" w:hAnsi="Open Sans SemiCondensed"/>
      <w:spacing w:val="-4"/>
      <w:sz w:val="18"/>
    </w:rPr>
  </w:style>
  <w:style w:type="paragraph" w:customStyle="1" w:styleId="Themenschwerpunkt">
    <w:name w:val="Themenschwerpunkt"/>
    <w:basedOn w:val="Kopfzeile"/>
    <w:link w:val="ThemenschwerpunktZchn"/>
    <w:rsid w:val="00CC1689"/>
    <w:pPr>
      <w:tabs>
        <w:tab w:val="clear" w:pos="4513"/>
        <w:tab w:val="clear" w:pos="9026"/>
        <w:tab w:val="center" w:pos="4536"/>
        <w:tab w:val="right" w:pos="9072"/>
      </w:tabs>
      <w:spacing w:line="240" w:lineRule="auto"/>
      <w:jc w:val="both"/>
    </w:pPr>
    <w:rPr>
      <w:b/>
      <w:noProof/>
      <w:spacing w:val="0"/>
      <w:sz w:val="14"/>
      <w:szCs w:val="22"/>
      <w:lang w:val="de-DE"/>
    </w:rPr>
  </w:style>
  <w:style w:type="character" w:customStyle="1" w:styleId="ThemenschwerpunktZchn">
    <w:name w:val="Themenschwerpunkt Zchn"/>
    <w:basedOn w:val="KopfzeileZchn"/>
    <w:link w:val="Themenschwerpunkt"/>
    <w:rsid w:val="00CC1689"/>
    <w:rPr>
      <w:rFonts w:ascii="Open Sans SemiCondensed" w:hAnsi="Open Sans SemiCondensed"/>
      <w:b/>
      <w:noProof/>
      <w:spacing w:val="0"/>
      <w:sz w:val="14"/>
      <w:szCs w:val="22"/>
      <w:lang w:val="de-DE"/>
    </w:rPr>
  </w:style>
  <w:style w:type="paragraph" w:styleId="Textkrper2">
    <w:name w:val="Body Text 2"/>
    <w:basedOn w:val="Textkrper"/>
    <w:link w:val="Textkrper2Zchn"/>
    <w:rsid w:val="007F5E1D"/>
    <w:pPr>
      <w:ind w:firstLine="0"/>
    </w:pPr>
  </w:style>
  <w:style w:type="character" w:customStyle="1" w:styleId="Textkrper2Zchn">
    <w:name w:val="Textkörper 2 Zchn"/>
    <w:basedOn w:val="Absatz-Standardschriftart"/>
    <w:link w:val="Textkrper2"/>
    <w:rsid w:val="007F5E1D"/>
  </w:style>
  <w:style w:type="paragraph" w:styleId="Textkrper3">
    <w:name w:val="Body Text 3"/>
    <w:basedOn w:val="Textkrper"/>
    <w:link w:val="Textkrper3Zchn"/>
    <w:autoRedefine/>
    <w:rsid w:val="00CC499D"/>
    <w:pPr>
      <w:spacing w:before="0" w:after="0"/>
      <w:ind w:firstLine="0"/>
    </w:pPr>
  </w:style>
  <w:style w:type="character" w:customStyle="1" w:styleId="Textkrper3Zchn">
    <w:name w:val="Textkörper 3 Zchn"/>
    <w:basedOn w:val="Absatz-Standardschriftart"/>
    <w:link w:val="Textkrper3"/>
    <w:rsid w:val="00CC499D"/>
    <w:rPr>
      <w:lang w:val="de-CH"/>
    </w:rPr>
  </w:style>
  <w:style w:type="paragraph" w:customStyle="1" w:styleId="TabelleBeschriftung">
    <w:name w:val="Tabelle Beschriftung"/>
    <w:basedOn w:val="Standard"/>
    <w:qFormat/>
    <w:rsid w:val="003D502F"/>
    <w:pPr>
      <w:keepNext/>
      <w:spacing w:before="120" w:after="120" w:line="240" w:lineRule="auto"/>
    </w:pPr>
    <w:rPr>
      <w:bCs/>
      <w:i/>
      <w:iCs/>
      <w:color w:val="D31932" w:themeColor="accent1"/>
    </w:rPr>
  </w:style>
  <w:style w:type="paragraph" w:styleId="Liste">
    <w:name w:val="List"/>
    <w:basedOn w:val="Standard"/>
    <w:unhideWhenUsed/>
    <w:qFormat/>
    <w:rsid w:val="00ED473A"/>
    <w:pPr>
      <w:numPr>
        <w:numId w:val="17"/>
      </w:numPr>
      <w:ind w:left="454" w:hanging="284"/>
      <w:contextualSpacing/>
    </w:pPr>
  </w:style>
  <w:style w:type="paragraph" w:styleId="Liste2">
    <w:name w:val="List 2"/>
    <w:basedOn w:val="Standard"/>
    <w:unhideWhenUsed/>
    <w:rsid w:val="00ED473A"/>
    <w:pPr>
      <w:numPr>
        <w:ilvl w:val="1"/>
        <w:numId w:val="17"/>
      </w:numPr>
      <w:ind w:left="794" w:hanging="284"/>
      <w:contextualSpacing/>
    </w:pPr>
  </w:style>
  <w:style w:type="paragraph" w:styleId="Liste3">
    <w:name w:val="List 3"/>
    <w:basedOn w:val="Standard"/>
    <w:unhideWhenUsed/>
    <w:rsid w:val="00ED473A"/>
    <w:pPr>
      <w:numPr>
        <w:ilvl w:val="2"/>
        <w:numId w:val="17"/>
      </w:numPr>
      <w:ind w:left="1135" w:hanging="284"/>
      <w:contextualSpacing/>
    </w:pPr>
  </w:style>
  <w:style w:type="paragraph" w:styleId="Index1">
    <w:name w:val="index 1"/>
    <w:basedOn w:val="Standard"/>
    <w:next w:val="Standard"/>
    <w:autoRedefine/>
    <w:rsid w:val="00571C0D"/>
    <w:pPr>
      <w:spacing w:line="240" w:lineRule="auto"/>
      <w:ind w:left="200" w:hanging="200"/>
    </w:pPr>
  </w:style>
  <w:style w:type="character" w:styleId="Erwhnung">
    <w:name w:val="Mention"/>
    <w:basedOn w:val="Absatz-Standardschriftart"/>
    <w:uiPriority w:val="99"/>
    <w:unhideWhenUsed/>
    <w:rsid w:val="00EA4676"/>
    <w:rPr>
      <w:color w:val="2B579A"/>
      <w:shd w:val="clear" w:color="auto" w:fill="E1DFDD"/>
    </w:rPr>
  </w:style>
  <w:style w:type="character" w:styleId="Fett">
    <w:name w:val="Strong"/>
    <w:basedOn w:val="Absatz-Standardschriftart"/>
    <w:qFormat/>
    <w:rsid w:val="00EA4676"/>
    <w:rPr>
      <w:b/>
      <w:bCs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7B448B"/>
    <w:rPr>
      <w:rFonts w:ascii="Open Sans SemiCondensed" w:hAnsi="Open Sans SemiCondensed"/>
      <w:spacing w:val="-4"/>
      <w:sz w:val="18"/>
    </w:rPr>
  </w:style>
  <w:style w:type="table" w:styleId="Gitternetztabelle1hell">
    <w:name w:val="Grid Table 1 Light"/>
    <w:basedOn w:val="NormaleTabelle"/>
    <w:uiPriority w:val="46"/>
    <w:rsid w:val="00D614DC"/>
    <w:pPr>
      <w:spacing w:after="0"/>
    </w:pPr>
    <w:rPr>
      <w:sz w:val="22"/>
      <w:szCs w:val="22"/>
      <w:lang w:val="de-CH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NichtaufgelsteErwhnung">
    <w:name w:val="Unresolved Mention"/>
    <w:basedOn w:val="Absatz-Standardschriftart"/>
    <w:uiPriority w:val="99"/>
    <w:semiHidden/>
    <w:unhideWhenUsed/>
    <w:rsid w:val="00853805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02DE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D02DE1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rsid w:val="00D02DE1"/>
    <w:rPr>
      <w:rFonts w:ascii="Open Sans SemiCondensed" w:hAnsi="Open Sans SemiCondensed"/>
      <w:sz w:val="20"/>
      <w:szCs w:val="20"/>
    </w:rPr>
  </w:style>
  <w:style w:type="character" w:customStyle="1" w:styleId="UntertitelZchn">
    <w:name w:val="Untertitel Zchn"/>
    <w:basedOn w:val="Absatz-Standardschriftart"/>
    <w:link w:val="Untertitel"/>
    <w:rsid w:val="00EF7CFB"/>
    <w:rPr>
      <w:rFonts w:ascii="Open Sans SemiCondensed" w:eastAsiaTheme="majorEastAsia" w:hAnsi="Open Sans SemiCondensed" w:cstheme="majorBidi"/>
      <w:bCs/>
      <w:spacing w:val="20"/>
      <w:szCs w:val="30"/>
    </w:rPr>
  </w:style>
  <w:style w:type="table" w:styleId="Tabellenraster">
    <w:name w:val="Table Grid"/>
    <w:basedOn w:val="NormaleTabelle"/>
    <w:rsid w:val="006B554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rvorhebung1">
    <w:name w:val="Hervorhebung1"/>
    <w:basedOn w:val="Standard"/>
    <w:link w:val="HervorhebungCar"/>
    <w:qFormat/>
    <w:rsid w:val="003D502F"/>
    <w:rPr>
      <w:bCs/>
      <w:i/>
      <w:color w:val="D31932" w:themeColor="accent1"/>
      <w:spacing w:val="10"/>
      <w:szCs w:val="22"/>
    </w:rPr>
  </w:style>
  <w:style w:type="character" w:customStyle="1" w:styleId="HervorhebungCar">
    <w:name w:val="Hervorhebung Car"/>
    <w:basedOn w:val="Absatz-Standardschriftart"/>
    <w:link w:val="Hervorhebung1"/>
    <w:rsid w:val="003D502F"/>
    <w:rPr>
      <w:bCs/>
      <w:i/>
      <w:color w:val="D31932" w:themeColor="accent1"/>
      <w:spacing w:val="10"/>
      <w:szCs w:val="22"/>
    </w:rPr>
  </w:style>
  <w:style w:type="paragraph" w:customStyle="1" w:styleId="Zitat1">
    <w:name w:val="Zitat1"/>
    <w:basedOn w:val="Standard"/>
    <w:next w:val="Textkrper"/>
    <w:qFormat/>
    <w:rsid w:val="00157D7E"/>
    <w:pPr>
      <w:spacing w:before="120" w:after="240"/>
      <w:ind w:left="284" w:right="567"/>
      <w:jc w:val="both"/>
    </w:pPr>
    <w:rPr>
      <w:i/>
      <w:iCs/>
      <w:noProof/>
      <w:color w:val="262626" w:themeColor="text1" w:themeTint="D9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0302C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0302CB"/>
    <w:rPr>
      <w:rFonts w:ascii="Open Sans SemiCondensed" w:hAnsi="Open Sans SemiCondensed"/>
      <w:b/>
      <w:bCs/>
      <w:spacing w:val="-4"/>
      <w:sz w:val="20"/>
      <w:szCs w:val="20"/>
    </w:rPr>
  </w:style>
  <w:style w:type="paragraph" w:styleId="Listennummer">
    <w:name w:val="List Number"/>
    <w:basedOn w:val="Standard"/>
    <w:unhideWhenUsed/>
    <w:qFormat/>
    <w:rsid w:val="00ED473A"/>
    <w:pPr>
      <w:numPr>
        <w:numId w:val="21"/>
      </w:numPr>
      <w:ind w:left="527" w:hanging="357"/>
      <w:contextualSpacing/>
    </w:pPr>
    <w:rPr>
      <w:lang w:val="fr-CH"/>
    </w:rPr>
  </w:style>
  <w:style w:type="character" w:styleId="HTMLTastatur">
    <w:name w:val="HTML Keyboard"/>
    <w:basedOn w:val="Absatz-Standardschriftart"/>
    <w:semiHidden/>
    <w:unhideWhenUsed/>
    <w:rsid w:val="00120CBF"/>
    <w:rPr>
      <w:rFonts w:ascii="Open Sans SemiCondensed" w:hAnsi="Open Sans SemiCondensed"/>
      <w:sz w:val="20"/>
      <w:szCs w:val="20"/>
    </w:rPr>
  </w:style>
  <w:style w:type="character" w:styleId="HTMLCode">
    <w:name w:val="HTML Code"/>
    <w:basedOn w:val="Absatz-Standardschriftart"/>
    <w:semiHidden/>
    <w:unhideWhenUsed/>
    <w:rsid w:val="00120CBF"/>
    <w:rPr>
      <w:rFonts w:ascii="Open Sans SemiCondensed" w:hAnsi="Open Sans SemiCondensed"/>
      <w:sz w:val="20"/>
      <w:szCs w:val="20"/>
    </w:rPr>
  </w:style>
  <w:style w:type="paragraph" w:styleId="Dokumentstruktur">
    <w:name w:val="Document Map"/>
    <w:basedOn w:val="Standard"/>
    <w:link w:val="DokumentstrukturZchn"/>
    <w:semiHidden/>
    <w:unhideWhenUsed/>
    <w:rsid w:val="00120CBF"/>
    <w:pPr>
      <w:spacing w:line="240" w:lineRule="auto"/>
    </w:pPr>
    <w:rPr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semiHidden/>
    <w:rsid w:val="00120CBF"/>
    <w:rPr>
      <w:rFonts w:ascii="Open Sans SemiCondensed" w:hAnsi="Open Sans SemiCondensed"/>
      <w:spacing w:val="-4"/>
      <w:sz w:val="16"/>
      <w:szCs w:val="16"/>
    </w:rPr>
  </w:style>
  <w:style w:type="character" w:styleId="HTMLBeispiel">
    <w:name w:val="HTML Sample"/>
    <w:basedOn w:val="Absatz-Standardschriftart"/>
    <w:semiHidden/>
    <w:unhideWhenUsed/>
    <w:rsid w:val="00120CBF"/>
    <w:rPr>
      <w:rFonts w:ascii="Open Sans SemiCondensed" w:hAnsi="Open Sans SemiCondensed"/>
      <w:sz w:val="24"/>
      <w:szCs w:val="24"/>
    </w:rPr>
  </w:style>
  <w:style w:type="table" w:styleId="MittlereListe2">
    <w:name w:val="Medium List 2"/>
    <w:basedOn w:val="NormaleTabelle"/>
    <w:semiHidden/>
    <w:unhideWhenUsed/>
    <w:rsid w:val="00120CBF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semiHidden/>
    <w:unhideWhenUsed/>
    <w:rsid w:val="00120CBF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31932" w:themeColor="accent1"/>
        <w:left w:val="single" w:sz="8" w:space="0" w:color="D31932" w:themeColor="accent1"/>
        <w:bottom w:val="single" w:sz="8" w:space="0" w:color="D31932" w:themeColor="accent1"/>
        <w:right w:val="single" w:sz="8" w:space="0" w:color="D3193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3193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3193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3193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3193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C2C9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C2C9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Umschlagadresse">
    <w:name w:val="envelope address"/>
    <w:basedOn w:val="Standard"/>
    <w:semiHidden/>
    <w:unhideWhenUsed/>
    <w:rsid w:val="006676E2"/>
    <w:pPr>
      <w:framePr w:w="4320" w:h="2160" w:hRule="exact" w:hSpace="141" w:wrap="auto" w:hAnchor="page" w:xAlign="center" w:yAlign="bottom"/>
      <w:spacing w:line="240" w:lineRule="auto"/>
      <w:ind w:left="1"/>
    </w:pPr>
    <w:rPr>
      <w:rFonts w:eastAsiaTheme="majorEastAsia" w:cstheme="majorBidi"/>
      <w:sz w:val="24"/>
      <w:szCs w:val="24"/>
    </w:rPr>
  </w:style>
  <w:style w:type="paragraph" w:styleId="Umschlagabsenderadresse">
    <w:name w:val="envelope return"/>
    <w:basedOn w:val="Standard"/>
    <w:semiHidden/>
    <w:unhideWhenUsed/>
    <w:rsid w:val="006676E2"/>
    <w:pPr>
      <w:spacing w:line="240" w:lineRule="auto"/>
    </w:pPr>
    <w:rPr>
      <w:rFonts w:eastAsiaTheme="majorEastAsia" w:cstheme="majorBidi"/>
    </w:rPr>
  </w:style>
  <w:style w:type="paragraph" w:styleId="Nachrichtenkopf">
    <w:name w:val="Message Header"/>
    <w:basedOn w:val="Standard"/>
    <w:link w:val="NachrichtenkopfZchn"/>
    <w:semiHidden/>
    <w:unhideWhenUsed/>
    <w:rsid w:val="006676E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eastAsiaTheme="majorEastAsia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semiHidden/>
    <w:rsid w:val="006676E2"/>
    <w:rPr>
      <w:rFonts w:eastAsiaTheme="majorEastAsia" w:cstheme="majorBidi"/>
      <w:sz w:val="24"/>
      <w:szCs w:val="24"/>
      <w:shd w:val="pct20" w:color="auto" w:fill="auto"/>
    </w:rPr>
  </w:style>
  <w:style w:type="table" w:styleId="MittleresRaster2">
    <w:name w:val="Medium Grid 2"/>
    <w:basedOn w:val="NormaleTabelle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31932" w:themeColor="accent1"/>
        <w:left w:val="single" w:sz="8" w:space="0" w:color="D31932" w:themeColor="accent1"/>
        <w:bottom w:val="single" w:sz="8" w:space="0" w:color="D31932" w:themeColor="accent1"/>
        <w:right w:val="single" w:sz="8" w:space="0" w:color="D31932" w:themeColor="accent1"/>
        <w:insideH w:val="single" w:sz="8" w:space="0" w:color="D31932" w:themeColor="accent1"/>
        <w:insideV w:val="single" w:sz="8" w:space="0" w:color="D31932" w:themeColor="accent1"/>
      </w:tblBorders>
    </w:tblPr>
    <w:tcPr>
      <w:shd w:val="clear" w:color="auto" w:fill="F7C2C9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CE6E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CDD3" w:themeFill="accent1" w:themeFillTint="33"/>
      </w:tcPr>
    </w:tblStylePr>
    <w:tblStylePr w:type="band1Vert">
      <w:tblPr/>
      <w:tcPr>
        <w:shd w:val="clear" w:color="auto" w:fill="F08493" w:themeFill="accent1" w:themeFillTint="7F"/>
      </w:tcPr>
    </w:tblStylePr>
    <w:tblStylePr w:type="band1Horz">
      <w:tblPr/>
      <w:tcPr>
        <w:tcBorders>
          <w:insideH w:val="single" w:sz="6" w:space="0" w:color="D31932" w:themeColor="accent1"/>
          <w:insideV w:val="single" w:sz="6" w:space="0" w:color="D31932" w:themeColor="accent1"/>
        </w:tcBorders>
        <w:shd w:val="clear" w:color="auto" w:fill="F0849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EB5E51" w:themeColor="accent2"/>
        <w:left w:val="single" w:sz="8" w:space="0" w:color="EB5E51" w:themeColor="accent2"/>
        <w:bottom w:val="single" w:sz="8" w:space="0" w:color="EB5E51" w:themeColor="accent2"/>
        <w:right w:val="single" w:sz="8" w:space="0" w:color="EB5E51" w:themeColor="accent2"/>
        <w:insideH w:val="single" w:sz="8" w:space="0" w:color="EB5E51" w:themeColor="accent2"/>
        <w:insideV w:val="single" w:sz="8" w:space="0" w:color="EB5E51" w:themeColor="accent2"/>
      </w:tblBorders>
    </w:tblPr>
    <w:tcPr>
      <w:shd w:val="clear" w:color="auto" w:fill="FAD6D3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EE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DEDC" w:themeFill="accent2" w:themeFillTint="33"/>
      </w:tcPr>
    </w:tblStylePr>
    <w:tblStylePr w:type="band1Vert">
      <w:tblPr/>
      <w:tcPr>
        <w:shd w:val="clear" w:color="auto" w:fill="F5AEA8" w:themeFill="accent2" w:themeFillTint="7F"/>
      </w:tcPr>
    </w:tblStylePr>
    <w:tblStylePr w:type="band1Horz">
      <w:tblPr/>
      <w:tcPr>
        <w:tcBorders>
          <w:insideH w:val="single" w:sz="6" w:space="0" w:color="EB5E51" w:themeColor="accent2"/>
          <w:insideV w:val="single" w:sz="6" w:space="0" w:color="EB5E51" w:themeColor="accent2"/>
        </w:tcBorders>
        <w:shd w:val="clear" w:color="auto" w:fill="F5AEA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C7CF1C" w:themeColor="accent3"/>
        <w:left w:val="single" w:sz="8" w:space="0" w:color="C7CF1C" w:themeColor="accent3"/>
        <w:bottom w:val="single" w:sz="8" w:space="0" w:color="C7CF1C" w:themeColor="accent3"/>
        <w:right w:val="single" w:sz="8" w:space="0" w:color="C7CF1C" w:themeColor="accent3"/>
        <w:insideH w:val="single" w:sz="8" w:space="0" w:color="C7CF1C" w:themeColor="accent3"/>
        <w:insideV w:val="single" w:sz="8" w:space="0" w:color="C7CF1C" w:themeColor="accent3"/>
      </w:tblBorders>
    </w:tblPr>
    <w:tcPr>
      <w:shd w:val="clear" w:color="auto" w:fill="F4F7C3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FBE7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8CE" w:themeFill="accent3" w:themeFillTint="33"/>
      </w:tcPr>
    </w:tblStylePr>
    <w:tblStylePr w:type="band1Vert">
      <w:tblPr/>
      <w:tcPr>
        <w:shd w:val="clear" w:color="auto" w:fill="E9EE86" w:themeFill="accent3" w:themeFillTint="7F"/>
      </w:tcPr>
    </w:tblStylePr>
    <w:tblStylePr w:type="band1Horz">
      <w:tblPr/>
      <w:tcPr>
        <w:tcBorders>
          <w:insideH w:val="single" w:sz="6" w:space="0" w:color="C7CF1C" w:themeColor="accent3"/>
          <w:insideV w:val="single" w:sz="6" w:space="0" w:color="C7CF1C" w:themeColor="accent3"/>
        </w:tcBorders>
        <w:shd w:val="clear" w:color="auto" w:fill="E9EE86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51A66D" w:themeColor="accent4"/>
        <w:left w:val="single" w:sz="8" w:space="0" w:color="51A66D" w:themeColor="accent4"/>
        <w:bottom w:val="single" w:sz="8" w:space="0" w:color="51A66D" w:themeColor="accent4"/>
        <w:right w:val="single" w:sz="8" w:space="0" w:color="51A66D" w:themeColor="accent4"/>
        <w:insideH w:val="single" w:sz="8" w:space="0" w:color="51A66D" w:themeColor="accent4"/>
        <w:insideV w:val="single" w:sz="8" w:space="0" w:color="51A66D" w:themeColor="accent4"/>
      </w:tblBorders>
    </w:tblPr>
    <w:tcPr>
      <w:shd w:val="clear" w:color="auto" w:fill="D3E9D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0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DE1" w:themeFill="accent4" w:themeFillTint="33"/>
      </w:tcPr>
    </w:tblStylePr>
    <w:tblStylePr w:type="band1Vert">
      <w:tblPr/>
      <w:tcPr>
        <w:shd w:val="clear" w:color="auto" w:fill="A6D4B5" w:themeFill="accent4" w:themeFillTint="7F"/>
      </w:tcPr>
    </w:tblStylePr>
    <w:tblStylePr w:type="band1Horz">
      <w:tblPr/>
      <w:tcPr>
        <w:tcBorders>
          <w:insideH w:val="single" w:sz="6" w:space="0" w:color="51A66D" w:themeColor="accent4"/>
          <w:insideV w:val="single" w:sz="6" w:space="0" w:color="51A66D" w:themeColor="accent4"/>
        </w:tcBorders>
        <w:shd w:val="clear" w:color="auto" w:fill="A6D4B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5F9FBC" w:themeColor="accent5"/>
        <w:left w:val="single" w:sz="8" w:space="0" w:color="5F9FBC" w:themeColor="accent5"/>
        <w:bottom w:val="single" w:sz="8" w:space="0" w:color="5F9FBC" w:themeColor="accent5"/>
        <w:right w:val="single" w:sz="8" w:space="0" w:color="5F9FBC" w:themeColor="accent5"/>
        <w:insideH w:val="single" w:sz="8" w:space="0" w:color="5F9FBC" w:themeColor="accent5"/>
        <w:insideV w:val="single" w:sz="8" w:space="0" w:color="5F9FBC" w:themeColor="accent5"/>
      </w:tblBorders>
    </w:tblPr>
    <w:tcPr>
      <w:shd w:val="clear" w:color="auto" w:fill="D7E7EE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F5F8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BF1" w:themeFill="accent5" w:themeFillTint="33"/>
      </w:tcPr>
    </w:tblStylePr>
    <w:tblStylePr w:type="band1Vert">
      <w:tblPr/>
      <w:tcPr>
        <w:shd w:val="clear" w:color="auto" w:fill="AFCFDD" w:themeFill="accent5" w:themeFillTint="7F"/>
      </w:tcPr>
    </w:tblStylePr>
    <w:tblStylePr w:type="band1Horz">
      <w:tblPr/>
      <w:tcPr>
        <w:tcBorders>
          <w:insideH w:val="single" w:sz="6" w:space="0" w:color="5F9FBC" w:themeColor="accent5"/>
          <w:insideV w:val="single" w:sz="6" w:space="0" w:color="5F9FBC" w:themeColor="accent5"/>
        </w:tcBorders>
        <w:shd w:val="clear" w:color="auto" w:fill="AFCFD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98899" w:themeColor="accent6"/>
        <w:left w:val="single" w:sz="8" w:space="0" w:color="A98899" w:themeColor="accent6"/>
        <w:bottom w:val="single" w:sz="8" w:space="0" w:color="A98899" w:themeColor="accent6"/>
        <w:right w:val="single" w:sz="8" w:space="0" w:color="A98899" w:themeColor="accent6"/>
        <w:insideH w:val="single" w:sz="8" w:space="0" w:color="A98899" w:themeColor="accent6"/>
        <w:insideV w:val="single" w:sz="8" w:space="0" w:color="A98899" w:themeColor="accent6"/>
      </w:tblBorders>
    </w:tblPr>
    <w:tcPr>
      <w:shd w:val="clear" w:color="auto" w:fill="E9E1E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6F3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7EA" w:themeFill="accent6" w:themeFillTint="33"/>
      </w:tcPr>
    </w:tblStylePr>
    <w:tblStylePr w:type="band1Vert">
      <w:tblPr/>
      <w:tcPr>
        <w:shd w:val="clear" w:color="auto" w:fill="D4C3CC" w:themeFill="accent6" w:themeFillTint="7F"/>
      </w:tcPr>
    </w:tblStylePr>
    <w:tblStylePr w:type="band1Horz">
      <w:tblPr/>
      <w:tcPr>
        <w:tcBorders>
          <w:insideH w:val="single" w:sz="6" w:space="0" w:color="A98899" w:themeColor="accent6"/>
          <w:insideV w:val="single" w:sz="6" w:space="0" w:color="A98899" w:themeColor="accent6"/>
        </w:tcBorders>
        <w:shd w:val="clear" w:color="auto" w:fill="D4C3CC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Liste2-Akzent2">
    <w:name w:val="Medium List 2 Accent 2"/>
    <w:basedOn w:val="NormaleTabelle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EB5E51" w:themeColor="accent2"/>
        <w:left w:val="single" w:sz="8" w:space="0" w:color="EB5E51" w:themeColor="accent2"/>
        <w:bottom w:val="single" w:sz="8" w:space="0" w:color="EB5E51" w:themeColor="accent2"/>
        <w:right w:val="single" w:sz="8" w:space="0" w:color="EB5E5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B5E5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B5E51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B5E5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B5E5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6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6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C7CF1C" w:themeColor="accent3"/>
        <w:left w:val="single" w:sz="8" w:space="0" w:color="C7CF1C" w:themeColor="accent3"/>
        <w:bottom w:val="single" w:sz="8" w:space="0" w:color="C7CF1C" w:themeColor="accent3"/>
        <w:right w:val="single" w:sz="8" w:space="0" w:color="C7CF1C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7CF1C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7CF1C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7CF1C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7CF1C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F7C3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F7C3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51A66D" w:themeColor="accent4"/>
        <w:left w:val="single" w:sz="8" w:space="0" w:color="51A66D" w:themeColor="accent4"/>
        <w:bottom w:val="single" w:sz="8" w:space="0" w:color="51A66D" w:themeColor="accent4"/>
        <w:right w:val="single" w:sz="8" w:space="0" w:color="51A66D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1A66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1A66D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1A66D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1A66D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E9D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E9D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5F9FBC" w:themeColor="accent5"/>
        <w:left w:val="single" w:sz="8" w:space="0" w:color="5F9FBC" w:themeColor="accent5"/>
        <w:bottom w:val="single" w:sz="8" w:space="0" w:color="5F9FBC" w:themeColor="accent5"/>
        <w:right w:val="single" w:sz="8" w:space="0" w:color="5F9FB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9FB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F9FBC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9FB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F9FB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7EE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E7EE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98899" w:themeColor="accent6"/>
        <w:left w:val="single" w:sz="8" w:space="0" w:color="A98899" w:themeColor="accent6"/>
        <w:bottom w:val="single" w:sz="8" w:space="0" w:color="A98899" w:themeColor="accent6"/>
        <w:right w:val="single" w:sz="8" w:space="0" w:color="A98899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9889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98899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98899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98899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E1E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9E1E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HTMLSchreibmaschine">
    <w:name w:val="HTML Typewriter"/>
    <w:basedOn w:val="Absatz-Standardschriftart"/>
    <w:semiHidden/>
    <w:unhideWhenUsed/>
    <w:rsid w:val="006676E2"/>
    <w:rPr>
      <w:rFonts w:ascii="Open Sans SemiCondensed" w:hAnsi="Open Sans SemiCondensed"/>
      <w:sz w:val="20"/>
      <w:szCs w:val="20"/>
    </w:rPr>
  </w:style>
  <w:style w:type="paragraph" w:styleId="StandardWeb">
    <w:name w:val="Normal (Web)"/>
    <w:basedOn w:val="Standard"/>
    <w:semiHidden/>
    <w:unhideWhenUsed/>
    <w:rsid w:val="006676E2"/>
    <w:rPr>
      <w:rFonts w:cs="Times New Roman"/>
      <w:sz w:val="24"/>
      <w:szCs w:val="24"/>
    </w:rPr>
  </w:style>
  <w:style w:type="paragraph" w:styleId="HTMLVorformatiert">
    <w:name w:val="HTML Preformatted"/>
    <w:basedOn w:val="Standard"/>
    <w:link w:val="HTMLVorformatiertZchn"/>
    <w:semiHidden/>
    <w:unhideWhenUsed/>
    <w:rsid w:val="006676E2"/>
    <w:pPr>
      <w:spacing w:line="240" w:lineRule="auto"/>
    </w:pPr>
  </w:style>
  <w:style w:type="character" w:customStyle="1" w:styleId="HTMLVorformatiertZchn">
    <w:name w:val="HTML Vorformatiert Zchn"/>
    <w:basedOn w:val="Absatz-Standardschriftart"/>
    <w:link w:val="HTMLVorformatiert"/>
    <w:semiHidden/>
    <w:rsid w:val="006676E2"/>
  </w:style>
  <w:style w:type="paragraph" w:styleId="NurText">
    <w:name w:val="Plain Text"/>
    <w:basedOn w:val="Standard"/>
    <w:link w:val="NurTextZchn"/>
    <w:semiHidden/>
    <w:unhideWhenUsed/>
    <w:rsid w:val="006676E2"/>
    <w:pPr>
      <w:spacing w:line="240" w:lineRule="auto"/>
    </w:pPr>
    <w:rPr>
      <w:sz w:val="21"/>
      <w:szCs w:val="21"/>
    </w:rPr>
  </w:style>
  <w:style w:type="character" w:customStyle="1" w:styleId="NurTextZchn">
    <w:name w:val="Nur Text Zchn"/>
    <w:basedOn w:val="Absatz-Standardschriftart"/>
    <w:link w:val="NurText"/>
    <w:semiHidden/>
    <w:rsid w:val="006676E2"/>
    <w:rPr>
      <w:sz w:val="21"/>
      <w:szCs w:val="21"/>
    </w:rPr>
  </w:style>
  <w:style w:type="paragraph" w:styleId="Sprechblasentext">
    <w:name w:val="Balloon Text"/>
    <w:basedOn w:val="Standard"/>
    <w:link w:val="SprechblasentextZchn"/>
    <w:semiHidden/>
    <w:unhideWhenUsed/>
    <w:rsid w:val="006676E2"/>
    <w:pPr>
      <w:spacing w:line="240" w:lineRule="auto"/>
    </w:pPr>
    <w:rPr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6676E2"/>
    <w:rPr>
      <w:rFonts w:ascii="Open Sans SemiCondensed" w:hAnsi="Open Sans SemiCondensed"/>
      <w:sz w:val="18"/>
      <w:szCs w:val="18"/>
    </w:rPr>
  </w:style>
  <w:style w:type="paragraph" w:styleId="Makrotext">
    <w:name w:val="macro"/>
    <w:link w:val="MakrotextZchn"/>
    <w:semiHidden/>
    <w:unhideWhenUsed/>
    <w:rsid w:val="006676E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76" w:lineRule="auto"/>
    </w:pPr>
  </w:style>
  <w:style w:type="character" w:customStyle="1" w:styleId="MakrotextZchn">
    <w:name w:val="Makrotext Zchn"/>
    <w:basedOn w:val="Absatz-Standardschriftart"/>
    <w:link w:val="Makrotext"/>
    <w:semiHidden/>
    <w:rsid w:val="006676E2"/>
  </w:style>
  <w:style w:type="paragraph" w:styleId="Indexberschrift">
    <w:name w:val="index heading"/>
    <w:basedOn w:val="Standard"/>
    <w:next w:val="Index1"/>
    <w:semiHidden/>
    <w:unhideWhenUsed/>
    <w:rsid w:val="006676E2"/>
    <w:rPr>
      <w:rFonts w:eastAsiaTheme="majorEastAsia" w:cstheme="majorBidi"/>
      <w:b/>
      <w:bCs/>
    </w:rPr>
  </w:style>
  <w:style w:type="paragraph" w:styleId="RGV-berschrift">
    <w:name w:val="toa heading"/>
    <w:basedOn w:val="Standard"/>
    <w:next w:val="Standard"/>
    <w:semiHidden/>
    <w:unhideWhenUsed/>
    <w:rsid w:val="006676E2"/>
    <w:pPr>
      <w:spacing w:before="120"/>
    </w:pPr>
    <w:rPr>
      <w:rFonts w:eastAsiaTheme="majorEastAsia" w:cstheme="majorBidi"/>
      <w:b/>
      <w:bCs/>
      <w:sz w:val="24"/>
      <w:szCs w:val="24"/>
    </w:rPr>
  </w:style>
  <w:style w:type="numbering" w:styleId="ArtikelAbschnitt">
    <w:name w:val="Outline List 3"/>
    <w:basedOn w:val="KeineListe"/>
    <w:semiHidden/>
    <w:unhideWhenUsed/>
    <w:rsid w:val="00153133"/>
    <w:pPr>
      <w:numPr>
        <w:numId w:val="40"/>
      </w:numPr>
    </w:pPr>
  </w:style>
  <w:style w:type="paragraph" w:styleId="Listennummer2">
    <w:name w:val="List Number 2"/>
    <w:basedOn w:val="Listennummer"/>
    <w:unhideWhenUsed/>
    <w:rsid w:val="00382314"/>
    <w:pPr>
      <w:numPr>
        <w:ilvl w:val="1"/>
      </w:numPr>
      <w:ind w:left="851" w:hanging="425"/>
    </w:pPr>
    <w:rPr>
      <w:rFonts w:cs="Open Sans SemiCondensed"/>
    </w:rPr>
  </w:style>
  <w:style w:type="paragraph" w:styleId="Listennummer3">
    <w:name w:val="List Number 3"/>
    <w:basedOn w:val="Listennummer"/>
    <w:unhideWhenUsed/>
    <w:rsid w:val="00382314"/>
    <w:pPr>
      <w:numPr>
        <w:ilvl w:val="2"/>
      </w:numPr>
    </w:pPr>
    <w:rPr>
      <w:rFonts w:cs="Open Sans SemiCondensed"/>
    </w:rPr>
  </w:style>
  <w:style w:type="character" w:styleId="BesuchterLink">
    <w:name w:val="FollowedHyperlink"/>
    <w:basedOn w:val="Absatz-Standardschriftart"/>
    <w:semiHidden/>
    <w:unhideWhenUsed/>
    <w:rsid w:val="009E5005"/>
    <w:rPr>
      <w:color w:val="252B46" w:themeColor="followedHyperlink"/>
      <w:u w:val="single"/>
    </w:rPr>
  </w:style>
  <w:style w:type="paragraph" w:customStyle="1" w:styleId="WichtigBox">
    <w:name w:val="Wichtig Box"/>
    <w:basedOn w:val="Textkrper"/>
    <w:qFormat/>
    <w:rsid w:val="00DF11B1"/>
    <w:pPr>
      <w:pBdr>
        <w:top w:val="single" w:sz="48" w:space="1" w:color="FFFFFF" w:themeColor="background1"/>
        <w:left w:val="single" w:sz="48" w:space="4" w:color="FFFFFF" w:themeColor="background1"/>
        <w:bottom w:val="single" w:sz="48" w:space="1" w:color="FFFFFF" w:themeColor="background1"/>
        <w:right w:val="single" w:sz="48" w:space="4" w:color="FFFFFF" w:themeColor="background1"/>
      </w:pBdr>
      <w:shd w:val="clear" w:color="auto" w:fill="CBB7C1" w:themeFill="accent6" w:themeFillTint="99"/>
    </w:pPr>
    <w:rPr>
      <w:lang w:val="fr-CH"/>
    </w:rPr>
  </w:style>
  <w:style w:type="paragraph" w:customStyle="1" w:styleId="Fragen">
    <w:name w:val="Fragen"/>
    <w:basedOn w:val="Textkrper"/>
    <w:next w:val="Textkrper"/>
    <w:qFormat/>
    <w:rsid w:val="0003314D"/>
    <w:pPr>
      <w:pBdr>
        <w:left w:val="single" w:sz="12" w:space="4" w:color="D31932" w:themeColor="accent1"/>
      </w:pBdr>
      <w:spacing w:before="120"/>
      <w:ind w:left="170"/>
    </w:pPr>
    <w:rPr>
      <w:color w:val="D31932" w:themeColor="accent1"/>
    </w:rPr>
  </w:style>
  <w:style w:type="table" w:styleId="Gitternetztabelle2">
    <w:name w:val="Grid Table 2"/>
    <w:basedOn w:val="NormaleTabelle"/>
    <w:rsid w:val="007F5E1D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3Akzent4">
    <w:name w:val="List Table 3 Accent 4"/>
    <w:basedOn w:val="NormaleTabelle"/>
    <w:uiPriority w:val="48"/>
    <w:rsid w:val="0020467E"/>
    <w:pPr>
      <w:spacing w:after="0"/>
    </w:pPr>
    <w:tblPr>
      <w:tblStyleRowBandSize w:val="1"/>
      <w:tblStyleColBandSize w:val="1"/>
      <w:tblBorders>
        <w:top w:val="single" w:sz="4" w:space="0" w:color="51A66D" w:themeColor="accent4"/>
        <w:left w:val="single" w:sz="4" w:space="0" w:color="51A66D" w:themeColor="accent4"/>
        <w:bottom w:val="single" w:sz="4" w:space="0" w:color="51A66D" w:themeColor="accent4"/>
        <w:right w:val="single" w:sz="4" w:space="0" w:color="51A66D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1A66D" w:themeFill="accent4"/>
      </w:tcPr>
    </w:tblStylePr>
    <w:tblStylePr w:type="lastRow">
      <w:rPr>
        <w:b/>
        <w:bCs/>
      </w:rPr>
      <w:tblPr/>
      <w:tcPr>
        <w:tcBorders>
          <w:top w:val="double" w:sz="4" w:space="0" w:color="51A66D" w:themeColor="accent4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1A66D" w:themeColor="accent4"/>
          <w:right w:val="single" w:sz="4" w:space="0" w:color="51A66D" w:themeColor="accent4"/>
        </w:tcBorders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1A66D" w:themeColor="accent4"/>
          <w:left w:val="nil"/>
        </w:tcBorders>
      </w:tcPr>
    </w:tblStylePr>
    <w:tblStylePr w:type="swCell">
      <w:tblPr/>
      <w:tcPr>
        <w:tcBorders>
          <w:top w:val="double" w:sz="4" w:space="0" w:color="51A66D" w:themeColor="accent4"/>
          <w:right w:val="nil"/>
        </w:tcBorders>
      </w:tcPr>
    </w:tblStylePr>
  </w:style>
  <w:style w:type="table" w:styleId="Listentabelle4Akzent6">
    <w:name w:val="List Table 4 Accent 6"/>
    <w:basedOn w:val="NormaleTabelle"/>
    <w:uiPriority w:val="49"/>
    <w:rsid w:val="007F5E1D"/>
    <w:pPr>
      <w:spacing w:after="0"/>
    </w:pPr>
    <w:tblPr>
      <w:tblStyleRowBandSize w:val="1"/>
      <w:tblStyleColBandSize w:val="1"/>
      <w:tblBorders>
        <w:top w:val="single" w:sz="4" w:space="0" w:color="CBB7C1" w:themeColor="accent6" w:themeTint="99"/>
        <w:left w:val="single" w:sz="4" w:space="0" w:color="CBB7C1" w:themeColor="accent6" w:themeTint="99"/>
        <w:bottom w:val="single" w:sz="4" w:space="0" w:color="CBB7C1" w:themeColor="accent6" w:themeTint="99"/>
        <w:right w:val="single" w:sz="4" w:space="0" w:color="CBB7C1" w:themeColor="accent6" w:themeTint="99"/>
        <w:insideH w:val="single" w:sz="4" w:space="0" w:color="CBB7C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98899" w:themeColor="accent6"/>
          <w:left w:val="single" w:sz="4" w:space="0" w:color="A98899" w:themeColor="accent6"/>
          <w:bottom w:val="single" w:sz="4" w:space="0" w:color="A98899" w:themeColor="accent6"/>
          <w:right w:val="single" w:sz="4" w:space="0" w:color="A98899" w:themeColor="accent6"/>
          <w:insideH w:val="nil"/>
        </w:tcBorders>
        <w:shd w:val="clear" w:color="auto" w:fill="A98899" w:themeFill="accent6"/>
      </w:tcPr>
    </w:tblStylePr>
    <w:tblStylePr w:type="lastRow">
      <w:rPr>
        <w:b/>
        <w:bCs/>
      </w:rPr>
      <w:tblPr/>
      <w:tcPr>
        <w:tcBorders>
          <w:top w:val="double" w:sz="4" w:space="0" w:color="CBB7C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7EA" w:themeFill="accent6" w:themeFillTint="33"/>
      </w:tcPr>
    </w:tblStylePr>
    <w:tblStylePr w:type="band1Horz">
      <w:tblPr/>
      <w:tcPr>
        <w:shd w:val="clear" w:color="auto" w:fill="EDE7EA" w:themeFill="accent6" w:themeFillTint="33"/>
      </w:tcPr>
    </w:tblStylePr>
  </w:style>
  <w:style w:type="table" w:styleId="Listentabelle4Akzent1">
    <w:name w:val="List Table 4 Accent 1"/>
    <w:basedOn w:val="NormaleTabelle"/>
    <w:uiPriority w:val="49"/>
    <w:rsid w:val="007F5E1D"/>
    <w:pPr>
      <w:spacing w:after="0"/>
    </w:pPr>
    <w:tblPr>
      <w:tblStyleRowBandSize w:val="1"/>
      <w:tblStyleColBandSize w:val="1"/>
      <w:tblBorders>
        <w:top w:val="single" w:sz="4" w:space="0" w:color="ED6B7D" w:themeColor="accent1" w:themeTint="99"/>
        <w:left w:val="single" w:sz="4" w:space="0" w:color="ED6B7D" w:themeColor="accent1" w:themeTint="99"/>
        <w:bottom w:val="single" w:sz="4" w:space="0" w:color="ED6B7D" w:themeColor="accent1" w:themeTint="99"/>
        <w:right w:val="single" w:sz="4" w:space="0" w:color="ED6B7D" w:themeColor="accent1" w:themeTint="99"/>
        <w:insideH w:val="single" w:sz="4" w:space="0" w:color="ED6B7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31932" w:themeColor="accent1"/>
          <w:left w:val="single" w:sz="4" w:space="0" w:color="D31932" w:themeColor="accent1"/>
          <w:bottom w:val="single" w:sz="4" w:space="0" w:color="D31932" w:themeColor="accent1"/>
          <w:right w:val="single" w:sz="4" w:space="0" w:color="D31932" w:themeColor="accent1"/>
          <w:insideH w:val="nil"/>
        </w:tcBorders>
        <w:shd w:val="clear" w:color="auto" w:fill="D31932" w:themeFill="accent1"/>
      </w:tcPr>
    </w:tblStylePr>
    <w:tblStylePr w:type="lastRow">
      <w:rPr>
        <w:b/>
        <w:bCs/>
      </w:rPr>
      <w:tblPr/>
      <w:tcPr>
        <w:tcBorders>
          <w:top w:val="double" w:sz="4" w:space="0" w:color="ED6B7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CDD3" w:themeFill="accent1" w:themeFillTint="33"/>
      </w:tcPr>
    </w:tblStylePr>
    <w:tblStylePr w:type="band1Horz">
      <w:tblPr/>
      <w:tcPr>
        <w:shd w:val="clear" w:color="auto" w:fill="F9CDD3" w:themeFill="accent1" w:themeFillTint="33"/>
      </w:tcPr>
    </w:tblStylePr>
  </w:style>
  <w:style w:type="table" w:styleId="Listentabelle4Akzent2">
    <w:name w:val="List Table 4 Accent 2"/>
    <w:basedOn w:val="NormaleTabelle"/>
    <w:uiPriority w:val="49"/>
    <w:rsid w:val="007F5E1D"/>
    <w:pPr>
      <w:spacing w:after="0"/>
    </w:pPr>
    <w:tblPr>
      <w:tblStyleRowBandSize w:val="1"/>
      <w:tblStyleColBandSize w:val="1"/>
      <w:tblBorders>
        <w:top w:val="single" w:sz="4" w:space="0" w:color="F39D96" w:themeColor="accent2" w:themeTint="99"/>
        <w:left w:val="single" w:sz="4" w:space="0" w:color="F39D96" w:themeColor="accent2" w:themeTint="99"/>
        <w:bottom w:val="single" w:sz="4" w:space="0" w:color="F39D96" w:themeColor="accent2" w:themeTint="99"/>
        <w:right w:val="single" w:sz="4" w:space="0" w:color="F39D96" w:themeColor="accent2" w:themeTint="99"/>
        <w:insideH w:val="single" w:sz="4" w:space="0" w:color="F39D9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B5E51" w:themeColor="accent2"/>
          <w:left w:val="single" w:sz="4" w:space="0" w:color="EB5E51" w:themeColor="accent2"/>
          <w:bottom w:val="single" w:sz="4" w:space="0" w:color="EB5E51" w:themeColor="accent2"/>
          <w:right w:val="single" w:sz="4" w:space="0" w:color="EB5E51" w:themeColor="accent2"/>
          <w:insideH w:val="nil"/>
        </w:tcBorders>
        <w:shd w:val="clear" w:color="auto" w:fill="EB5E51" w:themeFill="accent2"/>
      </w:tcPr>
    </w:tblStylePr>
    <w:tblStylePr w:type="lastRow">
      <w:rPr>
        <w:b/>
        <w:bCs/>
      </w:rPr>
      <w:tblPr/>
      <w:tcPr>
        <w:tcBorders>
          <w:top w:val="double" w:sz="4" w:space="0" w:color="F39D9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EDC" w:themeFill="accent2" w:themeFillTint="33"/>
      </w:tcPr>
    </w:tblStylePr>
    <w:tblStylePr w:type="band1Horz">
      <w:tblPr/>
      <w:tcPr>
        <w:shd w:val="clear" w:color="auto" w:fill="FBDEDC" w:themeFill="accent2" w:themeFillTint="33"/>
      </w:tcPr>
    </w:tblStylePr>
  </w:style>
  <w:style w:type="table" w:styleId="Listentabelle1hellAkzent4">
    <w:name w:val="List Table 1 Light Accent 4"/>
    <w:basedOn w:val="NormaleTabelle"/>
    <w:uiPriority w:val="46"/>
    <w:rsid w:val="007F5E1D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4CBA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4CBA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DE1" w:themeFill="accent4" w:themeFillTint="33"/>
      </w:tcPr>
    </w:tblStylePr>
    <w:tblStylePr w:type="band1Horz">
      <w:tblPr/>
      <w:tcPr>
        <w:shd w:val="clear" w:color="auto" w:fill="DBEDE1" w:themeFill="accent4" w:themeFillTint="33"/>
      </w:tcPr>
    </w:tblStylePr>
  </w:style>
  <w:style w:type="table" w:styleId="Listentabelle1hellAkzent3">
    <w:name w:val="List Table 1 Light Accent 3"/>
    <w:basedOn w:val="NormaleTabelle"/>
    <w:uiPriority w:val="46"/>
    <w:rsid w:val="007F5E1D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5EB6D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5EB6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8CE" w:themeFill="accent3" w:themeFillTint="33"/>
      </w:tcPr>
    </w:tblStylePr>
    <w:tblStylePr w:type="band1Horz">
      <w:tblPr/>
      <w:tcPr>
        <w:shd w:val="clear" w:color="auto" w:fill="F6F8CE" w:themeFill="accent3" w:themeFillTint="33"/>
      </w:tcPr>
    </w:tblStylePr>
  </w:style>
  <w:style w:type="table" w:styleId="Listentabelle1hellAkzent2">
    <w:name w:val="List Table 1 Light Accent 2"/>
    <w:basedOn w:val="NormaleTabelle"/>
    <w:uiPriority w:val="46"/>
    <w:rsid w:val="007F5E1D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39D96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39D9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EDC" w:themeFill="accent2" w:themeFillTint="33"/>
      </w:tcPr>
    </w:tblStylePr>
    <w:tblStylePr w:type="band1Horz">
      <w:tblPr/>
      <w:tcPr>
        <w:shd w:val="clear" w:color="auto" w:fill="FBDEDC" w:themeFill="accent2" w:themeFillTint="33"/>
      </w:tcPr>
    </w:tblStylePr>
  </w:style>
  <w:style w:type="table" w:styleId="Listentabelle1hellAkzent1">
    <w:name w:val="List Table 1 Light Accent 1"/>
    <w:basedOn w:val="NormaleTabelle"/>
    <w:uiPriority w:val="46"/>
    <w:rsid w:val="007F5E1D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D6B7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D6B7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CDD3" w:themeFill="accent1" w:themeFillTint="33"/>
      </w:tcPr>
    </w:tblStylePr>
    <w:tblStylePr w:type="band1Horz">
      <w:tblPr/>
      <w:tcPr>
        <w:shd w:val="clear" w:color="auto" w:fill="F9CDD3" w:themeFill="accent1" w:themeFillTint="33"/>
      </w:tcPr>
    </w:tblStylePr>
  </w:style>
  <w:style w:type="table" w:styleId="Listentabelle2Akzent5">
    <w:name w:val="List Table 2 Accent 5"/>
    <w:basedOn w:val="NormaleTabelle"/>
    <w:uiPriority w:val="47"/>
    <w:rsid w:val="007F5E1D"/>
    <w:pPr>
      <w:spacing w:after="0"/>
    </w:pPr>
    <w:tblPr>
      <w:tblStyleRowBandSize w:val="1"/>
      <w:tblStyleColBandSize w:val="1"/>
      <w:tblBorders>
        <w:top w:val="single" w:sz="4" w:space="0" w:color="9EC5D6" w:themeColor="accent5" w:themeTint="99"/>
        <w:bottom w:val="single" w:sz="4" w:space="0" w:color="9EC5D6" w:themeColor="accent5" w:themeTint="99"/>
        <w:insideH w:val="single" w:sz="4" w:space="0" w:color="9EC5D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BF1" w:themeFill="accent5" w:themeFillTint="33"/>
      </w:tcPr>
    </w:tblStylePr>
    <w:tblStylePr w:type="band1Horz">
      <w:tblPr/>
      <w:tcPr>
        <w:shd w:val="clear" w:color="auto" w:fill="DEEBF1" w:themeFill="accent5" w:themeFillTint="33"/>
      </w:tcPr>
    </w:tblStylePr>
  </w:style>
  <w:style w:type="table" w:styleId="Gitternetztabelle5dunkelAkzent6">
    <w:name w:val="Grid Table 5 Dark Accent 6"/>
    <w:basedOn w:val="NormaleTabelle"/>
    <w:uiPriority w:val="50"/>
    <w:rsid w:val="007F5E1D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7EA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98899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98899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9889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98899" w:themeFill="accent6"/>
      </w:tcPr>
    </w:tblStylePr>
    <w:tblStylePr w:type="band1Vert">
      <w:tblPr/>
      <w:tcPr>
        <w:shd w:val="clear" w:color="auto" w:fill="DCCFD6" w:themeFill="accent6" w:themeFillTint="66"/>
      </w:tcPr>
    </w:tblStylePr>
    <w:tblStylePr w:type="band1Horz">
      <w:tblPr/>
      <w:tcPr>
        <w:shd w:val="clear" w:color="auto" w:fill="DCCFD6" w:themeFill="accent6" w:themeFillTint="66"/>
      </w:tcPr>
    </w:tblStylePr>
  </w:style>
  <w:style w:type="table" w:styleId="Gitternetztabelle3Akzent6">
    <w:name w:val="Grid Table 3 Accent 6"/>
    <w:basedOn w:val="NormaleTabelle"/>
    <w:uiPriority w:val="48"/>
    <w:rsid w:val="007B5701"/>
    <w:pPr>
      <w:spacing w:after="0"/>
    </w:pPr>
    <w:tblPr>
      <w:tblStyleRowBandSize w:val="1"/>
      <w:tblStyleColBandSize w:val="1"/>
      <w:tblBorders>
        <w:top w:val="single" w:sz="4" w:space="0" w:color="CBB7C1" w:themeColor="accent6" w:themeTint="99"/>
        <w:left w:val="single" w:sz="4" w:space="0" w:color="CBB7C1" w:themeColor="accent6" w:themeTint="99"/>
        <w:bottom w:val="single" w:sz="4" w:space="0" w:color="CBB7C1" w:themeColor="accent6" w:themeTint="99"/>
        <w:right w:val="single" w:sz="4" w:space="0" w:color="CBB7C1" w:themeColor="accent6" w:themeTint="99"/>
        <w:insideH w:val="single" w:sz="4" w:space="0" w:color="CBB7C1" w:themeColor="accent6" w:themeTint="99"/>
        <w:insideV w:val="single" w:sz="4" w:space="0" w:color="CBB7C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7EA" w:themeFill="accent6" w:themeFillTint="33"/>
      </w:tcPr>
    </w:tblStylePr>
    <w:tblStylePr w:type="band1Horz">
      <w:tblPr/>
      <w:tcPr>
        <w:shd w:val="clear" w:color="auto" w:fill="EDE7EA" w:themeFill="accent6" w:themeFillTint="33"/>
      </w:tcPr>
    </w:tblStylePr>
    <w:tblStylePr w:type="neCell">
      <w:tblPr/>
      <w:tcPr>
        <w:tcBorders>
          <w:bottom w:val="single" w:sz="4" w:space="0" w:color="CBB7C1" w:themeColor="accent6" w:themeTint="99"/>
        </w:tcBorders>
      </w:tcPr>
    </w:tblStylePr>
    <w:tblStylePr w:type="nwCell">
      <w:tblPr/>
      <w:tcPr>
        <w:tcBorders>
          <w:bottom w:val="single" w:sz="4" w:space="0" w:color="CBB7C1" w:themeColor="accent6" w:themeTint="99"/>
        </w:tcBorders>
      </w:tcPr>
    </w:tblStylePr>
    <w:tblStylePr w:type="seCell">
      <w:tblPr/>
      <w:tcPr>
        <w:tcBorders>
          <w:top w:val="single" w:sz="4" w:space="0" w:color="CBB7C1" w:themeColor="accent6" w:themeTint="99"/>
        </w:tcBorders>
      </w:tcPr>
    </w:tblStylePr>
    <w:tblStylePr w:type="swCell">
      <w:tblPr/>
      <w:tcPr>
        <w:tcBorders>
          <w:top w:val="single" w:sz="4" w:space="0" w:color="CBB7C1" w:themeColor="accent6" w:themeTint="99"/>
        </w:tcBorders>
      </w:tcPr>
    </w:tblStylePr>
  </w:style>
  <w:style w:type="table" w:styleId="Gitternetztabelle4Akzent6">
    <w:name w:val="Grid Table 4 Accent 6"/>
    <w:basedOn w:val="NormaleTabelle"/>
    <w:uiPriority w:val="49"/>
    <w:rsid w:val="007B5701"/>
    <w:pPr>
      <w:spacing w:after="0"/>
    </w:pPr>
    <w:tblPr>
      <w:tblStyleRowBandSize w:val="1"/>
      <w:tblStyleColBandSize w:val="1"/>
      <w:tblBorders>
        <w:top w:val="single" w:sz="4" w:space="0" w:color="CBB7C1" w:themeColor="accent6" w:themeTint="99"/>
        <w:left w:val="single" w:sz="4" w:space="0" w:color="CBB7C1" w:themeColor="accent6" w:themeTint="99"/>
        <w:bottom w:val="single" w:sz="4" w:space="0" w:color="CBB7C1" w:themeColor="accent6" w:themeTint="99"/>
        <w:right w:val="single" w:sz="4" w:space="0" w:color="CBB7C1" w:themeColor="accent6" w:themeTint="99"/>
        <w:insideH w:val="single" w:sz="4" w:space="0" w:color="CBB7C1" w:themeColor="accent6" w:themeTint="99"/>
        <w:insideV w:val="single" w:sz="4" w:space="0" w:color="CBB7C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98899" w:themeColor="accent6"/>
          <w:left w:val="single" w:sz="4" w:space="0" w:color="A98899" w:themeColor="accent6"/>
          <w:bottom w:val="single" w:sz="4" w:space="0" w:color="A98899" w:themeColor="accent6"/>
          <w:right w:val="single" w:sz="4" w:space="0" w:color="A98899" w:themeColor="accent6"/>
          <w:insideH w:val="nil"/>
          <w:insideV w:val="nil"/>
        </w:tcBorders>
        <w:shd w:val="clear" w:color="auto" w:fill="A98899" w:themeFill="accent6"/>
      </w:tcPr>
    </w:tblStylePr>
    <w:tblStylePr w:type="lastRow">
      <w:rPr>
        <w:b/>
        <w:bCs/>
      </w:rPr>
      <w:tblPr/>
      <w:tcPr>
        <w:tcBorders>
          <w:top w:val="double" w:sz="4" w:space="0" w:color="A9889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7EA" w:themeFill="accent6" w:themeFillTint="33"/>
      </w:tcPr>
    </w:tblStylePr>
    <w:tblStylePr w:type="band1Horz">
      <w:tblPr/>
      <w:tcPr>
        <w:shd w:val="clear" w:color="auto" w:fill="EDE7EA" w:themeFill="accent6" w:themeFillTint="33"/>
      </w:tcPr>
    </w:tblStylePr>
  </w:style>
  <w:style w:type="table" w:styleId="Listentabelle1hellAkzent6">
    <w:name w:val="List Table 1 Light Accent 6"/>
    <w:basedOn w:val="NormaleTabelle"/>
    <w:uiPriority w:val="46"/>
    <w:rsid w:val="007B5701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BB7C1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BB7C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7EA" w:themeFill="accent6" w:themeFillTint="33"/>
      </w:tcPr>
    </w:tblStylePr>
    <w:tblStylePr w:type="band1Horz">
      <w:tblPr/>
      <w:tcPr>
        <w:shd w:val="clear" w:color="auto" w:fill="DCCFD6" w:themeFill="accent6" w:themeFillTint="66"/>
      </w:tcPr>
    </w:tblStylePr>
  </w:style>
  <w:style w:type="table" w:styleId="Listentabelle3Akzent6">
    <w:name w:val="List Table 3 Accent 6"/>
    <w:basedOn w:val="NormaleTabelle"/>
    <w:uiPriority w:val="48"/>
    <w:rsid w:val="00AE5D15"/>
    <w:pPr>
      <w:spacing w:after="0"/>
    </w:pPr>
    <w:tblPr>
      <w:tblStyleRowBandSize w:val="1"/>
      <w:tblStyleColBandSize w:val="1"/>
      <w:tblBorders>
        <w:top w:val="single" w:sz="4" w:space="0" w:color="A98899" w:themeColor="accent6"/>
        <w:left w:val="single" w:sz="4" w:space="0" w:color="A98899" w:themeColor="accent6"/>
        <w:bottom w:val="single" w:sz="4" w:space="0" w:color="A98899" w:themeColor="accent6"/>
        <w:right w:val="single" w:sz="4" w:space="0" w:color="A98899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98899" w:themeFill="accent6"/>
      </w:tcPr>
    </w:tblStylePr>
    <w:tblStylePr w:type="lastRow">
      <w:rPr>
        <w:b/>
        <w:bCs/>
      </w:rPr>
      <w:tblPr/>
      <w:tcPr>
        <w:tcBorders>
          <w:top w:val="double" w:sz="4" w:space="0" w:color="A98899" w:themeColor="accent6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98899" w:themeColor="accent6"/>
          <w:left w:val="nil"/>
        </w:tcBorders>
      </w:tcPr>
    </w:tblStylePr>
    <w:tblStylePr w:type="swCell">
      <w:tblPr/>
      <w:tcPr>
        <w:tcBorders>
          <w:top w:val="double" w:sz="4" w:space="0" w:color="A98899" w:themeColor="accent6"/>
          <w:right w:val="nil"/>
        </w:tcBorders>
      </w:tcPr>
    </w:tblStylePr>
  </w:style>
  <w:style w:type="table" w:styleId="Listentabelle3Akzent5">
    <w:name w:val="List Table 3 Accent 5"/>
    <w:basedOn w:val="NormaleTabelle"/>
    <w:uiPriority w:val="48"/>
    <w:rsid w:val="0020467E"/>
    <w:pPr>
      <w:spacing w:after="0"/>
    </w:pPr>
    <w:tblPr>
      <w:tblStyleRowBandSize w:val="1"/>
      <w:tblStyleColBandSize w:val="1"/>
      <w:tblBorders>
        <w:top w:val="single" w:sz="4" w:space="0" w:color="5F9FBC" w:themeColor="accent5"/>
        <w:left w:val="single" w:sz="4" w:space="0" w:color="5F9FBC" w:themeColor="accent5"/>
        <w:bottom w:val="single" w:sz="4" w:space="0" w:color="5F9FBC" w:themeColor="accent5"/>
        <w:right w:val="single" w:sz="4" w:space="0" w:color="5F9FB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F9FBC" w:themeFill="accent5"/>
      </w:tcPr>
    </w:tblStylePr>
    <w:tblStylePr w:type="lastRow">
      <w:rPr>
        <w:b/>
        <w:bCs/>
      </w:rPr>
      <w:tblPr/>
      <w:tcPr>
        <w:tcBorders>
          <w:top w:val="double" w:sz="4" w:space="0" w:color="5F9FBC" w:themeColor="accent5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F9FBC" w:themeColor="accent5"/>
          <w:right w:val="single" w:sz="4" w:space="0" w:color="5F9FBC" w:themeColor="accent5"/>
        </w:tcBorders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F9FBC" w:themeColor="accent5"/>
          <w:left w:val="nil"/>
        </w:tcBorders>
      </w:tcPr>
    </w:tblStylePr>
    <w:tblStylePr w:type="swCell">
      <w:tblPr/>
      <w:tcPr>
        <w:tcBorders>
          <w:top w:val="double" w:sz="4" w:space="0" w:color="5F9FBC" w:themeColor="accent5"/>
          <w:right w:val="nil"/>
        </w:tcBorders>
      </w:tcPr>
    </w:tblStylePr>
  </w:style>
  <w:style w:type="table" w:styleId="Listentabelle3Akzent3">
    <w:name w:val="List Table 3 Accent 3"/>
    <w:basedOn w:val="NormaleTabelle"/>
    <w:uiPriority w:val="48"/>
    <w:rsid w:val="0020467E"/>
    <w:pPr>
      <w:spacing w:after="0"/>
    </w:pPr>
    <w:tblPr>
      <w:tblStyleRowBandSize w:val="1"/>
      <w:tblStyleColBandSize w:val="1"/>
      <w:tblBorders>
        <w:top w:val="single" w:sz="4" w:space="0" w:color="C7CF1C" w:themeColor="accent3"/>
        <w:left w:val="single" w:sz="4" w:space="0" w:color="C7CF1C" w:themeColor="accent3"/>
        <w:bottom w:val="single" w:sz="4" w:space="0" w:color="C7CF1C" w:themeColor="accent3"/>
        <w:right w:val="single" w:sz="4" w:space="0" w:color="C7CF1C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7CF1C" w:themeFill="accent3"/>
      </w:tcPr>
    </w:tblStylePr>
    <w:tblStylePr w:type="lastRow">
      <w:rPr>
        <w:b/>
        <w:bCs/>
      </w:rPr>
      <w:tblPr/>
      <w:tcPr>
        <w:tcBorders>
          <w:top w:val="double" w:sz="4" w:space="0" w:color="C7CF1C" w:themeColor="accent3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7CF1C" w:themeColor="accent3"/>
          <w:right w:val="single" w:sz="4" w:space="0" w:color="C7CF1C" w:themeColor="accent3"/>
        </w:tcBorders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7CF1C" w:themeColor="accent3"/>
          <w:left w:val="nil"/>
        </w:tcBorders>
      </w:tcPr>
    </w:tblStylePr>
    <w:tblStylePr w:type="swCell">
      <w:tblPr/>
      <w:tcPr>
        <w:tcBorders>
          <w:top w:val="double" w:sz="4" w:space="0" w:color="C7CF1C" w:themeColor="accent3"/>
          <w:right w:val="nil"/>
        </w:tcBorders>
      </w:tcPr>
    </w:tblStylePr>
  </w:style>
  <w:style w:type="table" w:styleId="Listentabelle3Akzent2">
    <w:name w:val="List Table 3 Accent 2"/>
    <w:basedOn w:val="NormaleTabelle"/>
    <w:uiPriority w:val="48"/>
    <w:rsid w:val="0020467E"/>
    <w:pPr>
      <w:spacing w:after="0"/>
    </w:pPr>
    <w:tblPr>
      <w:tblStyleRowBandSize w:val="1"/>
      <w:tblStyleColBandSize w:val="1"/>
      <w:tblBorders>
        <w:top w:val="single" w:sz="4" w:space="0" w:color="EB5E51" w:themeColor="accent2"/>
        <w:left w:val="single" w:sz="4" w:space="0" w:color="EB5E51" w:themeColor="accent2"/>
        <w:bottom w:val="single" w:sz="4" w:space="0" w:color="EB5E51" w:themeColor="accent2"/>
        <w:right w:val="single" w:sz="4" w:space="0" w:color="EB5E5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B5E51" w:themeFill="accent2"/>
      </w:tcPr>
    </w:tblStylePr>
    <w:tblStylePr w:type="lastRow">
      <w:rPr>
        <w:b/>
        <w:bCs/>
      </w:rPr>
      <w:tblPr/>
      <w:tcPr>
        <w:tcBorders>
          <w:top w:val="double" w:sz="4" w:space="0" w:color="EB5E51" w:themeColor="accent2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B5E51" w:themeColor="accent2"/>
          <w:right w:val="single" w:sz="4" w:space="0" w:color="EB5E51" w:themeColor="accent2"/>
        </w:tcBorders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B5E51" w:themeColor="accent2"/>
          <w:left w:val="nil"/>
        </w:tcBorders>
      </w:tcPr>
    </w:tblStylePr>
    <w:tblStylePr w:type="swCell">
      <w:tblPr/>
      <w:tcPr>
        <w:tcBorders>
          <w:top w:val="double" w:sz="4" w:space="0" w:color="EB5E51" w:themeColor="accent2"/>
          <w:right w:val="nil"/>
        </w:tcBorders>
      </w:tcPr>
    </w:tblStylePr>
  </w:style>
  <w:style w:type="table" w:styleId="Listentabelle3Akzent1">
    <w:name w:val="List Table 3 Accent 1"/>
    <w:basedOn w:val="NormaleTabelle"/>
    <w:uiPriority w:val="48"/>
    <w:rsid w:val="00467E46"/>
    <w:pPr>
      <w:spacing w:after="0"/>
    </w:pPr>
    <w:tblPr>
      <w:tblStyleRowBandSize w:val="1"/>
      <w:tblStyleColBandSize w:val="1"/>
      <w:tblBorders>
        <w:top w:val="single" w:sz="4" w:space="0" w:color="D31932" w:themeColor="accent1"/>
        <w:left w:val="single" w:sz="4" w:space="0" w:color="D31932" w:themeColor="accent1"/>
        <w:bottom w:val="single" w:sz="4" w:space="0" w:color="D31932" w:themeColor="accent1"/>
        <w:right w:val="single" w:sz="4" w:space="0" w:color="D3193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31932" w:themeFill="accent1"/>
      </w:tcPr>
    </w:tblStylePr>
    <w:tblStylePr w:type="lastRow">
      <w:rPr>
        <w:b/>
        <w:bCs/>
      </w:rPr>
      <w:tblPr/>
      <w:tcPr>
        <w:tcBorders>
          <w:top w:val="double" w:sz="4" w:space="0" w:color="D31932" w:themeColor="accen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31932" w:themeColor="accent1"/>
          <w:right w:val="single" w:sz="4" w:space="0" w:color="D31932" w:themeColor="accent1"/>
        </w:tcBorders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31932" w:themeColor="accent1"/>
          <w:left w:val="nil"/>
        </w:tcBorders>
      </w:tcPr>
    </w:tblStylePr>
    <w:tblStylePr w:type="swCell">
      <w:tblPr/>
      <w:tcPr>
        <w:tcBorders>
          <w:top w:val="double" w:sz="4" w:space="0" w:color="D31932" w:themeColor="accent1"/>
          <w:right w:val="nil"/>
        </w:tcBorders>
      </w:tcPr>
    </w:tblStylePr>
  </w:style>
  <w:style w:type="table" w:styleId="Listentabelle4">
    <w:name w:val="List Table 4"/>
    <w:basedOn w:val="NormaleTabelle"/>
    <w:uiPriority w:val="49"/>
    <w:rsid w:val="006411DE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3">
    <w:name w:val="List Table 3"/>
    <w:basedOn w:val="NormaleTabelle"/>
    <w:uiPriority w:val="48"/>
    <w:rsid w:val="006411DE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styleId="berarbeitung">
    <w:name w:val="Revision"/>
    <w:hidden/>
    <w:semiHidden/>
    <w:rsid w:val="00036AFC"/>
    <w:pPr>
      <w:spacing w:after="0"/>
    </w:pPr>
  </w:style>
  <w:style w:type="paragraph" w:customStyle="1" w:styleId="pf0">
    <w:name w:val="pf0"/>
    <w:basedOn w:val="Standard"/>
    <w:rsid w:val="00AE3B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pacing w:val="0"/>
      <w:sz w:val="24"/>
      <w:szCs w:val="24"/>
      <w:lang w:eastAsia="de-CH"/>
    </w:rPr>
  </w:style>
  <w:style w:type="character" w:customStyle="1" w:styleId="cf01">
    <w:name w:val="cf01"/>
    <w:basedOn w:val="Absatz-Standardschriftart"/>
    <w:rsid w:val="00AE3BD8"/>
    <w:rPr>
      <w:rFonts w:ascii="Segoe UI" w:hAnsi="Segoe UI" w:cs="Segoe UI" w:hint="default"/>
      <w:sz w:val="18"/>
      <w:szCs w:val="18"/>
    </w:rPr>
  </w:style>
  <w:style w:type="character" w:customStyle="1" w:styleId="value">
    <w:name w:val="value"/>
    <w:basedOn w:val="Absatz-Standardschriftart"/>
    <w:rsid w:val="00795B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609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3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2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svg"/><Relationship Id="rId18" Type="http://schemas.openxmlformats.org/officeDocument/2006/relationships/hyperlink" Target="http://www.bag.admin.ch/bag/de/home/strategie-und-politik/nationale-gesundheitsstrategien/strategie-palliative-care.html" TargetMode="External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hyperlink" Target="https://doi.org/10.12968/ijpn.2014.20.6.279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hyperlink" Target="https://www.bag.admin.ch/bag/de/home/strategie-und-politik/nationale-gesundheitsstrategien/strategie-palliative-care.html" TargetMode="External"/><Relationship Id="rId25" Type="http://schemas.openxmlformats.org/officeDocument/2006/relationships/hyperlink" Target="https://www.bag.admin.ch/bag/de/home/das-bag/publikationen/forschungsberichte/forschungsberichte-palliative-care/intellektuelle-beeintraechtigung-und-palliative-care.htm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supportfordecisionmakingresource.com.au/" TargetMode="External"/><Relationship Id="rId20" Type="http://schemas.openxmlformats.org/officeDocument/2006/relationships/hyperlink" Target="https://doi.org/10.3238/arztebl.2015.0496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oi.org/10.57161/z2023-04-06" TargetMode="External"/><Relationship Id="rId24" Type="http://schemas.openxmlformats.org/officeDocument/2006/relationships/hyperlink" Target="https://www.learningdisabilityanddementia.org/uploads/1/1/5/8/11581920/eapc-white-paper-id_full-version_april-2015.pdf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s.schaeper@katho-nrw.de" TargetMode="External"/><Relationship Id="rId23" Type="http://schemas.openxmlformats.org/officeDocument/2006/relationships/hyperlink" Target="https://pubmed.ncbi.nlm.nih.gov/12597467/" TargetMode="Externa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www.bundesgesundheitsministerium.de/fileadmin/Dateien/5_Publikationen/Gesundheit/Flyer_Poster_etc/Hospiz-_und_Palliativgesetz.pdf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Relationship Id="rId22" Type="http://schemas.openxmlformats.org/officeDocument/2006/relationships/hyperlink" Target="http://dx.doi.org/10.2139/ssrn.2161115" TargetMode="External"/><Relationship Id="rId27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.schaeper\Downloads\Layoutvorlage_DE.dotx" TargetMode="External"/></Relationships>
</file>

<file path=word/theme/theme1.xml><?xml version="1.0" encoding="utf-8"?>
<a:theme xmlns:a="http://schemas.openxmlformats.org/drawingml/2006/main" name="Office Theme">
  <a:themeElements>
    <a:clrScheme name="SZH/CSPS">
      <a:dk1>
        <a:sysClr val="windowText" lastClr="000000"/>
      </a:dk1>
      <a:lt1>
        <a:sysClr val="window" lastClr="FFFFFF"/>
      </a:lt1>
      <a:dk2>
        <a:srgbClr val="252B46"/>
      </a:dk2>
      <a:lt2>
        <a:srgbClr val="FFFFFF"/>
      </a:lt2>
      <a:accent1>
        <a:srgbClr val="D31932"/>
      </a:accent1>
      <a:accent2>
        <a:srgbClr val="EB5E51"/>
      </a:accent2>
      <a:accent3>
        <a:srgbClr val="C7CF1C"/>
      </a:accent3>
      <a:accent4>
        <a:srgbClr val="51A66D"/>
      </a:accent4>
      <a:accent5>
        <a:srgbClr val="5F9FBC"/>
      </a:accent5>
      <a:accent6>
        <a:srgbClr val="A98899"/>
      </a:accent6>
      <a:hlink>
        <a:srgbClr val="D31932"/>
      </a:hlink>
      <a:folHlink>
        <a:srgbClr val="252B46"/>
      </a:folHlink>
    </a:clrScheme>
    <a:fontScheme name="Personnalisé 1">
      <a:majorFont>
        <a:latin typeface="Open Sans SemiCondensed"/>
        <a:ea typeface=""/>
        <a:cs typeface=""/>
      </a:majorFont>
      <a:minorFont>
        <a:latin typeface="Open Sans SemiCondense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d9addd-010e-4f5f-8f1c-4194eaaa354f" xsi:nil="true"/>
    <lcf76f155ced4ddcb4097134ff3c332f xmlns="76555f21-dda2-40b2-9e67-0c5126acc9b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7681858B7D484080A6C8E6830BC98C" ma:contentTypeVersion="16" ma:contentTypeDescription="Ein neues Dokument erstellen." ma:contentTypeScope="" ma:versionID="efabc2fd2160146da9773b3e62151174">
  <xsd:schema xmlns:xsd="http://www.w3.org/2001/XMLSchema" xmlns:xs="http://www.w3.org/2001/XMLSchema" xmlns:p="http://schemas.microsoft.com/office/2006/metadata/properties" xmlns:ns2="76555f21-dda2-40b2-9e67-0c5126acc9bb" xmlns:ns3="4fd9addd-010e-4f5f-8f1c-4194eaaa354f" targetNamespace="http://schemas.microsoft.com/office/2006/metadata/properties" ma:root="true" ma:fieldsID="9324ecf6a410d7f8e560099a02caca26" ns2:_="" ns3:_="">
    <xsd:import namespace="76555f21-dda2-40b2-9e67-0c5126acc9bb"/>
    <xsd:import namespace="4fd9addd-010e-4f5f-8f1c-4194eaaa35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555f21-dda2-40b2-9e67-0c5126acc9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d8ca9b99-a138-4061-96ae-ccea63f481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d9addd-010e-4f5f-8f1c-4194eaaa35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d73401d-95f3-4a64-be7b-bef45ce11d4d}" ma:internalName="TaxCatchAll" ma:showField="CatchAllData" ma:web="4fd9addd-010e-4f5f-8f1c-4194eaaa35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3F9FDA9-7FB6-4D8D-862D-895C44714D11}">
  <ds:schemaRefs>
    <ds:schemaRef ds:uri="http://schemas.microsoft.com/office/2006/metadata/properties"/>
    <ds:schemaRef ds:uri="http://schemas.microsoft.com/office/infopath/2007/PartnerControls"/>
    <ds:schemaRef ds:uri="4fd9addd-010e-4f5f-8f1c-4194eaaa354f"/>
    <ds:schemaRef ds:uri="76555f21-dda2-40b2-9e67-0c5126acc9bb"/>
  </ds:schemaRefs>
</ds:datastoreItem>
</file>

<file path=customXml/itemProps2.xml><?xml version="1.0" encoding="utf-8"?>
<ds:datastoreItem xmlns:ds="http://schemas.openxmlformats.org/officeDocument/2006/customXml" ds:itemID="{E0EA7201-A3B6-429C-B974-25B41F87D6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555f21-dda2-40b2-9e67-0c5126acc9bb"/>
    <ds:schemaRef ds:uri="4fd9addd-010e-4f5f-8f1c-4194eaaa35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817F937-6FD2-4D17-A185-8613FCCC0B5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47EC88C-8D21-434D-9DE7-8252E3B8ED2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Layoutvorlage_DE</Template>
  <TotalTime>0</TotalTime>
  <Pages>7</Pages>
  <Words>3214</Words>
  <Characters>20253</Characters>
  <Application>Microsoft Office Word</Application>
  <DocSecurity>0</DocSecurity>
  <Lines>168</Lines>
  <Paragraphs>46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Übers Sterben reden_x000d_</vt:lpstr>
    </vt:vector>
  </TitlesOfParts>
  <Company/>
  <LinksUpToDate>false</LinksUpToDate>
  <CharactersWithSpaces>23421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Übers Sterben reden_x000d_</dc:title>
  <dc:subject/>
  <dc:creator>Sabine Schäper_x000d_</dc:creator>
  <cp:keywords>kognitive Beeinträchtigung, Schwer- und Mehrfachbehinderung, Tod, Palliative Care, Selbstbestimmung, Ethik / déficience intellectuelle, polyhandicap, mort, soins palliatifs, autodétermination, éthique</cp:keywords>
  <cp:lastModifiedBy>Edition, Stagiaire</cp:lastModifiedBy>
  <cp:revision>75</cp:revision>
  <cp:lastPrinted>2023-05-02T11:31:00Z</cp:lastPrinted>
  <dcterms:created xsi:type="dcterms:W3CDTF">2023-04-18T18:52:00Z</dcterms:created>
  <dcterms:modified xsi:type="dcterms:W3CDTF">2023-05-02T11:31:00Z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0x010100C27681858B7D484080A6C8E6830BC98C</vt:lpwstr>
  </property>
  <property fmtid="{D5CDD505-2E9C-101B-9397-08002B2CF9AE}" pid="3" name="MediaServiceImageTags">
    <vt:lpwstr/>
  </property>
  <property fmtid="{D5CDD505-2E9C-101B-9397-08002B2CF9AE}" pid="4" name="ZOTERO_PREF_1">
    <vt:lpwstr>&lt;data data-version="3" zotero-version="5.0.96.3"&gt;&lt;session id="QVTIewH6"/&gt;&lt;style id="http://www.zotero.org/styles/apa" locale="fr-FR" hasBibliography="1" bibliographyStyleHasBeenSet="1"/&gt;&lt;prefs&gt;&lt;pref name="fieldType" value="Bookmark"/&gt;&lt;pref name="automatic</vt:lpwstr>
  </property>
  <property fmtid="{D5CDD505-2E9C-101B-9397-08002B2CF9AE}" pid="5" name="ZOTERO_PREF_2">
    <vt:lpwstr>JournalAbbreviations" value="true"/&gt;&lt;/prefs&gt;&lt;/data&gt;</vt:lpwstr>
  </property>
  <property fmtid="{D5CDD505-2E9C-101B-9397-08002B2CF9AE}" pid="6" name="Mendeley Recent Style Id 0_1">
    <vt:lpwstr>http://www.zotero.org/styles/american-medical-association</vt:lpwstr>
  </property>
  <property fmtid="{D5CDD505-2E9C-101B-9397-08002B2CF9AE}" pid="7" name="Mendeley Recent Style Name 0_1">
    <vt:lpwstr>American Medical Association 11th edition</vt:lpwstr>
  </property>
  <property fmtid="{D5CDD505-2E9C-101B-9397-08002B2CF9AE}" pid="8" name="Mendeley Recent Style Id 1_1">
    <vt:lpwstr>http://www.zotero.org/styles/american-political-science-association</vt:lpwstr>
  </property>
  <property fmtid="{D5CDD505-2E9C-101B-9397-08002B2CF9AE}" pid="9" name="Mendeley Recent Style Name 1_1">
    <vt:lpwstr>American Political Science Association</vt:lpwstr>
  </property>
  <property fmtid="{D5CDD505-2E9C-101B-9397-08002B2CF9AE}" pid="10" name="Mendeley Recent Style Id 2_1">
    <vt:lpwstr>http://www.zotero.org/styles/apa</vt:lpwstr>
  </property>
  <property fmtid="{D5CDD505-2E9C-101B-9397-08002B2CF9AE}" pid="11" name="Mendeley Recent Style Name 2_1">
    <vt:lpwstr>American Psychological Association 7th edition</vt:lpwstr>
  </property>
  <property fmtid="{D5CDD505-2E9C-101B-9397-08002B2CF9AE}" pid="12" name="Mendeley Recent Style Id 3_1">
    <vt:lpwstr>http://www.zotero.org/styles/american-sociological-association</vt:lpwstr>
  </property>
  <property fmtid="{D5CDD505-2E9C-101B-9397-08002B2CF9AE}" pid="13" name="Mendeley Recent Style Name 3_1">
    <vt:lpwstr>American Sociological Association 6th edition</vt:lpwstr>
  </property>
  <property fmtid="{D5CDD505-2E9C-101B-9397-08002B2CF9AE}" pid="14" name="Mendeley Recent Style Id 4_1">
    <vt:lpwstr>http://www.zotero.org/styles/chicago-author-date</vt:lpwstr>
  </property>
  <property fmtid="{D5CDD505-2E9C-101B-9397-08002B2CF9AE}" pid="15" name="Mendeley Recent Style Name 4_1">
    <vt:lpwstr>Chicago Manual of Style 17th edition (author-date)</vt:lpwstr>
  </property>
  <property fmtid="{D5CDD505-2E9C-101B-9397-08002B2CF9AE}" pid="16" name="Mendeley Recent Style Id 5_1">
    <vt:lpwstr>http://www.zotero.org/styles/harvard-cite-them-right</vt:lpwstr>
  </property>
  <property fmtid="{D5CDD505-2E9C-101B-9397-08002B2CF9AE}" pid="17" name="Mendeley Recent Style Name 5_1">
    <vt:lpwstr>Cite Them Right 10th edition - Harvard</vt:lpwstr>
  </property>
  <property fmtid="{D5CDD505-2E9C-101B-9397-08002B2CF9AE}" pid="18" name="Mendeley Recent Style Id 6_1">
    <vt:lpwstr>http://www.zotero.org/styles/ieee</vt:lpwstr>
  </property>
  <property fmtid="{D5CDD505-2E9C-101B-9397-08002B2CF9AE}" pid="19" name="Mendeley Recent Style Name 6_1">
    <vt:lpwstr>IEEE</vt:lpwstr>
  </property>
  <property fmtid="{D5CDD505-2E9C-101B-9397-08002B2CF9AE}" pid="20" name="Mendeley Recent Style Id 7_1">
    <vt:lpwstr>http://www.zotero.org/styles/modern-humanities-research-association</vt:lpwstr>
  </property>
  <property fmtid="{D5CDD505-2E9C-101B-9397-08002B2CF9AE}" pid="21" name="Mendeley Recent Style Name 7_1">
    <vt:lpwstr>Modern Humanities Research Association 3rd edition (note with bibliography)</vt:lpwstr>
  </property>
  <property fmtid="{D5CDD505-2E9C-101B-9397-08002B2CF9AE}" pid="22" name="Mendeley Recent Style Id 8_1">
    <vt:lpwstr>http://www.zotero.org/styles/modern-language-association</vt:lpwstr>
  </property>
  <property fmtid="{D5CDD505-2E9C-101B-9397-08002B2CF9AE}" pid="23" name="Mendeley Recent Style Name 8_1">
    <vt:lpwstr>Modern Language Association 8th edition</vt:lpwstr>
  </property>
  <property fmtid="{D5CDD505-2E9C-101B-9397-08002B2CF9AE}" pid="24" name="Mendeley Recent Style Id 9_1">
    <vt:lpwstr>http://www.zotero.org/styles/nature</vt:lpwstr>
  </property>
  <property fmtid="{D5CDD505-2E9C-101B-9397-08002B2CF9AE}" pid="25" name="Mendeley Recent Style Name 9_1">
    <vt:lpwstr>Nature</vt:lpwstr>
  </property>
  <property fmtid="{D5CDD505-2E9C-101B-9397-08002B2CF9AE}" pid="26" name="ZOTERO_BREF_LJpYRCftHTcs_1">
    <vt:lpwstr>ZOTERO_ITEM CSL_CITATION {"citationID":"UR6fXmLH","properties":{"formattedCitation":"(Bourke-Taylor et al., 2010)","plainCitation":"(Bourke-Taylor et al., 2010)","noteIndex":0},"citationItems":[{"id":2,"uris":["http://zotero.org/users/local/VFQK57b2/items</vt:lpwstr>
  </property>
  <property fmtid="{D5CDD505-2E9C-101B-9397-08002B2CF9AE}" pid="27" name="ZOTERO_BREF_LJpYRCftHTcs_2">
    <vt:lpwstr>/ELZKDGJZ"],"uri":["http://zotero.org/users/local/VFQK57b2/items/ELZKDGJZ"],"itemData":{"id":2,"type":"article-journal","container-title":"Australian Occupational Therapy Journal","DOI":"10.1111/j.1440-1630.2009.00817.x","issue":"2","language":"en","page"</vt:lpwstr>
  </property>
  <property fmtid="{D5CDD505-2E9C-101B-9397-08002B2CF9AE}" pid="28" name="ZOTERO_BREF_LJpYRCftHTcs_3">
    <vt:lpwstr>:"127–36","title":"Impact of caring for a school-aged child with a disability: understanding mothers' perspectives","volume":"57","author":[{"family":"Bourke-Taylor","given":"H."},{"family":"Howie","given":"L."},{"family":"Law","given":"M."}],"issued":{"d</vt:lpwstr>
  </property>
  <property fmtid="{D5CDD505-2E9C-101B-9397-08002B2CF9AE}" pid="29" name="ZOTERO_BREF_LJpYRCftHTcs_4">
    <vt:lpwstr>ate-parts":[["2010"]]},"citation-key":"bourke-taylorImpactCaringSchoolaged2010"}}],"schema":"https://github.com/citation-style-language/schema/raw/master/csl-citation.json"}</vt:lpwstr>
  </property>
  <property fmtid="{D5CDD505-2E9C-101B-9397-08002B2CF9AE}" pid="30" name="ZOTERO_BREF_0lLwaBULNIz3_1">
    <vt:lpwstr>ZOTERO_BIBL {"uncited":[],"omitted":[],"custom":[]} CSL_BIBLIOGRAPHY</vt:lpwstr>
  </property>
</Properties>
</file>