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994C9" w14:textId="77777777" w:rsidR="0072476B" w:rsidRDefault="0072476B" w:rsidP="00FF2E2B">
      <w:pPr>
        <w:pStyle w:val="Titel"/>
      </w:pPr>
      <w:r w:rsidRPr="0072476B">
        <w:t>Nachteilsausgleich in der beruflichen Grundbildung</w:t>
      </w:r>
    </w:p>
    <w:p w14:paraId="26846B20" w14:textId="678447F5" w:rsidR="001114E2" w:rsidRPr="0072476B" w:rsidRDefault="0072476B" w:rsidP="0072476B">
      <w:pPr>
        <w:pStyle w:val="Untertitel"/>
        <w:rPr>
          <w:rFonts w:cs="Open Sans SemiCondensed"/>
        </w:rPr>
      </w:pPr>
      <w:r w:rsidRPr="0072476B">
        <w:rPr>
          <w:rFonts w:cs="Open Sans SemiCondensed"/>
        </w:rPr>
        <w:t>Anspruch und Umsetzung an den drei Lernorten</w:t>
      </w:r>
      <w:r w:rsidR="00B05FBD">
        <w:rPr>
          <w:rFonts w:cs="Open Sans SemiCondensed"/>
        </w:rPr>
        <w:t xml:space="preserve"> </w:t>
      </w:r>
      <w:r w:rsidR="00B05FBD" w:rsidRPr="00B05FBD">
        <w:rPr>
          <w:rFonts w:cs="Open Sans SemiCondensed"/>
        </w:rPr>
        <w:t>Betrieb, Berufsfachschule und Zentrum überbetrieblicher Kurs</w:t>
      </w:r>
    </w:p>
    <w:p w14:paraId="63840BD8" w14:textId="79EF6986" w:rsidR="001114E2" w:rsidRPr="009A73FC" w:rsidRDefault="006E311E" w:rsidP="006C2B84">
      <w:pPr>
        <w:pStyle w:val="Author"/>
        <w:rPr>
          <w:rFonts w:cs="Open Sans SemiCondensed"/>
          <w:lang w:val="de-CH"/>
        </w:rPr>
      </w:pPr>
      <w:r>
        <w:rPr>
          <w:rFonts w:cs="Open Sans SemiCondensed"/>
          <w:lang w:val="de-CH"/>
        </w:rPr>
        <w:t xml:space="preserve">René </w:t>
      </w:r>
      <w:proofErr w:type="spellStart"/>
      <w:r>
        <w:rPr>
          <w:rFonts w:cs="Open Sans SemiCondensed"/>
          <w:lang w:val="de-CH"/>
        </w:rPr>
        <w:t>Wüthrich</w:t>
      </w:r>
      <w:proofErr w:type="spellEnd"/>
      <w:r>
        <w:rPr>
          <w:rFonts w:cs="Open Sans SemiCondensed"/>
          <w:lang w:val="de-CH"/>
        </w:rPr>
        <w:t xml:space="preserve">, Katja </w:t>
      </w:r>
      <w:proofErr w:type="spellStart"/>
      <w:r>
        <w:rPr>
          <w:rFonts w:cs="Open Sans SemiCondensed"/>
          <w:lang w:val="de-CH"/>
        </w:rPr>
        <w:t>Margelisch</w:t>
      </w:r>
      <w:proofErr w:type="spellEnd"/>
      <w:r>
        <w:rPr>
          <w:rFonts w:cs="Open Sans SemiCondensed"/>
          <w:lang w:val="de-CH"/>
        </w:rPr>
        <w:t xml:space="preserve"> und Anne </w:t>
      </w:r>
      <w:proofErr w:type="spellStart"/>
      <w:r>
        <w:rPr>
          <w:rFonts w:cs="Open Sans SemiCondensed"/>
          <w:lang w:val="de-CH"/>
        </w:rPr>
        <w:t>Trojanek</w:t>
      </w:r>
      <w:proofErr w:type="spellEnd"/>
    </w:p>
    <w:p w14:paraId="3E5CEF2B" w14:textId="71ADE070" w:rsidR="0072476B"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72476B" w:rsidRPr="0072476B">
        <w:rPr>
          <w:rFonts w:cs="Open Sans SemiCondensed"/>
        </w:rPr>
        <w:t>Der Nachteilsausgleich soll Menschen mit Behinderung</w:t>
      </w:r>
      <w:r w:rsidR="00D62010">
        <w:rPr>
          <w:rFonts w:cs="Open Sans SemiCondensed"/>
        </w:rPr>
        <w:t>en</w:t>
      </w:r>
      <w:r w:rsidR="0072476B" w:rsidRPr="0072476B">
        <w:rPr>
          <w:rFonts w:cs="Open Sans SemiCondensed"/>
        </w:rPr>
        <w:t xml:space="preserve"> eine chancengerechte Ausbildung ermöglichen. In </w:t>
      </w:r>
      <w:r w:rsidR="00084578">
        <w:rPr>
          <w:rFonts w:cs="Open Sans SemiCondensed"/>
        </w:rPr>
        <w:t>einer</w:t>
      </w:r>
      <w:r w:rsidR="0072476B" w:rsidRPr="0072476B">
        <w:rPr>
          <w:rFonts w:cs="Open Sans SemiCondensed"/>
        </w:rPr>
        <w:t xml:space="preserve"> Studie </w:t>
      </w:r>
      <w:r w:rsidR="00122DDD">
        <w:rPr>
          <w:rFonts w:cs="Open Sans SemiCondensed"/>
        </w:rPr>
        <w:t xml:space="preserve">der </w:t>
      </w:r>
      <w:r w:rsidR="00122DDD" w:rsidRPr="00122DDD">
        <w:rPr>
          <w:rFonts w:cs="Open Sans SemiCondensed"/>
        </w:rPr>
        <w:t>Eidgenössische</w:t>
      </w:r>
      <w:r w:rsidR="00122DDD">
        <w:rPr>
          <w:rFonts w:cs="Open Sans SemiCondensed"/>
        </w:rPr>
        <w:t>n</w:t>
      </w:r>
      <w:r w:rsidR="00122DDD" w:rsidRPr="00122DDD">
        <w:rPr>
          <w:rFonts w:cs="Open Sans SemiCondensed"/>
        </w:rPr>
        <w:t xml:space="preserve"> Hochschule für Berufsbildung </w:t>
      </w:r>
      <w:r w:rsidR="0072476B" w:rsidRPr="0072476B">
        <w:rPr>
          <w:rFonts w:cs="Open Sans SemiCondensed"/>
        </w:rPr>
        <w:t xml:space="preserve">wurde untersucht, wie die Umsetzung des Nachteilsausgleichs in der Praxis gelingen kann und mit welchen Herausforderungen die Lernorte </w:t>
      </w:r>
      <w:bookmarkStart w:id="0" w:name="_Hlk199755460"/>
      <w:r w:rsidR="00574EEE" w:rsidRPr="00574EEE">
        <w:rPr>
          <w:rFonts w:cs="Open Sans SemiCondensed"/>
        </w:rPr>
        <w:t>Betrieb, Berufsfachschule</w:t>
      </w:r>
      <w:r w:rsidR="00574EEE">
        <w:rPr>
          <w:rFonts w:cs="Open Sans SemiCondensed"/>
        </w:rPr>
        <w:t xml:space="preserve"> und </w:t>
      </w:r>
      <w:r w:rsidR="00574EEE" w:rsidRPr="00574EEE">
        <w:rPr>
          <w:rFonts w:cs="Open Sans SemiCondensed"/>
        </w:rPr>
        <w:t xml:space="preserve">Zentrum </w:t>
      </w:r>
      <w:r w:rsidR="00574EEE">
        <w:rPr>
          <w:rFonts w:cs="Open Sans SemiCondensed"/>
        </w:rPr>
        <w:t>über</w:t>
      </w:r>
      <w:r w:rsidR="00687CB8">
        <w:rPr>
          <w:rFonts w:cs="Open Sans SemiCondensed"/>
        </w:rPr>
        <w:t>betrieblicher</w:t>
      </w:r>
      <w:r w:rsidR="00574EEE">
        <w:rPr>
          <w:rFonts w:cs="Open Sans SemiCondensed"/>
        </w:rPr>
        <w:t xml:space="preserve"> Kurs</w:t>
      </w:r>
      <w:bookmarkEnd w:id="0"/>
      <w:r w:rsidR="00264051">
        <w:rPr>
          <w:rFonts w:cs="Open Sans SemiCondensed"/>
        </w:rPr>
        <w:t> </w:t>
      </w:r>
      <w:r w:rsidR="00574EEE">
        <w:rPr>
          <w:rFonts w:cs="Open Sans SemiCondensed"/>
        </w:rPr>
        <w:t>(</w:t>
      </w:r>
      <w:proofErr w:type="spellStart"/>
      <w:r w:rsidR="00574EEE">
        <w:rPr>
          <w:rFonts w:cs="Open Sans SemiCondensed"/>
        </w:rPr>
        <w:t>üK</w:t>
      </w:r>
      <w:proofErr w:type="spellEnd"/>
      <w:r w:rsidR="00574EEE">
        <w:rPr>
          <w:rFonts w:cs="Open Sans SemiCondensed"/>
        </w:rPr>
        <w:t xml:space="preserve">) </w:t>
      </w:r>
      <w:r w:rsidR="0072476B" w:rsidRPr="0072476B">
        <w:rPr>
          <w:rFonts w:cs="Open Sans SemiCondensed"/>
        </w:rPr>
        <w:t xml:space="preserve">konfrontiert sind. Dazu wurden Interviews </w:t>
      </w:r>
      <w:r w:rsidR="002D4B7C">
        <w:rPr>
          <w:rFonts w:cs="Open Sans SemiCondensed"/>
        </w:rPr>
        <w:t xml:space="preserve">geführt </w:t>
      </w:r>
      <w:r w:rsidR="00400C1E" w:rsidRPr="0072476B">
        <w:rPr>
          <w:rFonts w:cs="Open Sans SemiCondensed"/>
        </w:rPr>
        <w:t xml:space="preserve">sowie eine Online-Befragung </w:t>
      </w:r>
      <w:r w:rsidR="004005F6">
        <w:rPr>
          <w:rFonts w:cs="Open Sans SemiCondensed"/>
        </w:rPr>
        <w:t>von</w:t>
      </w:r>
      <w:r w:rsidR="0072476B" w:rsidRPr="0072476B">
        <w:rPr>
          <w:rFonts w:cs="Open Sans SemiCondensed"/>
        </w:rPr>
        <w:t xml:space="preserve"> Berufsbildungsverantwortlichen aller Lernorte und des kantonalen Berufsbildungsamts </w:t>
      </w:r>
      <w:r w:rsidR="001804B3">
        <w:rPr>
          <w:rFonts w:cs="Open Sans SemiCondensed"/>
        </w:rPr>
        <w:t>umgesetzt</w:t>
      </w:r>
      <w:r w:rsidR="0072476B" w:rsidRPr="0072476B">
        <w:rPr>
          <w:rFonts w:cs="Open Sans SemiCondensed"/>
        </w:rPr>
        <w:t xml:space="preserve">. Eine zentrale Erkenntnis ist, die </w:t>
      </w:r>
      <w:r w:rsidR="00BD6811">
        <w:rPr>
          <w:rFonts w:cs="Open Sans SemiCondensed"/>
        </w:rPr>
        <w:t>K</w:t>
      </w:r>
      <w:r w:rsidR="0072476B" w:rsidRPr="0072476B">
        <w:rPr>
          <w:rFonts w:cs="Open Sans SemiCondensed"/>
        </w:rPr>
        <w:t xml:space="preserve">ooperation </w:t>
      </w:r>
      <w:r w:rsidR="00BD6811">
        <w:rPr>
          <w:rFonts w:cs="Open Sans SemiCondensed"/>
        </w:rPr>
        <w:t xml:space="preserve">zwischen den Lernorten </w:t>
      </w:r>
      <w:r w:rsidR="0072476B" w:rsidRPr="0072476B">
        <w:rPr>
          <w:rFonts w:cs="Open Sans SemiCondensed"/>
        </w:rPr>
        <w:t>weiter zu denken und das kantonale Berufsbildungsamt als wichtige Schnittstelle einzubeziehen.</w:t>
      </w:r>
    </w:p>
    <w:p w14:paraId="5BC739A1" w14:textId="4ED3106E" w:rsidR="001114E2" w:rsidRPr="00BF1BDA" w:rsidRDefault="0072476B" w:rsidP="000352CE">
      <w:pPr>
        <w:pStyle w:val="Abstract"/>
        <w:rPr>
          <w:rFonts w:cs="Open Sans SemiCondensed"/>
          <w:lang w:val="fr-CH"/>
        </w:rPr>
      </w:pPr>
      <w:r w:rsidRPr="00BF1BDA">
        <w:rPr>
          <w:rFonts w:cs="Open Sans SemiCondensed"/>
          <w:lang w:val="fr-CH"/>
        </w:rPr>
        <w:t>Résumé</w:t>
      </w:r>
      <w:r w:rsidRPr="00BF1BDA">
        <w:rPr>
          <w:rFonts w:cs="Open Sans SemiCondensed"/>
          <w:lang w:val="fr-CH"/>
        </w:rPr>
        <w:br/>
      </w:r>
      <w:r w:rsidR="00266B19" w:rsidRPr="00266B19">
        <w:rPr>
          <w:rFonts w:cs="Open Sans SemiCondensed"/>
          <w:lang w:val="fr-CH"/>
        </w:rPr>
        <w:t>La compensation des désavantages doit permettre aux personnes en situation de handicap de bénéficier d’une formation respectant le principe d’égalité des chances. Une étude de la Haute école fédérale en formation professionnelle (HEFP) a examiné comment la mise en œuvre de la compensation des désavantages peut réussir dans la pratique et à quels défis les lieux de formation, que sont les entreprises, les écoles professionnelles et les centres de cours interentreprises (CIE), sont confrontés. Pour ce faire, des entretiens ont été menés et une enquête en ligne a été réalisée auprès de responsables de la formation professionnelle de tous les lieux de formation et d’offices cantonaux de la formation professionnelle. L’une des principales conclusions est que la coopération entre les lieux de formation doit être repensée et que les offices cantonaux de la formation professionnelle doivent être impliqués en tant qu’interface importante.</w:t>
      </w:r>
    </w:p>
    <w:p w14:paraId="04FABF5E" w14:textId="6903A338" w:rsidR="00EA4676" w:rsidRPr="00BF1BDA" w:rsidRDefault="00EA4676" w:rsidP="007B4390">
      <w:pPr>
        <w:pStyle w:val="Textkrper3"/>
        <w:rPr>
          <w:lang w:val="fr-CH"/>
        </w:rPr>
      </w:pPr>
      <w:r w:rsidRPr="00A04824">
        <w:rPr>
          <w:rStyle w:val="Fett"/>
          <w:rFonts w:cs="Open Sans SemiCondensed"/>
          <w:lang w:val="fr-CH"/>
        </w:rPr>
        <w:t>Keywords</w:t>
      </w:r>
      <w:r w:rsidRPr="00A04824">
        <w:rPr>
          <w:lang w:val="fr-CH"/>
        </w:rPr>
        <w:t xml:space="preserve">: </w:t>
      </w:r>
      <w:r w:rsidR="002E3258" w:rsidRPr="001E54B7">
        <w:rPr>
          <w:lang w:val="fr-CH"/>
        </w:rPr>
        <w:t xml:space="preserve">Behindertenrechte, </w:t>
      </w:r>
      <w:proofErr w:type="spellStart"/>
      <w:r w:rsidR="002E3258" w:rsidRPr="001E54B7">
        <w:rPr>
          <w:lang w:val="fr-CH"/>
        </w:rPr>
        <w:t>Berufsbildung</w:t>
      </w:r>
      <w:proofErr w:type="spellEnd"/>
      <w:r w:rsidR="002E3258" w:rsidRPr="001E54B7">
        <w:rPr>
          <w:lang w:val="fr-CH"/>
        </w:rPr>
        <w:t xml:space="preserve">, </w:t>
      </w:r>
      <w:proofErr w:type="spellStart"/>
      <w:r w:rsidR="002E3258" w:rsidRPr="001E54B7">
        <w:rPr>
          <w:lang w:val="fr-CH"/>
        </w:rPr>
        <w:t>Chancengleichheit</w:t>
      </w:r>
      <w:proofErr w:type="spellEnd"/>
      <w:r w:rsidR="002E3258" w:rsidRPr="001E54B7">
        <w:rPr>
          <w:lang w:val="fr-CH"/>
        </w:rPr>
        <w:t xml:space="preserve">, </w:t>
      </w:r>
      <w:proofErr w:type="spellStart"/>
      <w:r w:rsidR="002E3258" w:rsidRPr="001E54B7">
        <w:rPr>
          <w:lang w:val="fr-CH"/>
        </w:rPr>
        <w:t>Eidgenössische</w:t>
      </w:r>
      <w:proofErr w:type="spellEnd"/>
      <w:r w:rsidR="002E3258" w:rsidRPr="001E54B7">
        <w:rPr>
          <w:lang w:val="fr-CH"/>
        </w:rPr>
        <w:t xml:space="preserve"> </w:t>
      </w:r>
      <w:proofErr w:type="spellStart"/>
      <w:r w:rsidR="002E3258" w:rsidRPr="001E54B7">
        <w:rPr>
          <w:lang w:val="fr-CH"/>
        </w:rPr>
        <w:t>Hochschule</w:t>
      </w:r>
      <w:proofErr w:type="spellEnd"/>
      <w:r w:rsidR="002E3258" w:rsidRPr="001E54B7">
        <w:rPr>
          <w:lang w:val="fr-CH"/>
        </w:rPr>
        <w:t xml:space="preserve"> </w:t>
      </w:r>
      <w:proofErr w:type="spellStart"/>
      <w:r w:rsidR="002E3258" w:rsidRPr="001E54B7">
        <w:rPr>
          <w:lang w:val="fr-CH"/>
        </w:rPr>
        <w:t>für</w:t>
      </w:r>
      <w:proofErr w:type="spellEnd"/>
      <w:r w:rsidR="002E3258" w:rsidRPr="001E54B7">
        <w:rPr>
          <w:lang w:val="fr-CH"/>
        </w:rPr>
        <w:t xml:space="preserve"> </w:t>
      </w:r>
      <w:proofErr w:type="spellStart"/>
      <w:r w:rsidR="002E3258" w:rsidRPr="001E54B7">
        <w:rPr>
          <w:lang w:val="fr-CH"/>
        </w:rPr>
        <w:t>Berufsbildung</w:t>
      </w:r>
      <w:proofErr w:type="spellEnd"/>
      <w:r w:rsidR="002E3258" w:rsidRPr="001E54B7">
        <w:rPr>
          <w:lang w:val="fr-CH"/>
        </w:rPr>
        <w:t xml:space="preserve">, </w:t>
      </w:r>
      <w:proofErr w:type="spellStart"/>
      <w:r w:rsidR="002E3258" w:rsidRPr="001E54B7">
        <w:rPr>
          <w:lang w:val="fr-CH"/>
        </w:rPr>
        <w:t>Nachteilsausgleich</w:t>
      </w:r>
      <w:proofErr w:type="spellEnd"/>
      <w:r w:rsidR="002E3258" w:rsidRPr="009A0F83">
        <w:rPr>
          <w:lang w:val="fr-CH"/>
        </w:rPr>
        <w:t> </w:t>
      </w:r>
      <w:r w:rsidR="002E3258" w:rsidRPr="00A04824">
        <w:rPr>
          <w:lang w:val="fr-CH"/>
        </w:rPr>
        <w:t>/</w:t>
      </w:r>
      <w:r w:rsidR="002E3258" w:rsidRPr="00BF1BDA">
        <w:rPr>
          <w:lang w:val="fr-CH"/>
        </w:rPr>
        <w:t> </w:t>
      </w:r>
      <w:r w:rsidR="00E43288" w:rsidRPr="002E3258">
        <w:rPr>
          <w:lang w:val="fr-CH"/>
        </w:rPr>
        <w:t>droits des personnes en situation de handicap</w:t>
      </w:r>
      <w:r w:rsidR="00E43288">
        <w:rPr>
          <w:lang w:val="fr-CH"/>
        </w:rPr>
        <w:t xml:space="preserve">, </w:t>
      </w:r>
      <w:r w:rsidR="00E43288" w:rsidRPr="002E3258">
        <w:rPr>
          <w:lang w:val="fr-CH"/>
        </w:rPr>
        <w:t>formation professionnelle</w:t>
      </w:r>
      <w:r w:rsidR="00E43288">
        <w:rPr>
          <w:lang w:val="fr-CH"/>
        </w:rPr>
        <w:t>,</w:t>
      </w:r>
      <w:r w:rsidR="00E43288" w:rsidRPr="002E3258">
        <w:rPr>
          <w:lang w:val="fr-CH"/>
        </w:rPr>
        <w:t xml:space="preserve"> </w:t>
      </w:r>
      <w:r w:rsidR="000B0855" w:rsidRPr="002E3258">
        <w:rPr>
          <w:lang w:val="fr-CH"/>
        </w:rPr>
        <w:t xml:space="preserve">égalité des chances, </w:t>
      </w:r>
      <w:r w:rsidR="002E3258" w:rsidRPr="002E3258">
        <w:rPr>
          <w:lang w:val="fr-CH"/>
        </w:rPr>
        <w:t>Haute école fédérale en formation professionnelle</w:t>
      </w:r>
      <w:r w:rsidR="000B0855">
        <w:rPr>
          <w:lang w:val="fr-CH"/>
        </w:rPr>
        <w:t xml:space="preserve">, </w:t>
      </w:r>
      <w:r w:rsidR="000B0855" w:rsidRPr="002E3258">
        <w:rPr>
          <w:lang w:val="fr-CH"/>
        </w:rPr>
        <w:t>compensation des désavantages</w:t>
      </w:r>
    </w:p>
    <w:p w14:paraId="228C1F84" w14:textId="02AA3570" w:rsidR="001D3BFB" w:rsidRDefault="00EA4676" w:rsidP="007B4390">
      <w:pPr>
        <w:pStyle w:val="Textkrper3"/>
        <w:rPr>
          <w:lang w:val="fr-CH"/>
        </w:rPr>
      </w:pPr>
      <w:r w:rsidRPr="00FC71C2">
        <w:rPr>
          <w:rStyle w:val="Fett"/>
          <w:rFonts w:cs="Open Sans SemiCondensed"/>
          <w:lang w:val="fr-CH"/>
        </w:rPr>
        <w:t>DOI</w:t>
      </w:r>
      <w:r w:rsidRPr="00FC71C2">
        <w:rPr>
          <w:rFonts w:cs="Open Sans SemiCondensed"/>
          <w:lang w:val="fr-CH"/>
        </w:rPr>
        <w:t xml:space="preserve">: </w:t>
      </w:r>
      <w:hyperlink r:id="rId11" w:history="1">
        <w:r w:rsidR="00A04824" w:rsidRPr="009A4568">
          <w:rPr>
            <w:rStyle w:val="Hyperlink"/>
            <w:rFonts w:cs="Open Sans SemiCondensed"/>
            <w:lang w:val="fr-CH"/>
          </w:rPr>
          <w:t>https://doi.org/10.57161/z2025-09-</w:t>
        </w:r>
        <w:r w:rsidR="00A04824" w:rsidRPr="009A4568">
          <w:rPr>
            <w:rStyle w:val="Hyperlink"/>
            <w:lang w:val="fr-CH"/>
          </w:rPr>
          <w:t>05</w:t>
        </w:r>
      </w:hyperlink>
    </w:p>
    <w:p w14:paraId="74A1BE6D" w14:textId="16EC3F52" w:rsidR="001161D6" w:rsidRPr="0013195A" w:rsidRDefault="001161D6" w:rsidP="007B4390">
      <w:pPr>
        <w:pStyle w:val="Textkrper3"/>
      </w:pPr>
      <w:r w:rsidRPr="0013195A">
        <w:t xml:space="preserve">Schweizerische Zeitschrift für Heilpädagogik, Jg. </w:t>
      </w:r>
      <w:r w:rsidR="001F3BD1">
        <w:t>31</w:t>
      </w:r>
      <w:r w:rsidRPr="0013195A">
        <w:t xml:space="preserve">, </w:t>
      </w:r>
      <w:r w:rsidR="001F3BD1">
        <w:t>09</w:t>
      </w:r>
      <w:r w:rsidRPr="0013195A">
        <w:t>/</w:t>
      </w:r>
      <w:r w:rsidR="001F3BD1">
        <w:t>2025</w:t>
      </w:r>
    </w:p>
    <w:p w14:paraId="7C1353A1" w14:textId="77777777" w:rsidR="000E6A66" w:rsidRPr="00153133" w:rsidRDefault="000E6A66" w:rsidP="007B4390">
      <w:pPr>
        <w:pStyle w:val="Textkrper3"/>
        <w:rPr>
          <w:lang w:val="fr-CH"/>
        </w:rPr>
      </w:pPr>
      <w:r w:rsidRPr="00153133">
        <w:rPr>
          <w:noProof/>
        </w:rPr>
        <w:drawing>
          <wp:inline distT="0" distB="0" distL="0" distR="0" wp14:anchorId="5F23FC90" wp14:editId="029CF8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2003FEF" w14:textId="77777777" w:rsidR="00980B9F" w:rsidRPr="0072476B" w:rsidRDefault="00980B9F" w:rsidP="0072476B">
      <w:pPr>
        <w:pStyle w:val="berschrift1"/>
      </w:pPr>
      <w:bookmarkStart w:id="1" w:name="_Hlk197610510"/>
      <w:bookmarkStart w:id="2" w:name="heading-1"/>
      <w:r w:rsidRPr="0072476B">
        <w:t>Ausgangslage und Problemstellung</w:t>
      </w:r>
      <w:bookmarkEnd w:id="1"/>
    </w:p>
    <w:p w14:paraId="0FB9A12C" w14:textId="1F46345B" w:rsidR="00980B9F" w:rsidRPr="0072476B" w:rsidRDefault="0026044C" w:rsidP="0072476B">
      <w:pPr>
        <w:pStyle w:val="Textkrper"/>
        <w:ind w:firstLine="0"/>
      </w:pPr>
      <w:r>
        <w:t>Die</w:t>
      </w:r>
      <w:r w:rsidR="00980B9F" w:rsidRPr="0072476B">
        <w:t xml:space="preserve"> </w:t>
      </w:r>
      <w:r w:rsidR="00900C84">
        <w:t>«</w:t>
      </w:r>
      <w:r w:rsidR="00980B9F" w:rsidRPr="0072476B">
        <w:t>Agenda 2030 für nachhaltige Entwicklung</w:t>
      </w:r>
      <w:r w:rsidR="00900C84">
        <w:t>»</w:t>
      </w:r>
      <w:r w:rsidR="00980B9F" w:rsidRPr="0072476B">
        <w:t xml:space="preserve"> (EDA</w:t>
      </w:r>
      <w:r w:rsidR="0018072F">
        <w:t> /</w:t>
      </w:r>
      <w:r w:rsidR="006A0652">
        <w:t> </w:t>
      </w:r>
      <w:r w:rsidR="0018072F">
        <w:t>UVEK</w:t>
      </w:r>
      <w:r w:rsidR="00980B9F" w:rsidRPr="0072476B">
        <w:t xml:space="preserve">, 2020) betont, dass allen Menschen der Zugang zu einer hochwertigen Berufsbildung ermöglicht werden soll. </w:t>
      </w:r>
      <w:r w:rsidR="0093252C">
        <w:t>I</w:t>
      </w:r>
      <w:r w:rsidR="0093252C" w:rsidRPr="0072476B">
        <w:t>n der aktuellen Berufsbildungsverordnung</w:t>
      </w:r>
      <w:r w:rsidR="00536343">
        <w:t xml:space="preserve"> (2003)</w:t>
      </w:r>
      <w:r w:rsidR="0093252C" w:rsidRPr="0072476B">
        <w:t xml:space="preserve"> </w:t>
      </w:r>
      <w:r w:rsidR="0093252C">
        <w:t xml:space="preserve">sind </w:t>
      </w:r>
      <w:r w:rsidR="0093252C" w:rsidRPr="0072476B">
        <w:t>verschiedene Unterstützungsmassnahmen verankert</w:t>
      </w:r>
      <w:r w:rsidR="0093252C">
        <w:t xml:space="preserve">, um </w:t>
      </w:r>
      <w:r w:rsidR="0093252C" w:rsidRPr="0072476B">
        <w:t xml:space="preserve">eine inklusive Berufsbildung </w:t>
      </w:r>
      <w:r w:rsidR="0093252C">
        <w:t>zu fördern</w:t>
      </w:r>
      <w:r w:rsidR="0093252C" w:rsidRPr="0072476B">
        <w:t xml:space="preserve">. </w:t>
      </w:r>
      <w:r w:rsidR="00980B9F" w:rsidRPr="0072476B">
        <w:t>Eine zentrale Massnahme, um Lernenden mit Behinderung</w:t>
      </w:r>
      <w:r w:rsidR="00493F3F">
        <w:t>en</w:t>
      </w:r>
      <w:r w:rsidR="00980B9F" w:rsidRPr="0072476B">
        <w:t xml:space="preserve"> den Zugang zur beruflichen Grundbildung und damit Teilhabe und Chancengerechtigkeit zu ermöglichen, ist der Nachteilsausgleich. Lernende mit Behinderung</w:t>
      </w:r>
      <w:r w:rsidR="00701C63">
        <w:t>en</w:t>
      </w:r>
      <w:r w:rsidR="00980B9F" w:rsidRPr="0072476B">
        <w:t xml:space="preserve"> erhalten einen N</w:t>
      </w:r>
      <w:r w:rsidR="005E6751">
        <w:t>achteilsausgleich</w:t>
      </w:r>
      <w:r w:rsidR="00980B9F" w:rsidRPr="0072476B">
        <w:t>, wenn sie am Arbeitsplatz, in der Berufsfachschule, in den überbetrieblichen Kursen</w:t>
      </w:r>
      <w:r w:rsidR="00701C63">
        <w:t xml:space="preserve"> </w:t>
      </w:r>
      <w:r w:rsidR="005C7E51" w:rsidRPr="0072476B">
        <w:t>sowie</w:t>
      </w:r>
      <w:r w:rsidR="00980B9F" w:rsidRPr="0072476B">
        <w:t xml:space="preserve"> im Rahmen des Qualifikationsverfahrens auf behinderungsbedingte Anpassungen angewiesen sind (SDBB, 2013). Der kürzlich erschienene </w:t>
      </w:r>
      <w:r w:rsidR="001A2F72" w:rsidRPr="001A2F72">
        <w:t>«</w:t>
      </w:r>
      <w:hyperlink r:id="rId14" w:history="1">
        <w:r w:rsidR="00980B9F" w:rsidRPr="00EE163B">
          <w:rPr>
            <w:rStyle w:val="Hyperlink"/>
          </w:rPr>
          <w:t>Zwischenbericht zur Umsetzung der Strategie Nachhaltige Entwicklung 2030</w:t>
        </w:r>
      </w:hyperlink>
      <w:r w:rsidR="001A2F72" w:rsidRPr="001A2F72">
        <w:t>»</w:t>
      </w:r>
      <w:r w:rsidR="00980B9F" w:rsidRPr="0072476B">
        <w:t xml:space="preserve"> zeigt, dass</w:t>
      </w:r>
      <w:r w:rsidR="00AE2584" w:rsidRPr="00AE2584">
        <w:t xml:space="preserve"> die Quote der Erstabschlüsse auf Sekundarstufe II zunimmt </w:t>
      </w:r>
      <w:r w:rsidR="00505811" w:rsidRPr="0072476B">
        <w:t>(</w:t>
      </w:r>
      <w:r w:rsidR="00505811">
        <w:t>Bundesrat</w:t>
      </w:r>
      <w:r w:rsidR="00505811" w:rsidRPr="0072476B">
        <w:t>, 2024)</w:t>
      </w:r>
      <w:r w:rsidR="00980B9F" w:rsidRPr="0072476B">
        <w:t xml:space="preserve">. Die Erwerbsbeteiligung von Menschen mit Behinderungen </w:t>
      </w:r>
      <w:r w:rsidR="00EA06A7">
        <w:t xml:space="preserve">jedoch </w:t>
      </w:r>
      <w:r w:rsidR="00980B9F" w:rsidRPr="0072476B">
        <w:t>verharrt mit 42</w:t>
      </w:r>
      <w:r w:rsidR="005D014E">
        <w:t>,</w:t>
      </w:r>
      <w:r w:rsidR="00980B9F" w:rsidRPr="0072476B">
        <w:t>2</w:t>
      </w:r>
      <w:r w:rsidR="005D014E">
        <w:t> Prozent</w:t>
      </w:r>
      <w:r w:rsidR="00980B9F" w:rsidRPr="0072476B">
        <w:t xml:space="preserve"> auf dem Niveau von 2014</w:t>
      </w:r>
      <w:r w:rsidR="00595F6B">
        <w:t xml:space="preserve"> (BFS, 2022)</w:t>
      </w:r>
      <w:r w:rsidR="00980B9F" w:rsidRPr="0072476B">
        <w:t xml:space="preserve">. Dies lässt vermuten, dass die Umsetzung </w:t>
      </w:r>
      <w:r w:rsidR="004436A8">
        <w:t>des Nachteilsausgleich</w:t>
      </w:r>
      <w:r w:rsidR="00CE72AE">
        <w:t>s</w:t>
      </w:r>
      <w:r w:rsidR="00980B9F" w:rsidRPr="0072476B">
        <w:t xml:space="preserve"> an den drei Lernorten eine Herausforderung</w:t>
      </w:r>
      <w:r w:rsidR="003D742E">
        <w:t xml:space="preserve"> ist</w:t>
      </w:r>
      <w:r w:rsidR="00980B9F" w:rsidRPr="0072476B">
        <w:t xml:space="preserve">. Die </w:t>
      </w:r>
      <w:r w:rsidR="00980B9F" w:rsidRPr="00A20F9B">
        <w:rPr>
          <w:i/>
          <w:iCs/>
        </w:rPr>
        <w:t>Schweizerische Berufsbildungsämter-Konferenz</w:t>
      </w:r>
      <w:r w:rsidR="00980B9F" w:rsidRPr="0072476B">
        <w:t xml:space="preserve"> empfiehlt eine förderorientierte Zusammenarbeit aller Beteiligten (SBBK, 2023)</w:t>
      </w:r>
      <w:r w:rsidR="004436A8">
        <w:t>, damit der Nachteilsausgleich gelingen kann</w:t>
      </w:r>
      <w:r w:rsidR="00980B9F" w:rsidRPr="0072476B">
        <w:t xml:space="preserve">. In </w:t>
      </w:r>
      <w:r w:rsidR="00980B9F" w:rsidRPr="0072476B">
        <w:lastRenderedPageBreak/>
        <w:t xml:space="preserve">diesem Zusammenhang ist auch die Rolle der kantonalen Berufsbildungsämter von Interesse, da diese </w:t>
      </w:r>
      <w:r w:rsidR="00D8006B">
        <w:t>einen</w:t>
      </w:r>
      <w:r w:rsidR="00054395">
        <w:t xml:space="preserve"> Nachteilsausgleich </w:t>
      </w:r>
      <w:r w:rsidR="00980B9F" w:rsidRPr="0072476B">
        <w:t xml:space="preserve">bewilligen und koordinieren. </w:t>
      </w:r>
      <w:r w:rsidR="00F17539">
        <w:t>Es</w:t>
      </w:r>
      <w:r w:rsidR="00980B9F" w:rsidRPr="0072476B">
        <w:t xml:space="preserve"> stellt sich</w:t>
      </w:r>
      <w:r w:rsidR="00F17539">
        <w:t xml:space="preserve"> nun</w:t>
      </w:r>
      <w:r w:rsidR="00980B9F" w:rsidRPr="0072476B">
        <w:t xml:space="preserve"> die Frage, wie sich diese </w:t>
      </w:r>
      <w:r w:rsidR="005927D6">
        <w:t xml:space="preserve">Zusammenarbeit </w:t>
      </w:r>
      <w:r w:rsidR="00980B9F" w:rsidRPr="0072476B">
        <w:t>gestaltet</w:t>
      </w:r>
      <w:r w:rsidR="003C060A">
        <w:t>:</w:t>
      </w:r>
      <w:r w:rsidR="00947CEA">
        <w:t xml:space="preserve"> W</w:t>
      </w:r>
      <w:r w:rsidR="00980B9F" w:rsidRPr="0072476B">
        <w:t xml:space="preserve">elche Gelingensbedingungen und Herausforderungen </w:t>
      </w:r>
      <w:r w:rsidR="00947CEA">
        <w:t xml:space="preserve">ergeben </w:t>
      </w:r>
      <w:r w:rsidR="00980B9F" w:rsidRPr="0072476B">
        <w:t xml:space="preserve">sich an den drei Lernorten und </w:t>
      </w:r>
      <w:r w:rsidR="00947CEA">
        <w:t>beim</w:t>
      </w:r>
      <w:r w:rsidR="00980B9F" w:rsidRPr="0072476B">
        <w:t xml:space="preserve"> Zusammenspiel mit den </w:t>
      </w:r>
      <w:r w:rsidR="00054395" w:rsidRPr="00054395">
        <w:t>kantonalen Berufsbildungsämter</w:t>
      </w:r>
      <w:r w:rsidR="00054395">
        <w:t>n</w:t>
      </w:r>
      <w:r w:rsidR="00947CEA">
        <w:t>?</w:t>
      </w:r>
      <w:r w:rsidR="00693671">
        <w:t xml:space="preserve"> </w:t>
      </w:r>
      <w:r w:rsidR="00693671" w:rsidRPr="00693671">
        <w:t>Auf Grundlage dieser Frage führte die</w:t>
      </w:r>
      <w:r w:rsidR="00693671" w:rsidRPr="00A20F9B">
        <w:rPr>
          <w:i/>
          <w:iCs/>
        </w:rPr>
        <w:t xml:space="preserve"> Eidgenössische Hochschule für Berufsbildung</w:t>
      </w:r>
      <w:r w:rsidR="00693671" w:rsidRPr="00693671">
        <w:t xml:space="preserve"> (EHB) eine Untersuchung</w:t>
      </w:r>
      <w:r w:rsidR="000E7AC5">
        <w:rPr>
          <w:rStyle w:val="Funotenzeichen"/>
        </w:rPr>
        <w:footnoteReference w:id="2"/>
      </w:r>
      <w:r w:rsidR="00693671">
        <w:t xml:space="preserve"> durch.</w:t>
      </w:r>
      <w:r w:rsidR="00883897">
        <w:t xml:space="preserve"> </w:t>
      </w:r>
      <w:r w:rsidR="00980B9F" w:rsidRPr="0072476B">
        <w:t xml:space="preserve">Ziel der Studie </w:t>
      </w:r>
      <w:r w:rsidR="00883897">
        <w:t>war</w:t>
      </w:r>
      <w:r w:rsidR="00980B9F" w:rsidRPr="0072476B">
        <w:t xml:space="preserve"> es, Umsetzungsbeispiele zu untersuchen und Gelingensbedingungen sowie Herausforderungen beim N</w:t>
      </w:r>
      <w:r w:rsidR="00883897">
        <w:t>achteilsausgleich</w:t>
      </w:r>
      <w:r w:rsidR="00980B9F" w:rsidRPr="0072476B">
        <w:t xml:space="preserve"> an allen drei Lernorten zu identifizieren. Die Ergebnisse </w:t>
      </w:r>
      <w:r w:rsidR="007408A1">
        <w:t>führen</w:t>
      </w:r>
      <w:r w:rsidR="00980B9F" w:rsidRPr="0072476B">
        <w:t xml:space="preserve"> </w:t>
      </w:r>
      <w:r w:rsidR="008D3859">
        <w:t xml:space="preserve">zu </w:t>
      </w:r>
      <w:r w:rsidR="00980B9F" w:rsidRPr="00C0483A">
        <w:rPr>
          <w:i/>
          <w:iCs/>
        </w:rPr>
        <w:t>Best-Practice-</w:t>
      </w:r>
      <w:r w:rsidR="00980B9F" w:rsidRPr="0072476B">
        <w:t xml:space="preserve">Empfehlungen, die </w:t>
      </w:r>
      <w:r w:rsidR="00A33CCF">
        <w:t xml:space="preserve">dazu </w:t>
      </w:r>
      <w:r w:rsidR="00A33CCF" w:rsidRPr="0072476B">
        <w:t>beitragen</w:t>
      </w:r>
      <w:r w:rsidR="00A33CCF">
        <w:t xml:space="preserve"> sollen, die </w:t>
      </w:r>
      <w:r w:rsidR="00980B9F" w:rsidRPr="0072476B">
        <w:t>inklusive Berufsbildung</w:t>
      </w:r>
      <w:r w:rsidR="00A33CCF">
        <w:t xml:space="preserve"> weiterzuentwickeln</w:t>
      </w:r>
      <w:r w:rsidR="007B5DEC">
        <w:t xml:space="preserve"> (Wüthrich et al., 2024)</w:t>
      </w:r>
      <w:r w:rsidR="00980B9F" w:rsidRPr="0072476B">
        <w:t>.</w:t>
      </w:r>
    </w:p>
    <w:p w14:paraId="4FF0BEC8" w14:textId="77777777" w:rsidR="00980B9F" w:rsidRPr="0072476B" w:rsidRDefault="00980B9F" w:rsidP="0072476B">
      <w:pPr>
        <w:pStyle w:val="berschrift1"/>
      </w:pPr>
      <w:r w:rsidRPr="0072476B">
        <w:t>Methodisches Vorgehen</w:t>
      </w:r>
    </w:p>
    <w:p w14:paraId="19D17308" w14:textId="3F306E10" w:rsidR="00980B9F" w:rsidRPr="0072476B" w:rsidRDefault="00980B9F" w:rsidP="00A20F9B">
      <w:pPr>
        <w:pStyle w:val="Textkrper"/>
        <w:ind w:firstLine="0"/>
      </w:pPr>
      <w:r w:rsidRPr="0072476B">
        <w:t>Die Untersuchung basiert</w:t>
      </w:r>
      <w:r w:rsidR="00EF3070">
        <w:t>e</w:t>
      </w:r>
      <w:r w:rsidRPr="0072476B">
        <w:t xml:space="preserve"> auf einem zweistufigen Verfahren mit qualitativen und quantitativen Befragungen. In der ersten Erhebungsphase stand ein qualitativer Zugang im Vordergrund. Zunächst wurde eine Literaturanalyse in Deutschschweizer Kantonen durchgeführt</w:t>
      </w:r>
      <w:r w:rsidR="00D95DEB">
        <w:t xml:space="preserve"> (n = 8)</w:t>
      </w:r>
      <w:r w:rsidRPr="0072476B">
        <w:t>, um einen ersten Einblick in die Umsetzung des N</w:t>
      </w:r>
      <w:r w:rsidR="00466F1A">
        <w:t>achteilsausgleichs</w:t>
      </w:r>
      <w:r w:rsidRPr="0072476B">
        <w:t xml:space="preserve"> zu gewinnen. Daraufhin wurden drei Kantone ausgewählt</w:t>
      </w:r>
      <w:r w:rsidR="00576E88">
        <w:t xml:space="preserve">. In jedem dieser drei Kantone wurden </w:t>
      </w:r>
      <w:r w:rsidRPr="0072476B">
        <w:t xml:space="preserve">jeweils </w:t>
      </w:r>
      <w:proofErr w:type="spellStart"/>
      <w:r w:rsidR="00D76C32">
        <w:t>Vertreter:innen</w:t>
      </w:r>
      <w:proofErr w:type="spellEnd"/>
      <w:r w:rsidR="00D76C32">
        <w:t xml:space="preserve"> </w:t>
      </w:r>
      <w:r w:rsidRPr="0072476B">
        <w:t>ein</w:t>
      </w:r>
      <w:r w:rsidR="00D76C32">
        <w:t>es</w:t>
      </w:r>
      <w:r w:rsidRPr="0072476B">
        <w:t xml:space="preserve"> Betrieb</w:t>
      </w:r>
      <w:r w:rsidR="00D76C32">
        <w:t>s</w:t>
      </w:r>
      <w:r w:rsidRPr="0072476B">
        <w:t>, eine</w:t>
      </w:r>
      <w:r w:rsidR="00D76C32">
        <w:t>r</w:t>
      </w:r>
      <w:r w:rsidRPr="0072476B">
        <w:t xml:space="preserve"> Berufsfachschule, ein</w:t>
      </w:r>
      <w:r w:rsidR="00D76C32">
        <w:t>es</w:t>
      </w:r>
      <w:r w:rsidRPr="0072476B">
        <w:t xml:space="preserve"> </w:t>
      </w:r>
      <w:proofErr w:type="spellStart"/>
      <w:r w:rsidRPr="0072476B">
        <w:t>üK</w:t>
      </w:r>
      <w:proofErr w:type="spellEnd"/>
      <w:r w:rsidRPr="0072476B">
        <w:t>-Zentrum</w:t>
      </w:r>
      <w:r w:rsidR="00D76C32">
        <w:t>s</w:t>
      </w:r>
      <w:r w:rsidRPr="0072476B">
        <w:t xml:space="preserve"> und d</w:t>
      </w:r>
      <w:r w:rsidR="00D76C32">
        <w:t>es</w:t>
      </w:r>
      <w:r w:rsidRPr="0072476B">
        <w:t xml:space="preserve"> kantonale</w:t>
      </w:r>
      <w:r w:rsidR="00D76C32">
        <w:t>n Berufsbildungsamts</w:t>
      </w:r>
      <w:r w:rsidRPr="0072476B">
        <w:t xml:space="preserve"> befragt (</w:t>
      </w:r>
      <w:r w:rsidR="00D16E18">
        <w:t>n</w:t>
      </w:r>
      <w:r w:rsidR="00466F1A">
        <w:t> </w:t>
      </w:r>
      <w:r w:rsidRPr="0072476B">
        <w:t>=</w:t>
      </w:r>
      <w:r w:rsidR="00466F1A">
        <w:t> </w:t>
      </w:r>
      <w:r w:rsidRPr="0072476B">
        <w:t>12). Die Stichprobe zielte auf maximale Kontrastierung ab</w:t>
      </w:r>
      <w:r w:rsidR="009643BF">
        <w:t>.</w:t>
      </w:r>
      <w:r w:rsidRPr="0072476B">
        <w:t xml:space="preserve"> Befragt wurden Personen aus grossen, mittleren und kleinen Kantonen sowie aus Betrieben unterschiedlicher Grössenordnungen: </w:t>
      </w:r>
      <w:r w:rsidR="00BA6A62">
        <w:t>g</w:t>
      </w:r>
      <w:r w:rsidRPr="0072476B">
        <w:t>rosse</w:t>
      </w:r>
      <w:r w:rsidR="00BA6A62">
        <w:t xml:space="preserve"> Betriebe</w:t>
      </w:r>
      <w:r w:rsidRPr="0072476B">
        <w:t xml:space="preserve"> (&gt;</w:t>
      </w:r>
      <w:r w:rsidR="008C5481">
        <w:t> </w:t>
      </w:r>
      <w:r w:rsidRPr="0072476B">
        <w:t xml:space="preserve">500 Mitarbeitende), mittlere </w:t>
      </w:r>
      <w:r w:rsidR="00BA6A62">
        <w:t xml:space="preserve">Betriebe </w:t>
      </w:r>
      <w:r w:rsidRPr="0072476B">
        <w:t>(&lt;</w:t>
      </w:r>
      <w:r w:rsidR="008C5481">
        <w:t> </w:t>
      </w:r>
      <w:r w:rsidRPr="0072476B">
        <w:t>50</w:t>
      </w:r>
      <w:r w:rsidR="004972C8">
        <w:t xml:space="preserve"> Mitarbeitende</w:t>
      </w:r>
      <w:r w:rsidRPr="0072476B">
        <w:t>) und Kleinstbetriebe (&lt;</w:t>
      </w:r>
      <w:r w:rsidR="008C5481">
        <w:t> </w:t>
      </w:r>
      <w:r w:rsidRPr="0072476B">
        <w:t>10</w:t>
      </w:r>
      <w:r w:rsidR="004972C8">
        <w:t xml:space="preserve"> Mitarbeitende</w:t>
      </w:r>
      <w:r w:rsidRPr="0072476B">
        <w:t xml:space="preserve">). Die </w:t>
      </w:r>
      <w:proofErr w:type="spellStart"/>
      <w:r w:rsidRPr="0072476B">
        <w:t>üK</w:t>
      </w:r>
      <w:proofErr w:type="spellEnd"/>
      <w:r w:rsidRPr="0072476B">
        <w:t xml:space="preserve">-Zentren deckten </w:t>
      </w:r>
      <w:r w:rsidR="003D4181">
        <w:t xml:space="preserve">drei </w:t>
      </w:r>
      <w:r w:rsidRPr="0072476B">
        <w:t>verschiedene Berufsgruppen ab; gewerbliche, gesundheitlich-soziale und dienstleistungsorientierte Berufe. Ferner wurden Berufsfachschulen verschiedener Grössenordnungen (&gt;</w:t>
      </w:r>
      <w:r w:rsidR="008C5481">
        <w:t> </w:t>
      </w:r>
      <w:r w:rsidRPr="0072476B">
        <w:t>5000, &gt;</w:t>
      </w:r>
      <w:r w:rsidR="008C5481">
        <w:t> </w:t>
      </w:r>
      <w:r w:rsidRPr="0072476B">
        <w:t>3000, &gt;</w:t>
      </w:r>
      <w:r w:rsidR="008C5481">
        <w:t> </w:t>
      </w:r>
      <w:r w:rsidRPr="0072476B">
        <w:t>1500 Lernende) berücksichtigt. Die Interviews wurden mit der qualitativen Inhaltsanalyse</w:t>
      </w:r>
      <w:r w:rsidR="00F52A23">
        <w:t xml:space="preserve"> nach Mayring (2022) </w:t>
      </w:r>
      <w:r w:rsidRPr="0072476B">
        <w:t>ausgewertet</w:t>
      </w:r>
      <w:r w:rsidR="00AC11F5">
        <w:t>.</w:t>
      </w:r>
      <w:r w:rsidRPr="0072476B">
        <w:t xml:space="preserve"> </w:t>
      </w:r>
    </w:p>
    <w:p w14:paraId="1336BD92" w14:textId="18D6277A" w:rsidR="00980B9F" w:rsidRPr="0072476B" w:rsidRDefault="00980B9F" w:rsidP="0072476B">
      <w:pPr>
        <w:pStyle w:val="Textkrper"/>
      </w:pPr>
      <w:r w:rsidRPr="0072476B">
        <w:t>In der zweiten Erhebungsphase wurde ein quantitativer Zugang in Form eine</w:t>
      </w:r>
      <w:r w:rsidR="00DE2598">
        <w:t>s Online-</w:t>
      </w:r>
      <w:r w:rsidRPr="0072476B">
        <w:t>Fragebogen</w:t>
      </w:r>
      <w:r w:rsidR="00DE2598">
        <w:t>s</w:t>
      </w:r>
      <w:r w:rsidRPr="0072476B">
        <w:t xml:space="preserve"> gewählt. Der Fragebogen basiert auf den Ergebnissen der Inter</w:t>
      </w:r>
      <w:r w:rsidR="00A4568F">
        <w:t>v</w:t>
      </w:r>
      <w:r w:rsidRPr="0072476B">
        <w:t>ie</w:t>
      </w:r>
      <w:r w:rsidR="00D9361C">
        <w:t>w</w:t>
      </w:r>
      <w:r w:rsidRPr="0072476B">
        <w:t xml:space="preserve">s und wurde entlang der beiden Skalen </w:t>
      </w:r>
      <w:r w:rsidRPr="00BD050C">
        <w:rPr>
          <w:i/>
          <w:iCs/>
        </w:rPr>
        <w:t>Gelingensbedingungen</w:t>
      </w:r>
      <w:r w:rsidRPr="0072476B">
        <w:t xml:space="preserve"> </w:t>
      </w:r>
      <w:r w:rsidR="00D51B8B">
        <w:t>(vgl. Abb. 1</w:t>
      </w:r>
      <w:r w:rsidR="00A4568F">
        <w:t>, 15 Items</w:t>
      </w:r>
      <w:r w:rsidR="00D51B8B">
        <w:t xml:space="preserve">) </w:t>
      </w:r>
      <w:r w:rsidRPr="0072476B">
        <w:t xml:space="preserve">und </w:t>
      </w:r>
      <w:r w:rsidRPr="00BD050C">
        <w:rPr>
          <w:i/>
          <w:iCs/>
        </w:rPr>
        <w:t>Herausforderungen</w:t>
      </w:r>
      <w:r w:rsidRPr="0072476B">
        <w:t xml:space="preserve"> (</w:t>
      </w:r>
      <w:r w:rsidR="00D51B8B" w:rsidRPr="00D51B8B">
        <w:t xml:space="preserve">vgl. Abb. </w:t>
      </w:r>
      <w:r w:rsidR="00D51B8B">
        <w:t>2</w:t>
      </w:r>
      <w:r w:rsidR="00A4568F">
        <w:t>, 17 Items</w:t>
      </w:r>
      <w:r w:rsidR="00D51B8B">
        <w:t>)</w:t>
      </w:r>
      <w:r w:rsidRPr="0072476B">
        <w:t xml:space="preserve"> entwickelt. Zusätzlich wurden psychometrische Daten</w:t>
      </w:r>
      <w:r w:rsidR="008F395A">
        <w:rPr>
          <w:rStyle w:val="Funotenzeichen"/>
        </w:rPr>
        <w:footnoteReference w:id="3"/>
      </w:r>
      <w:r w:rsidRPr="0072476B">
        <w:t xml:space="preserve"> erhoben, sodass der Fragebogen insgesamt 40 Items umfasste. </w:t>
      </w:r>
      <w:r w:rsidR="00A93FEC" w:rsidRPr="00A93FEC">
        <w:t xml:space="preserve">Wir haben darauf geachtet, dass der Fragebogen von </w:t>
      </w:r>
      <w:proofErr w:type="spellStart"/>
      <w:r w:rsidR="00A93FEC" w:rsidRPr="00A93FEC">
        <w:t>Vertreter</w:t>
      </w:r>
      <w:r w:rsidR="004A22AC">
        <w:t>:</w:t>
      </w:r>
      <w:r w:rsidR="00A93FEC" w:rsidRPr="00A93FEC">
        <w:t>innen</w:t>
      </w:r>
      <w:proofErr w:type="spellEnd"/>
      <w:r w:rsidR="00A93FEC" w:rsidRPr="00A93FEC">
        <w:t xml:space="preserve"> der drei verschiedenen Ausbildungsorte (Unternehmen, </w:t>
      </w:r>
      <w:proofErr w:type="spellStart"/>
      <w:r w:rsidR="00A504A8">
        <w:t>ü</w:t>
      </w:r>
      <w:r w:rsidR="00A93FEC" w:rsidRPr="00A93FEC">
        <w:t>K</w:t>
      </w:r>
      <w:proofErr w:type="spellEnd"/>
      <w:r w:rsidR="00A93FEC" w:rsidRPr="00A93FEC">
        <w:t xml:space="preserve"> und Berufsschulen) und der kantonalen Berufsbildungsämter ausgefüllt wurde</w:t>
      </w:r>
      <w:r w:rsidR="00F129FB">
        <w:t xml:space="preserve"> </w:t>
      </w:r>
      <w:r w:rsidR="00F129FB" w:rsidRPr="00F129FB">
        <w:t>(n</w:t>
      </w:r>
      <w:r w:rsidR="00F129FB">
        <w:t> </w:t>
      </w:r>
      <w:r w:rsidR="00F129FB" w:rsidRPr="00F129FB">
        <w:t>=</w:t>
      </w:r>
      <w:r w:rsidR="00F129FB">
        <w:t> </w:t>
      </w:r>
      <w:r w:rsidR="00F129FB" w:rsidRPr="00F129FB">
        <w:t>363)</w:t>
      </w:r>
      <w:r w:rsidRPr="0072476B">
        <w:t xml:space="preserve">. Konnte eine Frage nicht beantwortet werden, </w:t>
      </w:r>
      <w:r w:rsidR="00245D9D">
        <w:t>durfte</w:t>
      </w:r>
      <w:r w:rsidRPr="0072476B">
        <w:t xml:space="preserve"> sie übersprungen werden. </w:t>
      </w:r>
      <w:r w:rsidR="00EC412E">
        <w:t>S</w:t>
      </w:r>
      <w:r w:rsidRPr="0072476B">
        <w:t xml:space="preserve">tatistische Verfahren zeigen, dass die beiden Dimensionen </w:t>
      </w:r>
      <w:r w:rsidRPr="00AC11F5">
        <w:rPr>
          <w:i/>
          <w:iCs/>
        </w:rPr>
        <w:t>Gelingensbedingungen</w:t>
      </w:r>
      <w:r w:rsidRPr="0072476B">
        <w:t xml:space="preserve"> und </w:t>
      </w:r>
      <w:r w:rsidRPr="00AC11F5">
        <w:rPr>
          <w:i/>
          <w:iCs/>
        </w:rPr>
        <w:t>Herausforderungen</w:t>
      </w:r>
      <w:r w:rsidRPr="0072476B">
        <w:t xml:space="preserve"> unabhängig voneinander sind, was durch eine Faktorenanalyse bestätigt wurde.</w:t>
      </w:r>
    </w:p>
    <w:p w14:paraId="258A7031" w14:textId="68D2C8E7" w:rsidR="0072476B" w:rsidRPr="0072476B" w:rsidRDefault="00980B9F" w:rsidP="0072476B">
      <w:pPr>
        <w:pStyle w:val="berschrift1"/>
      </w:pPr>
      <w:r w:rsidRPr="0072476B">
        <w:t>Ergebnisse</w:t>
      </w:r>
    </w:p>
    <w:p w14:paraId="1B4B6134" w14:textId="4896801C" w:rsidR="00980B9F" w:rsidRDefault="00980B9F" w:rsidP="0072476B">
      <w:pPr>
        <w:pStyle w:val="Textkrper"/>
        <w:ind w:firstLine="0"/>
        <w:rPr>
          <w:b/>
          <w:noProof/>
        </w:rPr>
      </w:pPr>
      <w:r w:rsidRPr="00EE47AD">
        <w:rPr>
          <w:noProof/>
        </w:rPr>
        <w:t xml:space="preserve">Im Folgenden werden die Ergebnisse der Befragung entlang der drei Lernorte sowie der </w:t>
      </w:r>
      <w:r w:rsidR="00E57499" w:rsidRPr="00E57499">
        <w:rPr>
          <w:noProof/>
        </w:rPr>
        <w:t xml:space="preserve">kantonalen Berufsbildungsämter </w:t>
      </w:r>
      <w:r w:rsidR="00E57499">
        <w:rPr>
          <w:noProof/>
        </w:rPr>
        <w:t>präsentiert</w:t>
      </w:r>
      <w:r w:rsidRPr="00EE47AD">
        <w:rPr>
          <w:noProof/>
        </w:rPr>
        <w:t xml:space="preserve">. Dabei werden </w:t>
      </w:r>
      <w:r w:rsidR="007F488F">
        <w:rPr>
          <w:noProof/>
        </w:rPr>
        <w:t>nicht</w:t>
      </w:r>
      <w:r w:rsidR="008B6A9E">
        <w:rPr>
          <w:noProof/>
        </w:rPr>
        <w:t xml:space="preserve"> alle</w:t>
      </w:r>
      <w:r w:rsidRPr="00EE47AD">
        <w:rPr>
          <w:noProof/>
        </w:rPr>
        <w:t xml:space="preserve"> Ergebnisse </w:t>
      </w:r>
      <w:r w:rsidR="008B6A9E">
        <w:rPr>
          <w:noProof/>
        </w:rPr>
        <w:t>vorgestellt</w:t>
      </w:r>
      <w:r w:rsidRPr="00EE47AD">
        <w:rPr>
          <w:noProof/>
        </w:rPr>
        <w:t xml:space="preserve">, sondern der Fokus liegt </w:t>
      </w:r>
      <w:r w:rsidR="008B6A9E">
        <w:rPr>
          <w:noProof/>
        </w:rPr>
        <w:t>dar</w:t>
      </w:r>
      <w:r w:rsidRPr="00EE47AD">
        <w:rPr>
          <w:noProof/>
        </w:rPr>
        <w:t>auf</w:t>
      </w:r>
      <w:r w:rsidR="008B6A9E">
        <w:rPr>
          <w:noProof/>
        </w:rPr>
        <w:t>,</w:t>
      </w:r>
      <w:r w:rsidRPr="00EE47AD">
        <w:rPr>
          <w:noProof/>
        </w:rPr>
        <w:t xml:space="preserve"> konkrete Einblicke aus den beiden Erhebungsphasen</w:t>
      </w:r>
      <w:r w:rsidR="008B6A9E">
        <w:rPr>
          <w:noProof/>
        </w:rPr>
        <w:t xml:space="preserve"> zu geben</w:t>
      </w:r>
      <w:r w:rsidRPr="00EE47AD">
        <w:rPr>
          <w:noProof/>
        </w:rPr>
        <w:t>.</w:t>
      </w:r>
    </w:p>
    <w:p w14:paraId="3D3429DA" w14:textId="77777777" w:rsidR="0072476B" w:rsidRDefault="00980B9F" w:rsidP="0072476B">
      <w:pPr>
        <w:pStyle w:val="berschrift2"/>
        <w:rPr>
          <w:noProof/>
        </w:rPr>
      </w:pPr>
      <w:r w:rsidRPr="00EE47AD">
        <w:rPr>
          <w:noProof/>
        </w:rPr>
        <w:t>Gelingensbedingungen</w:t>
      </w:r>
    </w:p>
    <w:p w14:paraId="33FAEFF6" w14:textId="69B8C29D" w:rsidR="00744198" w:rsidRDefault="00980B9F" w:rsidP="008B6A9E">
      <w:pPr>
        <w:pStyle w:val="Textkrper"/>
        <w:ind w:firstLine="0"/>
      </w:pPr>
      <w:r w:rsidRPr="0072476B">
        <w:t xml:space="preserve">Die Items zu den Gelingensbedingungen sind in </w:t>
      </w:r>
      <w:r w:rsidR="000A1DC3">
        <w:t>Abbildung</w:t>
      </w:r>
      <w:r w:rsidRPr="0072476B">
        <w:t xml:space="preserve"> 1 dargestellt. </w:t>
      </w:r>
    </w:p>
    <w:p w14:paraId="1F32E486" w14:textId="2C175B58" w:rsidR="00980B9F" w:rsidRPr="000E1290" w:rsidRDefault="0072476B" w:rsidP="0072476B">
      <w:pPr>
        <w:pStyle w:val="AbbildungBeschriftung"/>
        <w:rPr>
          <w:rFonts w:ascii="Times New Roman" w:hAnsi="Times New Roman" w:cs="Times New Roman"/>
          <w:noProof/>
          <w:lang w:val="de-CH"/>
        </w:rPr>
      </w:pPr>
      <w:r w:rsidRPr="0072476B">
        <w:rPr>
          <w:bCs w:val="0"/>
          <w:lang w:val="de-CH"/>
        </w:rPr>
        <w:lastRenderedPageBreak/>
        <w:t>Abbildung</w:t>
      </w:r>
      <w:r w:rsidR="00980B9F" w:rsidRPr="0072476B">
        <w:rPr>
          <w:bCs w:val="0"/>
          <w:lang w:val="de-CH"/>
        </w:rPr>
        <w:t xml:space="preserve"> 1</w:t>
      </w:r>
      <w:r w:rsidRPr="0072476B">
        <w:rPr>
          <w:bCs w:val="0"/>
          <w:lang w:val="de-CH"/>
        </w:rPr>
        <w:t>:</w:t>
      </w:r>
      <w:r w:rsidR="00980B9F" w:rsidRPr="0072476B">
        <w:rPr>
          <w:bCs w:val="0"/>
          <w:lang w:val="de-CH"/>
        </w:rPr>
        <w:t xml:space="preserve"> Einschätzung zum N</w:t>
      </w:r>
      <w:r w:rsidR="00C43A97">
        <w:rPr>
          <w:bCs w:val="0"/>
          <w:lang w:val="de-CH"/>
        </w:rPr>
        <w:t>achteilsausgleich</w:t>
      </w:r>
      <w:r w:rsidR="00980B9F" w:rsidRPr="0072476B">
        <w:rPr>
          <w:bCs w:val="0"/>
          <w:lang w:val="de-CH"/>
        </w:rPr>
        <w:t xml:space="preserve"> zur Skala Gelingensbedingung</w:t>
      </w:r>
      <w:r w:rsidR="00980B9F" w:rsidRPr="003F61A3">
        <w:rPr>
          <w:rFonts w:ascii="Times New Roman" w:hAnsi="Times New Roman" w:cs="Times New Roman"/>
          <w:noProof/>
        </w:rPr>
        <w:drawing>
          <wp:inline distT="0" distB="0" distL="0" distR="0" wp14:anchorId="2A7740DD" wp14:editId="41D771C1">
            <wp:extent cx="5886450" cy="7175500"/>
            <wp:effectExtent l="0" t="0" r="0" b="6350"/>
            <wp:docPr id="1673394479" name="Diagramm 2" descr="Die Abbildung zeigt die Resultate zur Befragung zu Gelingensbedingungen beim Nachteilsausgleich. Die verschiedenen Items sind aufgelistet. Die Befragten konnten auf einer Skala von &quot;stimme überhaupt nicht zu&quot; bis &quot;stimme völlig zu&quot; antworte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5B6BCC" w14:textId="77777777" w:rsidR="0030010A" w:rsidRPr="0030010A" w:rsidRDefault="0030010A" w:rsidP="00CB64A7">
      <w:pPr>
        <w:pStyle w:val="Textkrper"/>
        <w:ind w:firstLine="0"/>
      </w:pPr>
      <w:r w:rsidRPr="0030010A">
        <w:t xml:space="preserve">Sowohl bei den Berufsbildungsverantwortlichen als auch in der Fragebogenerhebung zeigt die Studie eine hohe Zustimmung (82,3 %) zum Nachteilsausgleich. Die Befragten beschreiben den Nachteilsausgleich als wirksames Mittel, um Chancengleichheit herzustellen. Der Nachteilsausgleich wird akzeptiert. Dies zeigt sich an allen Lernorten und beim kantonalen Berufsbildungsamt in einem hohen Engagement, der Suche nach individuellen Lösungen (84,4 %) und gegebenenfalls in einem pragmatischen Vorgehen (93,9 %) bei der Umsetzung der beschlossenen Massnahmen. Dies deutet darauf hin, dass es schwierig ist, Standardlösungen zu formulieren. Es sollte immer die konkrete Situation im Vordergrund stehen. Dies war insbesondere in den Interviews mit den </w:t>
      </w:r>
      <w:proofErr w:type="spellStart"/>
      <w:r w:rsidRPr="0030010A">
        <w:t>Vertreter:innen</w:t>
      </w:r>
      <w:proofErr w:type="spellEnd"/>
      <w:r w:rsidRPr="0030010A">
        <w:t xml:space="preserve"> der Lernorte Betrieb und </w:t>
      </w:r>
      <w:proofErr w:type="spellStart"/>
      <w:r w:rsidRPr="0030010A">
        <w:t>üK</w:t>
      </w:r>
      <w:proofErr w:type="spellEnd"/>
      <w:r w:rsidRPr="0030010A">
        <w:t xml:space="preserve"> eine zentrale Aussage. In diesem Zusammenhang hat die Studie gezeigt, dass aus Sicht der Befragten ein </w:t>
      </w:r>
      <w:r w:rsidRPr="0030010A">
        <w:lastRenderedPageBreak/>
        <w:t>kontinuierlicher Anstieg der Anträge auf Nachteilsausgleich zu verzeichnen ist. Die Zahlen der kantonalen Berufsbildungsämter belegen einen jährlichen Anstieg von etwa acht bis zehn Prozent bewilligter Anträge.</w:t>
      </w:r>
    </w:p>
    <w:p w14:paraId="314751F3" w14:textId="77777777" w:rsidR="00457F0B" w:rsidRPr="00457F0B" w:rsidRDefault="00457F0B" w:rsidP="0030010A">
      <w:pPr>
        <w:pStyle w:val="Textkrper"/>
      </w:pPr>
      <w:r w:rsidRPr="00457F0B">
        <w:t xml:space="preserve">Die Beteiligten an den Lernorten haben Verständnis für die Lernenden mit Nachteilsausgleich (91,1 %). Dies zeigt sich auch im Vertrauensverhältnis zwischen Lehrpersonen und Lernenden (93,8 %) sowie in der gegenseitigen hohen persönlichen Wertschätzung (94,9 %). Die Lehrpersonen hoben diesen Aspekt in den Interviews besonders hervor. Die Studie zeigt, dass es kantonale Unterschiede gibt bei der Nachfrage und den Massnahmen, die zur Verfügung stehen. Die Befragten nehmen dies jedoch nicht als Herausforderung wahr. In Bezug auf die kantonalen Unterschiede wird das </w:t>
      </w:r>
      <w:proofErr w:type="spellStart"/>
      <w:r w:rsidRPr="00457F0B">
        <w:t>Gesuchsverfahren</w:t>
      </w:r>
      <w:proofErr w:type="spellEnd"/>
      <w:r w:rsidRPr="00457F0B">
        <w:t xml:space="preserve"> als transparent (86,2 %) und die Zusammenarbeit zwischen kantonalem Berufsbildungsamt und den Lernorten als positiv (86,3 %) bewertet. Zudem sehen 84 Prozent der Befragten die Verantwortung für die Umsetzung der angeordneten Massnahmen bei den Lernenden.</w:t>
      </w:r>
    </w:p>
    <w:p w14:paraId="06A736F5" w14:textId="54C002C6" w:rsidR="0072476B" w:rsidRDefault="00980B9F" w:rsidP="0072476B">
      <w:pPr>
        <w:pStyle w:val="berschrift2"/>
        <w:rPr>
          <w:noProof/>
        </w:rPr>
      </w:pPr>
      <w:r w:rsidRPr="00654A93">
        <w:rPr>
          <w:noProof/>
        </w:rPr>
        <w:t>Herausforderungen</w:t>
      </w:r>
    </w:p>
    <w:p w14:paraId="1DB604FD" w14:textId="0F03EC70" w:rsidR="0072476B" w:rsidRDefault="00244D1F" w:rsidP="00F700E6">
      <w:pPr>
        <w:pStyle w:val="Textkrper"/>
        <w:ind w:firstLine="0"/>
      </w:pPr>
      <w:r w:rsidRPr="00AF4FD3">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60CB0077" wp14:editId="1DE70105">
                <wp:simplePos x="0" y="0"/>
                <wp:positionH relativeFrom="page">
                  <wp:posOffset>0</wp:posOffset>
                </wp:positionH>
                <wp:positionV relativeFrom="paragraph">
                  <wp:posOffset>3046095</wp:posOffset>
                </wp:positionV>
                <wp:extent cx="5339715" cy="492760"/>
                <wp:effectExtent l="0" t="0" r="0" b="254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492760"/>
                        </a:xfrm>
                        <a:prstGeom prst="rect">
                          <a:avLst/>
                        </a:prstGeom>
                        <a:noFill/>
                        <a:ln w="9525">
                          <a:noFill/>
                          <a:miter lim="800000"/>
                          <a:headEnd/>
                          <a:tailEnd/>
                        </a:ln>
                      </wps:spPr>
                      <wps:txbx>
                        <w:txbxContent>
                          <w:p w14:paraId="15E0429F" w14:textId="5E8EA06A" w:rsidR="00AF4FD3" w:rsidRPr="004B0AE6" w:rsidRDefault="00AF4FD3" w:rsidP="00AF4FD3">
                            <w:pPr>
                              <w:pStyle w:val="Hervorhebung1"/>
                            </w:pPr>
                            <w:r>
                              <w:t>D</w:t>
                            </w:r>
                            <w:r w:rsidRPr="00AF4FD3">
                              <w:t xml:space="preserve">ie Herausforderung </w:t>
                            </w:r>
                            <w:r w:rsidR="00855F85">
                              <w:t xml:space="preserve">Nachteilsausgleich </w:t>
                            </w:r>
                            <w:r w:rsidR="00EA202F">
                              <w:t>wird</w:t>
                            </w:r>
                            <w:r>
                              <w:t xml:space="preserve"> </w:t>
                            </w:r>
                            <w:r w:rsidRPr="00AF4FD3">
                              <w:t xml:space="preserve">am Lernort </w:t>
                            </w:r>
                            <w:proofErr w:type="spellStart"/>
                            <w:r w:rsidRPr="00AF4FD3">
                              <w:t>üK</w:t>
                            </w:r>
                            <w:proofErr w:type="spellEnd"/>
                            <w:r w:rsidRPr="00AF4FD3">
                              <w:t xml:space="preserve"> höher </w:t>
                            </w:r>
                            <w:r w:rsidR="00055E86">
                              <w:br/>
                            </w:r>
                            <w:r w:rsidRPr="00AF4FD3">
                              <w:t>eingeschätzt als an den anderen Lernorten und im Berufsbildungsamt.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B0077" id="_x0000_t202" coordsize="21600,21600" o:spt="202" path="m,l,21600r21600,l21600,xe">
                <v:stroke joinstyle="miter"/>
                <v:path gradientshapeok="t" o:connecttype="rect"/>
              </v:shapetype>
              <v:shape id="Textfeld 337965578" o:spid="_x0000_s1026" type="#_x0000_t202" alt="&quot;&quot;" style="position:absolute;left:0;text-align:left;margin-left:0;margin-top:239.85pt;width:420.4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" o:allowoverlap="f" filled="f" stroked="f">
                <v:textbox inset="29mm,,2.5mm">
                  <w:txbxContent>
                    <w:p w14:paraId="15E0429F" w14:textId="5E8EA06A" w:rsidR="00AF4FD3" w:rsidRPr="004B0AE6" w:rsidRDefault="00AF4FD3" w:rsidP="00AF4FD3">
                      <w:pPr>
                        <w:pStyle w:val="Hervorhebung1"/>
                      </w:pPr>
                      <w:r>
                        <w:t>D</w:t>
                      </w:r>
                      <w:r w:rsidRPr="00AF4FD3">
                        <w:t xml:space="preserve">ie Herausforderung </w:t>
                      </w:r>
                      <w:r w:rsidR="00855F85">
                        <w:t xml:space="preserve">Nachteilsausgleich </w:t>
                      </w:r>
                      <w:r w:rsidR="00EA202F">
                        <w:t>wird</w:t>
                      </w:r>
                      <w:r>
                        <w:t xml:space="preserve"> </w:t>
                      </w:r>
                      <w:r w:rsidRPr="00AF4FD3">
                        <w:t xml:space="preserve">am Lernort üK höher </w:t>
                      </w:r>
                      <w:r w:rsidR="00055E86">
                        <w:br/>
                      </w:r>
                      <w:r w:rsidRPr="00AF4FD3">
                        <w:t>eingeschätzt als an den anderen Lernorten und im Berufsbildungsamt.</w:t>
                      </w:r>
                    </w:p>
                  </w:txbxContent>
                </v:textbox>
                <w10:wrap type="topAndBottom" anchorx="page"/>
              </v:shape>
            </w:pict>
          </mc:Fallback>
        </mc:AlternateContent>
      </w:r>
      <w:r w:rsidR="00980B9F" w:rsidRPr="0072476B">
        <w:t xml:space="preserve">Die Items zu den Herausforderungen sind in </w:t>
      </w:r>
      <w:r w:rsidR="003202AF">
        <w:t>Abbildung</w:t>
      </w:r>
      <w:r w:rsidR="00980B9F" w:rsidRPr="0072476B">
        <w:t xml:space="preserve"> 2 dargestellt. </w:t>
      </w:r>
      <w:r w:rsidR="006574E6">
        <w:t>Es zeigt sich</w:t>
      </w:r>
      <w:r w:rsidR="00980B9F" w:rsidRPr="0072476B">
        <w:t>, dass die Anträge oft erst kurz vor dem Q</w:t>
      </w:r>
      <w:r w:rsidR="006B3177">
        <w:t>ualifikationsverfahren</w:t>
      </w:r>
      <w:r w:rsidR="00980B9F" w:rsidRPr="0072476B">
        <w:t xml:space="preserve"> gestellt werden. In den Interviews sprachen die Befragten der </w:t>
      </w:r>
      <w:r w:rsidR="006574E6">
        <w:t>kantonalen Berufsbildungsämter</w:t>
      </w:r>
      <w:r w:rsidR="00980B9F" w:rsidRPr="0072476B">
        <w:t xml:space="preserve"> diesbezüglich von einer grossen Herausforderung. Sie stehen vor der Aufgabe, Gesuche bis kurz vor dem Q</w:t>
      </w:r>
      <w:r w:rsidR="006574E6">
        <w:t>ualifikationsverfahren</w:t>
      </w:r>
      <w:r w:rsidR="00980B9F" w:rsidRPr="0072476B">
        <w:t xml:space="preserve"> zu bewilligen. </w:t>
      </w:r>
      <w:r w:rsidR="00AC4661" w:rsidRPr="00AC4661">
        <w:t>Einige Kantone legen</w:t>
      </w:r>
      <w:r w:rsidR="00980B9F" w:rsidRPr="0072476B">
        <w:t xml:space="preserve"> deshalb </w:t>
      </w:r>
      <w:r w:rsidR="00AC4661" w:rsidRPr="00AC4661">
        <w:t>fest</w:t>
      </w:r>
      <w:r w:rsidR="00980B9F" w:rsidRPr="0072476B">
        <w:t xml:space="preserve">, dass im letzten Semester der Lehre keine Gesuche mehr eingereicht werden dürfen. </w:t>
      </w:r>
      <w:r w:rsidR="00B04DC9" w:rsidRPr="00B04DC9">
        <w:t>Die</w:t>
      </w:r>
      <w:r w:rsidR="00DD744B">
        <w:t xml:space="preserve"> Ver</w:t>
      </w:r>
      <w:r w:rsidR="00962593">
        <w:t>antwortlichen</w:t>
      </w:r>
      <w:r w:rsidR="00DD744B">
        <w:t xml:space="preserve"> der</w:t>
      </w:r>
      <w:r w:rsidR="00980B9F" w:rsidRPr="0072476B">
        <w:t xml:space="preserve"> Lernorte beschrieben</w:t>
      </w:r>
      <w:r w:rsidR="00B04DC9" w:rsidRPr="00B04DC9">
        <w:t xml:space="preserve"> die Gesuchstellung als anspruchsvoll, teilweise als zu kompliziert</w:t>
      </w:r>
      <w:r w:rsidR="00D567ED">
        <w:t>.</w:t>
      </w:r>
      <w:r w:rsidR="00980B9F" w:rsidRPr="0072476B">
        <w:t xml:space="preserve"> Die Fragebogenerhebung bestätigt dies: 49</w:t>
      </w:r>
      <w:r w:rsidR="001972F6">
        <w:t>,</w:t>
      </w:r>
      <w:r w:rsidR="00980B9F" w:rsidRPr="0072476B">
        <w:t>3</w:t>
      </w:r>
      <w:r w:rsidR="001972F6">
        <w:t> Prozent</w:t>
      </w:r>
      <w:r w:rsidR="00980B9F" w:rsidRPr="0072476B">
        <w:t xml:space="preserve"> der Befragten erachten die Gesuchstellung als zu komplex. Während in einigen Kantonen ein Gesuch für die gesamte Lehrzeit und das </w:t>
      </w:r>
      <w:bookmarkStart w:id="3" w:name="_Hlk199751775"/>
      <w:r w:rsidR="00980B9F" w:rsidRPr="0072476B">
        <w:t>Q</w:t>
      </w:r>
      <w:r w:rsidR="001972F6">
        <w:t>ualifikationsverfahren</w:t>
      </w:r>
      <w:bookmarkEnd w:id="3"/>
      <w:r w:rsidR="00980B9F" w:rsidRPr="0072476B">
        <w:t xml:space="preserve"> ausreicht, sind in anderen Kantonen mehrere Gesuche notwendig </w:t>
      </w:r>
      <w:r w:rsidR="001972F6">
        <w:t>–</w:t>
      </w:r>
      <w:r w:rsidR="00980B9F" w:rsidRPr="0072476B">
        <w:t xml:space="preserve"> teilweise sogar pro Lernort und zusätzlich für das </w:t>
      </w:r>
      <w:r w:rsidR="001972F6" w:rsidRPr="001972F6">
        <w:t>Qualifikationsverfahren</w:t>
      </w:r>
      <w:r w:rsidR="00980B9F" w:rsidRPr="0072476B">
        <w:t>. Kantonale Unterschiede zeigen sich auch in der Frage, wer eine Behinderung attestieren darf</w:t>
      </w:r>
      <w:r w:rsidR="00304AC5">
        <w:t>,</w:t>
      </w:r>
      <w:r w:rsidR="00980B9F" w:rsidRPr="0072476B">
        <w:t xml:space="preserve"> und in der Umsetzung</w:t>
      </w:r>
      <w:r w:rsidR="003C26CF">
        <w:t xml:space="preserve"> des Nachteilsausgleichs</w:t>
      </w:r>
      <w:r w:rsidR="00980B9F" w:rsidRPr="0072476B">
        <w:t xml:space="preserve">: Der Zeitzuschlag kann bei gleicher Diagnose je nach Kanton </w:t>
      </w:r>
      <w:r w:rsidR="00CF781C">
        <w:t xml:space="preserve">zwischen </w:t>
      </w:r>
      <w:r w:rsidR="00980B9F" w:rsidRPr="0072476B">
        <w:t>20</w:t>
      </w:r>
      <w:r w:rsidR="00CF781C">
        <w:t xml:space="preserve"> und</w:t>
      </w:r>
      <w:r w:rsidR="00980B9F" w:rsidRPr="0072476B">
        <w:t xml:space="preserve"> 40 Prozent </w:t>
      </w:r>
      <w:r w:rsidR="00CF781C">
        <w:t>var</w:t>
      </w:r>
      <w:r w:rsidR="00D859AD">
        <w:t>i</w:t>
      </w:r>
      <w:r w:rsidR="00CF781C">
        <w:t>ieren</w:t>
      </w:r>
      <w:r w:rsidR="00980B9F" w:rsidRPr="0072476B">
        <w:t xml:space="preserve">. Die Interviews haben gezeigt, dass sich die </w:t>
      </w:r>
      <w:r w:rsidR="00E1687F">
        <w:t xml:space="preserve">Verantwortlichen der </w:t>
      </w:r>
      <w:r w:rsidR="00980B9F" w:rsidRPr="0072476B">
        <w:t>k</w:t>
      </w:r>
      <w:r w:rsidR="003C26CF">
        <w:t>antonalen Berufsbildungsämter</w:t>
      </w:r>
      <w:r w:rsidR="00980B9F" w:rsidRPr="0072476B">
        <w:t xml:space="preserve"> dieser Ungleichheiten bewusst sind, aber in ihrem individuellen Handeln den Mehrwert höher gewichten.</w:t>
      </w:r>
      <w:r w:rsidR="00F700E6">
        <w:t xml:space="preserve"> </w:t>
      </w:r>
      <w:r w:rsidR="00980B9F" w:rsidRPr="0072476B">
        <w:t xml:space="preserve">Die Umsetzung </w:t>
      </w:r>
      <w:r w:rsidR="00AC4A13">
        <w:t>des Nachteilsausgleichs</w:t>
      </w:r>
      <w:r w:rsidR="00980B9F" w:rsidRPr="0072476B">
        <w:t xml:space="preserve"> stösst an Grenzen. 60</w:t>
      </w:r>
      <w:r w:rsidR="00AC4A13">
        <w:t>,</w:t>
      </w:r>
      <w:r w:rsidR="00980B9F" w:rsidRPr="0072476B">
        <w:t>5</w:t>
      </w:r>
      <w:r w:rsidR="00AC4A13">
        <w:t> Prozent</w:t>
      </w:r>
      <w:r w:rsidR="00980B9F" w:rsidRPr="0072476B">
        <w:t xml:space="preserve"> der Befragten sind der Meinung, dass zu wenig Ressourcen (Zeit, Hilfsmittel, finanzielle Unterstützung) zur Verfügung stehen.</w:t>
      </w:r>
      <w:r w:rsidR="0063442F" w:rsidRPr="0063442F">
        <w:t xml:space="preserve"> Verantwortliche der Lernorte erwähnten in den Interviews den Zeitdruck, der die Umsetzung</w:t>
      </w:r>
      <w:r w:rsidR="00980B9F" w:rsidRPr="0072476B">
        <w:t xml:space="preserve"> der verfügten Massnahmen </w:t>
      </w:r>
      <w:r w:rsidR="00BA57CD">
        <w:t>ebenfalls beeinflusst</w:t>
      </w:r>
      <w:r w:rsidR="00980B9F" w:rsidRPr="0072476B">
        <w:t>.</w:t>
      </w:r>
    </w:p>
    <w:p w14:paraId="7C0B0F4B" w14:textId="58B334F2" w:rsidR="0072476B" w:rsidRDefault="00980B9F" w:rsidP="00244D1F">
      <w:pPr>
        <w:pStyle w:val="Textkrper"/>
        <w:ind w:firstLine="0"/>
      </w:pPr>
      <w:r w:rsidRPr="0072476B">
        <w:t xml:space="preserve">Mit Blick auf die Lernorte zeigt sich dabei, dass die Herausforderung insgesamt am Lernort </w:t>
      </w:r>
      <w:proofErr w:type="spellStart"/>
      <w:r w:rsidRPr="0072476B">
        <w:t>üK</w:t>
      </w:r>
      <w:proofErr w:type="spellEnd"/>
      <w:r w:rsidRPr="0072476B">
        <w:t xml:space="preserve"> signifikant höher eingeschätzt wird als an den anderen Lernorten und im </w:t>
      </w:r>
      <w:r w:rsidR="00AC4A13">
        <w:t>kantonalen Berufsbildungsamt</w:t>
      </w:r>
      <w:r w:rsidRPr="0072476B">
        <w:t xml:space="preserve">. Weiter wird deutlich, dass die Umsetzung der verfügten Massnahmen im </w:t>
      </w:r>
      <w:r w:rsidR="00AC4A13" w:rsidRPr="00AC4A13">
        <w:t>Qualifikationsverfahren</w:t>
      </w:r>
      <w:r w:rsidRPr="0072476B">
        <w:t xml:space="preserve"> als anspruchsvoller </w:t>
      </w:r>
      <w:r w:rsidR="00D155F5">
        <w:t>beurteilt</w:t>
      </w:r>
      <w:r w:rsidRPr="0072476B">
        <w:t xml:space="preserve"> wird als im regulären </w:t>
      </w:r>
      <w:proofErr w:type="spellStart"/>
      <w:r w:rsidRPr="0072476B">
        <w:t>üK</w:t>
      </w:r>
      <w:proofErr w:type="spellEnd"/>
      <w:r w:rsidRPr="0072476B">
        <w:t xml:space="preserve">. </w:t>
      </w:r>
      <w:r w:rsidR="00527D85" w:rsidRPr="00527D85">
        <w:t xml:space="preserve">Die Verantwortlichen am Lernort </w:t>
      </w:r>
      <w:proofErr w:type="spellStart"/>
      <w:r w:rsidR="00527D85" w:rsidRPr="00527D85">
        <w:t>üK</w:t>
      </w:r>
      <w:proofErr w:type="spellEnd"/>
      <w:r w:rsidR="00527D85" w:rsidRPr="00527D85">
        <w:t xml:space="preserve"> wiesen in den Interviews auf die veränderte Situation beim Qualifikationsverfahren hin</w:t>
      </w:r>
      <w:r w:rsidRPr="0072476B">
        <w:t xml:space="preserve">. Am </w:t>
      </w:r>
      <w:r w:rsidR="00AC4A13" w:rsidRPr="00AC4A13">
        <w:t>Qualifikationsverfahren</w:t>
      </w:r>
      <w:r w:rsidRPr="0072476B">
        <w:t xml:space="preserve"> sind externe </w:t>
      </w:r>
      <w:proofErr w:type="spellStart"/>
      <w:r w:rsidRPr="0072476B">
        <w:t>Prüfungsexpert</w:t>
      </w:r>
      <w:r w:rsidR="00CC6B3E">
        <w:t>:inn</w:t>
      </w:r>
      <w:r w:rsidRPr="0072476B">
        <w:t>en</w:t>
      </w:r>
      <w:proofErr w:type="spellEnd"/>
      <w:r w:rsidRPr="0072476B">
        <w:t xml:space="preserve"> involviert, die in ihrem Berufsalltag wenig mit N</w:t>
      </w:r>
      <w:r w:rsidR="00AC4A13">
        <w:t>achteilsausgleich</w:t>
      </w:r>
      <w:r w:rsidRPr="0072476B">
        <w:t xml:space="preserve"> konfrontiert sind. Hier wurde eine teilweise geringe Sensibilisierung bemängelt.</w:t>
      </w:r>
    </w:p>
    <w:p w14:paraId="34EC9E01" w14:textId="144056AE" w:rsidR="00146406" w:rsidRPr="00244D1F" w:rsidRDefault="00980B9F" w:rsidP="00244D1F">
      <w:pPr>
        <w:pStyle w:val="Textkrper"/>
      </w:pPr>
      <w:r w:rsidRPr="00244D1F">
        <w:t>Im September 2023 ist in der Schweiz das neue Datenschutzgesetz in Kraft getreten, welches den Informationsfluss einschränkt. D</w:t>
      </w:r>
      <w:r w:rsidR="00E75E7B" w:rsidRPr="00244D1F">
        <w:t>er</w:t>
      </w:r>
      <w:r w:rsidRPr="00244D1F">
        <w:t xml:space="preserve"> angeordnete N</w:t>
      </w:r>
      <w:r w:rsidR="00702307" w:rsidRPr="00244D1F">
        <w:t>achteilsausgleich</w:t>
      </w:r>
      <w:r w:rsidRPr="00244D1F">
        <w:t xml:space="preserve"> ist </w:t>
      </w:r>
      <w:r w:rsidR="003E5719" w:rsidRPr="00244D1F">
        <w:t xml:space="preserve">zwar </w:t>
      </w:r>
      <w:r w:rsidRPr="00244D1F">
        <w:t>bekannt, die Diagnose nicht</w:t>
      </w:r>
      <w:r w:rsidR="003E5719" w:rsidRPr="00244D1F">
        <w:t xml:space="preserve"> mehr</w:t>
      </w:r>
      <w:r w:rsidRPr="00244D1F">
        <w:t>, was von 64,5</w:t>
      </w:r>
      <w:r w:rsidR="006C6CA8">
        <w:t> </w:t>
      </w:r>
      <w:r w:rsidRPr="00244D1F">
        <w:t>Prozent der Befragten als Wissensverlust gewertet wird.</w:t>
      </w:r>
      <w:r w:rsidR="00F700E6" w:rsidRPr="00244D1F">
        <w:t xml:space="preserve"> </w:t>
      </w:r>
      <w:r w:rsidRPr="00244D1F">
        <w:t>Die Betriebe sind kaum von den Massnahmen de</w:t>
      </w:r>
      <w:r w:rsidR="00702307" w:rsidRPr="00244D1F">
        <w:t>s</w:t>
      </w:r>
      <w:r w:rsidRPr="00244D1F">
        <w:t xml:space="preserve"> </w:t>
      </w:r>
      <w:r w:rsidR="00702307" w:rsidRPr="00244D1F">
        <w:t xml:space="preserve">Nachteilsausgleichs </w:t>
      </w:r>
      <w:r w:rsidRPr="00244D1F">
        <w:t xml:space="preserve">betroffen, obwohl die Lernenden dort die meiste Zeit ihrer Lehre verbringen. Bezüglich der Verantwortlichkeiten zeigt sich, dass die Zuständigkeiten für </w:t>
      </w:r>
      <w:r w:rsidR="004723BC" w:rsidRPr="00244D1F">
        <w:t xml:space="preserve">den </w:t>
      </w:r>
      <w:r w:rsidR="00F26DB6" w:rsidRPr="00244D1F">
        <w:t>Nachteilsausgleich</w:t>
      </w:r>
      <w:r w:rsidRPr="00244D1F">
        <w:t xml:space="preserve"> </w:t>
      </w:r>
      <w:r w:rsidR="00FB2E5A" w:rsidRPr="00244D1F">
        <w:t xml:space="preserve">an allen drei Lernorten </w:t>
      </w:r>
      <w:r w:rsidRPr="00244D1F">
        <w:t>klar geregelt sind.</w:t>
      </w:r>
      <w:r w:rsidR="00F700E6" w:rsidRPr="00244D1F">
        <w:t xml:space="preserve"> </w:t>
      </w:r>
      <w:r w:rsidR="00146406" w:rsidRPr="00244D1F">
        <w:t>Schliesslich hat die Untersuchung gezeigt, dass Auszubildende die angeordneten Massnahmen zum Nachteilsausgleich offenbar ablehnen. Dies könnte auf eine mögliche Stigmatisierung hindeuten, die bereits im Rahmen der Interviews deutlich wurde (Wüthrich et al., 2024).</w:t>
      </w:r>
    </w:p>
    <w:p w14:paraId="733CB600" w14:textId="08190DB9" w:rsidR="00980B9F" w:rsidRPr="0072476B" w:rsidRDefault="0072476B" w:rsidP="0072476B">
      <w:pPr>
        <w:pStyle w:val="AbbildungBeschriftung"/>
        <w:rPr>
          <w:bCs w:val="0"/>
          <w:lang w:val="de-CH"/>
        </w:rPr>
      </w:pPr>
      <w:r w:rsidRPr="0072476B">
        <w:rPr>
          <w:bCs w:val="0"/>
          <w:lang w:val="de-CH"/>
        </w:rPr>
        <w:lastRenderedPageBreak/>
        <w:t>Abbildung</w:t>
      </w:r>
      <w:r w:rsidR="00980B9F" w:rsidRPr="0072476B">
        <w:rPr>
          <w:bCs w:val="0"/>
          <w:lang w:val="de-CH"/>
        </w:rPr>
        <w:t xml:space="preserve"> 2: Einschätzung zum N</w:t>
      </w:r>
      <w:r w:rsidR="00115535">
        <w:rPr>
          <w:bCs w:val="0"/>
          <w:lang w:val="de-CH"/>
        </w:rPr>
        <w:t>achteilsausgleich</w:t>
      </w:r>
      <w:r w:rsidR="00980B9F" w:rsidRPr="0072476B">
        <w:rPr>
          <w:bCs w:val="0"/>
          <w:lang w:val="de-CH"/>
        </w:rPr>
        <w:t xml:space="preserve"> zur Skala Herausforderung</w:t>
      </w:r>
    </w:p>
    <w:p w14:paraId="7B1F1030" w14:textId="77777777" w:rsidR="00980B9F" w:rsidRPr="00D74469" w:rsidRDefault="00980B9F" w:rsidP="00980B9F">
      <w:pPr>
        <w:spacing w:line="360" w:lineRule="auto"/>
        <w:rPr>
          <w:rFonts w:ascii="Times New Roman" w:eastAsia="Calibri" w:hAnsi="Times New Roman" w:cs="Times New Roman"/>
          <w:kern w:val="2"/>
          <w:szCs w:val="24"/>
          <w14:ligatures w14:val="standardContextual"/>
        </w:rPr>
      </w:pPr>
      <w:r w:rsidRPr="00D74469">
        <w:rPr>
          <w:rFonts w:ascii="Calibri" w:eastAsia="Calibri" w:hAnsi="Calibri" w:cs="Times New Roman"/>
          <w:noProof/>
          <w:kern w:val="2"/>
          <w:sz w:val="22"/>
          <w14:ligatures w14:val="standardContextual"/>
        </w:rPr>
        <w:drawing>
          <wp:inline distT="0" distB="0" distL="0" distR="0" wp14:anchorId="6A658F9F" wp14:editId="1AA427AF">
            <wp:extent cx="5867400" cy="8553450"/>
            <wp:effectExtent l="0" t="0" r="0" b="0"/>
            <wp:docPr id="1031480099" name="Diagramm 2" descr="Die Abbildung zeigt die Resultate zur Befragung zu Herausforderungen beim Nachteilsausgleich. Die verschiedenen Items sind aufgelistet. Die Befragten konnten auf einer Skala von &quot;stimme überhaupt nicht zu&quot; bis &quot;stimme völlig zu&quot; antworte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94FC7" w14:textId="77777777" w:rsidR="00980B9F" w:rsidRPr="0072476B" w:rsidRDefault="00980B9F" w:rsidP="0072476B">
      <w:pPr>
        <w:pStyle w:val="berschrift1"/>
      </w:pPr>
      <w:r w:rsidRPr="0072476B">
        <w:lastRenderedPageBreak/>
        <w:t>Diskussion</w:t>
      </w:r>
    </w:p>
    <w:p w14:paraId="1E987AB7" w14:textId="05E1D7F6" w:rsidR="00A67034" w:rsidRDefault="00327D86" w:rsidP="00CD65C0">
      <w:pPr>
        <w:pStyle w:val="Textkrper"/>
        <w:ind w:firstLine="0"/>
      </w:pPr>
      <w:r w:rsidRPr="006C1699">
        <w:rPr>
          <w:rFonts w:ascii="Open Sans SemiCondensed SemiCon" w:hAnsi="Open Sans SemiCondensed SemiCon"/>
          <w:noProof/>
        </w:rPr>
        <mc:AlternateContent>
          <mc:Choice Requires="wps">
            <w:drawing>
              <wp:anchor distT="45720" distB="45720" distL="46990" distR="46990" simplePos="0" relativeHeight="251660288" behindDoc="0" locked="0" layoutInCell="1" allowOverlap="0" wp14:anchorId="609CC8D2" wp14:editId="48F4A5E1">
                <wp:simplePos x="0" y="0"/>
                <wp:positionH relativeFrom="page">
                  <wp:align>left</wp:align>
                </wp:positionH>
                <wp:positionV relativeFrom="paragraph">
                  <wp:posOffset>1023767</wp:posOffset>
                </wp:positionV>
                <wp:extent cx="5339715" cy="492760"/>
                <wp:effectExtent l="0" t="0" r="0" b="2540"/>
                <wp:wrapTopAndBottom/>
                <wp:docPr id="973721317" name="Textfeld 973721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492760"/>
                        </a:xfrm>
                        <a:prstGeom prst="rect">
                          <a:avLst/>
                        </a:prstGeom>
                        <a:noFill/>
                        <a:ln w="9525">
                          <a:noFill/>
                          <a:miter lim="800000"/>
                          <a:headEnd/>
                          <a:tailEnd/>
                        </a:ln>
                      </wps:spPr>
                      <wps:txbx>
                        <w:txbxContent>
                          <w:p w14:paraId="1FF9B093" w14:textId="01A7AA80" w:rsidR="006C1699" w:rsidRPr="004B0AE6" w:rsidRDefault="002543C9" w:rsidP="006C1699">
                            <w:pPr>
                              <w:pStyle w:val="Hervorhebung1"/>
                            </w:pPr>
                            <w:r w:rsidRPr="002543C9">
                              <w:t xml:space="preserve">Es ist wichtig, dass der Nachteilsausgleich bereits während der Lehre </w:t>
                            </w:r>
                            <w:r w:rsidRPr="002543C9">
                              <w:rPr>
                                <w:noProof/>
                              </w:rPr>
                              <w:t>thematisiert</w:t>
                            </w:r>
                            <w:r w:rsidRPr="002543C9">
                              <w:t xml:space="preserve"> wird</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CC8D2" id="Textfeld 973721317" o:spid="_x0000_s1027" type="#_x0000_t202" alt="&quot;&quot;" style="position:absolute;left:0;text-align:left;margin-left:0;margin-top:80.6pt;width:420.45pt;height:38.8pt;z-index:25166028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" o:allowoverlap="f" filled="f" stroked="f">
                <v:textbox inset="29mm,,2.5mm">
                  <w:txbxContent>
                    <w:p w14:paraId="1FF9B093" w14:textId="01A7AA80" w:rsidR="006C1699" w:rsidRPr="004B0AE6" w:rsidRDefault="002543C9" w:rsidP="006C1699">
                      <w:pPr>
                        <w:pStyle w:val="Hervorhebung1"/>
                      </w:pPr>
                      <w:r w:rsidRPr="002543C9">
                        <w:t xml:space="preserve">Es ist wichtig, dass der Nachteilsausgleich bereits während der Lehre </w:t>
                      </w:r>
                      <w:r w:rsidRPr="002543C9">
                        <w:rPr>
                          <w:noProof/>
                        </w:rPr>
                        <w:t>thematisiert</w:t>
                      </w:r>
                      <w:r w:rsidRPr="002543C9">
                        <w:t xml:space="preserve"> wird</w:t>
                      </w:r>
                      <w:r>
                        <w:t>.</w:t>
                      </w:r>
                    </w:p>
                  </w:txbxContent>
                </v:textbox>
                <w10:wrap type="topAndBottom" anchorx="page"/>
              </v:shape>
            </w:pict>
          </mc:Fallback>
        </mc:AlternateContent>
      </w:r>
      <w:r w:rsidR="00980B9F" w:rsidRPr="0072476B">
        <w:t xml:space="preserve">Die Ergebnisse zeigen, dass eine offene Haltung aller Beteiligten als zentrale Gelingensbedingung für eine erfolgreiche Umsetzung </w:t>
      </w:r>
      <w:r w:rsidR="006C2733">
        <w:t>des Nachteilsausgleichs</w:t>
      </w:r>
      <w:r w:rsidR="00980B9F" w:rsidRPr="0072476B">
        <w:t xml:space="preserve"> angesehen werden kann. Diese Offenheit zeigt sich in der Bereitschaft der Befragten, individuelle Lösungen zu finden und pragmatisch vorzugehen. Sie zeigt sich auch darin, dass der N</w:t>
      </w:r>
      <w:r w:rsidR="00912BA0">
        <w:t>achteilsausgleich</w:t>
      </w:r>
      <w:r w:rsidR="00980B9F" w:rsidRPr="0072476B">
        <w:t xml:space="preserve"> an allen Lernorten akzeptiert wird</w:t>
      </w:r>
      <w:r w:rsidR="00926148">
        <w:t xml:space="preserve">. </w:t>
      </w:r>
      <w:r w:rsidR="003624E7" w:rsidRPr="003624E7">
        <w:t>Die Interviews sowie die Fragebogenbefragung zeigen eine positive Haltung der Befragten trotz der steten Zunahme an Gesuchen</w:t>
      </w:r>
      <w:r w:rsidR="003624E7">
        <w:t xml:space="preserve"> (</w:t>
      </w:r>
      <w:proofErr w:type="spellStart"/>
      <w:r w:rsidR="003624E7">
        <w:t>Ambord</w:t>
      </w:r>
      <w:proofErr w:type="spellEnd"/>
      <w:r w:rsidR="003624E7">
        <w:t xml:space="preserve"> &amp; Charrière, 2022)</w:t>
      </w:r>
      <w:r w:rsidR="003624E7" w:rsidRPr="003624E7">
        <w:t>.</w:t>
      </w:r>
    </w:p>
    <w:p w14:paraId="481F00C2" w14:textId="7E0AF83A" w:rsidR="0072476B" w:rsidRDefault="00EB71AF" w:rsidP="00327D86">
      <w:pPr>
        <w:pStyle w:val="Textkrper"/>
        <w:ind w:firstLine="0"/>
      </w:pPr>
      <w:r>
        <w:t>V</w:t>
      </w:r>
      <w:r w:rsidR="00980B9F" w:rsidRPr="0072476B">
        <w:t xml:space="preserve">iele Gesuche </w:t>
      </w:r>
      <w:r w:rsidRPr="0072476B">
        <w:t xml:space="preserve">werden </w:t>
      </w:r>
      <w:r w:rsidR="00980B9F" w:rsidRPr="0072476B">
        <w:t xml:space="preserve">erst kurz vor dem </w:t>
      </w:r>
      <w:r w:rsidR="00926148" w:rsidRPr="00926148">
        <w:t>Qualifikationsverfahren</w:t>
      </w:r>
      <w:r w:rsidR="00980B9F" w:rsidRPr="0072476B">
        <w:t xml:space="preserve"> eingereicht</w:t>
      </w:r>
      <w:r>
        <w:t>. Dies</w:t>
      </w:r>
      <w:r w:rsidR="00980B9F" w:rsidRPr="0072476B">
        <w:t xml:space="preserve"> könnte daran liegen, dass die Lernenden</w:t>
      </w:r>
      <w:r w:rsidR="00677C06">
        <w:t xml:space="preserve"> beim</w:t>
      </w:r>
      <w:r w:rsidR="00980B9F" w:rsidRPr="0072476B">
        <w:t xml:space="preserve"> </w:t>
      </w:r>
      <w:r w:rsidR="00677C06" w:rsidRPr="00EA5B0D">
        <w:t>Qualifikationsverfahren</w:t>
      </w:r>
      <w:r w:rsidR="00677C06" w:rsidRPr="0072476B">
        <w:t xml:space="preserve"> </w:t>
      </w:r>
      <w:r w:rsidR="00677C06">
        <w:t xml:space="preserve">vom </w:t>
      </w:r>
      <w:r w:rsidR="00980B9F" w:rsidRPr="0072476B">
        <w:t>N</w:t>
      </w:r>
      <w:r w:rsidR="00202713">
        <w:t>achteilsausgleich</w:t>
      </w:r>
      <w:r w:rsidR="00980B9F" w:rsidRPr="0072476B">
        <w:t xml:space="preserve"> </w:t>
      </w:r>
      <w:r w:rsidR="00677C06">
        <w:t>profitieren</w:t>
      </w:r>
      <w:r w:rsidR="00980B9F" w:rsidRPr="0072476B">
        <w:t xml:space="preserve"> möchten oder dass </w:t>
      </w:r>
      <w:r w:rsidR="00EE4155">
        <w:t xml:space="preserve">die Berufsbildungsverantwortlichen </w:t>
      </w:r>
      <w:r w:rsidR="00980B9F" w:rsidRPr="0072476B">
        <w:t>de</w:t>
      </w:r>
      <w:r w:rsidR="00EE4155">
        <w:t>n</w:t>
      </w:r>
      <w:r w:rsidR="00980B9F" w:rsidRPr="0072476B">
        <w:t xml:space="preserve"> N</w:t>
      </w:r>
      <w:r w:rsidR="00202713">
        <w:t>achteilsausgleich</w:t>
      </w:r>
      <w:r w:rsidR="00980B9F" w:rsidRPr="0072476B">
        <w:t xml:space="preserve"> erst kurz vor dem </w:t>
      </w:r>
      <w:r w:rsidR="00202713" w:rsidRPr="00202713">
        <w:t>Qualifikationsverfahren</w:t>
      </w:r>
      <w:r w:rsidR="00980B9F" w:rsidRPr="0072476B">
        <w:t xml:space="preserve"> </w:t>
      </w:r>
      <w:r w:rsidR="00EE4155" w:rsidRPr="008814B7">
        <w:t>thematisieren</w:t>
      </w:r>
      <w:r w:rsidR="00980B9F" w:rsidRPr="0072476B">
        <w:t>. Wichtig erscheint hier, dass der N</w:t>
      </w:r>
      <w:r w:rsidR="00202713">
        <w:t>achteilsausgleich</w:t>
      </w:r>
      <w:r w:rsidR="00980B9F" w:rsidRPr="0072476B">
        <w:t xml:space="preserve"> bereits während der Lehre</w:t>
      </w:r>
      <w:r w:rsidR="008814B7">
        <w:t xml:space="preserve"> angesprochen</w:t>
      </w:r>
      <w:r w:rsidR="00980B9F" w:rsidRPr="0072476B">
        <w:t xml:space="preserve"> wird.</w:t>
      </w:r>
    </w:p>
    <w:p w14:paraId="507ED87A" w14:textId="37F14796" w:rsidR="0072476B" w:rsidRDefault="00980B9F" w:rsidP="00327D86">
      <w:pPr>
        <w:pStyle w:val="Textkrper"/>
      </w:pPr>
      <w:r w:rsidRPr="0072476B">
        <w:t>Die Umsetzung der verfügten Massnahmen wird zum Teil als schwierig beschrieben, was auf fehlende Ressourcen (z.</w:t>
      </w:r>
      <w:r w:rsidR="00C235E3">
        <w:t> </w:t>
      </w:r>
      <w:r w:rsidRPr="0072476B">
        <w:t xml:space="preserve">B. räumlich, zeitlich, </w:t>
      </w:r>
      <w:r w:rsidRPr="00327D86">
        <w:t>personell</w:t>
      </w:r>
      <w:r w:rsidRPr="0072476B">
        <w:t>) zurückgeführt wird. Die Bedenken könnten auch auf Standardlösungen in den angeordneten Massnahmen hinweisen (</w:t>
      </w:r>
      <w:r w:rsidR="00DC1533" w:rsidRPr="0072476B">
        <w:t>Schellenberg et al., 2017</w:t>
      </w:r>
      <w:r w:rsidR="00DC1533">
        <w:t xml:space="preserve">; </w:t>
      </w:r>
      <w:r w:rsidRPr="0072476B">
        <w:t xml:space="preserve">Wüthrich et al., 2024). Im </w:t>
      </w:r>
      <w:proofErr w:type="spellStart"/>
      <w:r w:rsidRPr="0072476B">
        <w:t>üK</w:t>
      </w:r>
      <w:proofErr w:type="spellEnd"/>
      <w:r w:rsidRPr="0072476B">
        <w:t xml:space="preserve"> zeigen sich im Vergleich zu den anderen Lernorten Grenzen in der Umsetzbarkeit </w:t>
      </w:r>
      <w:r w:rsidR="00105C81">
        <w:t>des Nachteilsausgleichs</w:t>
      </w:r>
      <w:r w:rsidRPr="0072476B">
        <w:t xml:space="preserve">. Dies ist insofern überraschend, als in den Interviews betont wurde, dass </w:t>
      </w:r>
      <w:r w:rsidR="00247421" w:rsidRPr="0072476B">
        <w:t>der N</w:t>
      </w:r>
      <w:r w:rsidR="00247421">
        <w:t>achteilsausgleich</w:t>
      </w:r>
      <w:r w:rsidR="00247421" w:rsidRPr="0072476B">
        <w:t xml:space="preserve"> </w:t>
      </w:r>
      <w:r w:rsidRPr="0072476B">
        <w:t xml:space="preserve">durch die separate Planung im </w:t>
      </w:r>
      <w:proofErr w:type="spellStart"/>
      <w:r w:rsidRPr="0072476B">
        <w:t>üK</w:t>
      </w:r>
      <w:proofErr w:type="spellEnd"/>
      <w:r w:rsidRPr="0072476B">
        <w:t xml:space="preserve"> besser umgesetzt werden kann. Möglicherweise liegt der Unterschied darin, dass externe Personen am </w:t>
      </w:r>
      <w:r w:rsidR="00247421" w:rsidRPr="00247421">
        <w:t>Qualifikationsverfahren</w:t>
      </w:r>
      <w:r w:rsidRPr="0072476B">
        <w:t xml:space="preserve"> beteiligt sind, was die Umsetzung erschweren kann. Es könnte hilfreich sein, wenn die </w:t>
      </w:r>
      <w:proofErr w:type="spellStart"/>
      <w:r w:rsidRPr="0072476B">
        <w:t>üK</w:t>
      </w:r>
      <w:proofErr w:type="spellEnd"/>
      <w:r w:rsidRPr="0072476B">
        <w:t xml:space="preserve">-Zentren ihre Zuständigkeiten für die Umsetzung der Massnahmen klar </w:t>
      </w:r>
      <w:proofErr w:type="spellStart"/>
      <w:r w:rsidRPr="0072476B">
        <w:t>regeln</w:t>
      </w:r>
      <w:proofErr w:type="spellEnd"/>
      <w:r w:rsidRPr="0072476B">
        <w:t xml:space="preserve"> und </w:t>
      </w:r>
      <w:r w:rsidRPr="00002845">
        <w:rPr>
          <w:i/>
          <w:iCs/>
        </w:rPr>
        <w:t>Best-Practice-</w:t>
      </w:r>
      <w:r w:rsidRPr="0072476B">
        <w:t>Ansätze untereinander austauschen.</w:t>
      </w:r>
    </w:p>
    <w:p w14:paraId="7A0FA17D" w14:textId="00E7D74E" w:rsidR="003F38B8" w:rsidRDefault="000940BF" w:rsidP="003F38B8">
      <w:pPr>
        <w:pStyle w:val="Textkrper"/>
      </w:pPr>
      <w:r>
        <w:t>F</w:t>
      </w:r>
      <w:r w:rsidR="00980B9F" w:rsidRPr="0072476B">
        <w:t xml:space="preserve">rühere Studien </w:t>
      </w:r>
      <w:r>
        <w:t>thematisieren</w:t>
      </w:r>
      <w:r w:rsidRPr="0072476B">
        <w:t xml:space="preserve"> </w:t>
      </w:r>
      <w:r w:rsidR="00980B9F" w:rsidRPr="0072476B">
        <w:t xml:space="preserve">kantonale Unterschiede in der Umsetzung </w:t>
      </w:r>
      <w:r w:rsidR="00082A1C">
        <w:t>des Nachteilsausgleichs</w:t>
      </w:r>
      <w:r w:rsidR="00980B9F" w:rsidRPr="0072476B">
        <w:t xml:space="preserve"> (z.</w:t>
      </w:r>
      <w:r w:rsidR="00082A1C">
        <w:t> </w:t>
      </w:r>
      <w:r w:rsidR="00980B9F" w:rsidRPr="0072476B">
        <w:t>B. Schellenberg et al., 2017</w:t>
      </w:r>
      <w:r w:rsidR="00D8436F">
        <w:t>; Schellenberg et al., 2021</w:t>
      </w:r>
      <w:r w:rsidR="00980B9F" w:rsidRPr="0072476B">
        <w:t>)</w:t>
      </w:r>
      <w:r w:rsidR="00082A1C">
        <w:t xml:space="preserve">. Diese </w:t>
      </w:r>
      <w:r>
        <w:t xml:space="preserve">Unterschiede </w:t>
      </w:r>
      <w:r w:rsidR="00082A1C">
        <w:t xml:space="preserve">zeigen </w:t>
      </w:r>
      <w:r w:rsidR="00980B9F" w:rsidRPr="0072476B">
        <w:t xml:space="preserve">sich auch in </w:t>
      </w:r>
      <w:r w:rsidR="00082A1C">
        <w:t>unserer</w:t>
      </w:r>
      <w:r w:rsidR="00980B9F" w:rsidRPr="0072476B">
        <w:t xml:space="preserve"> Studie,</w:t>
      </w:r>
      <w:r w:rsidR="00082A1C">
        <w:t xml:space="preserve"> haben</w:t>
      </w:r>
      <w:r w:rsidR="00980B9F" w:rsidRPr="0072476B">
        <w:t xml:space="preserve"> jedoch keinen Einfluss auf die </w:t>
      </w:r>
      <w:r w:rsidR="00E86D2E">
        <w:t xml:space="preserve">jeweilige </w:t>
      </w:r>
      <w:r w:rsidR="00980B9F" w:rsidRPr="0072476B">
        <w:t xml:space="preserve">Zufriedenheit </w:t>
      </w:r>
      <w:r w:rsidR="00E86D2E">
        <w:t>in</w:t>
      </w:r>
      <w:r w:rsidR="00980B9F" w:rsidRPr="0072476B">
        <w:t xml:space="preserve"> den Kantonen. </w:t>
      </w:r>
      <w:r w:rsidR="003F38B8">
        <w:t>Wichtig erscheint ein</w:t>
      </w:r>
      <w:r w:rsidR="005A6918">
        <w:t>e</w:t>
      </w:r>
      <w:r w:rsidR="003F38B8">
        <w:t xml:space="preserve"> niederschwellige</w:t>
      </w:r>
      <w:r w:rsidR="005A6918">
        <w:t xml:space="preserve"> Kommunikation</w:t>
      </w:r>
      <w:r w:rsidR="003F38B8">
        <w:t xml:space="preserve"> zwischen dem k</w:t>
      </w:r>
      <w:r w:rsidR="005A6918">
        <w:t xml:space="preserve">antonalen Berufsbildungsamt </w:t>
      </w:r>
      <w:r w:rsidR="003F38B8">
        <w:t>und den Lernorten.</w:t>
      </w:r>
    </w:p>
    <w:p w14:paraId="7C7F13CD" w14:textId="3E49F4CB" w:rsidR="00A63037" w:rsidRDefault="00A63037" w:rsidP="00A63037">
      <w:pPr>
        <w:pStyle w:val="Textkrper"/>
      </w:pPr>
      <w:r w:rsidRPr="006C1699">
        <w:rPr>
          <w:rFonts w:ascii="Open Sans SemiCondensed SemiCon" w:hAnsi="Open Sans SemiCondensed SemiCon"/>
          <w:noProof/>
        </w:rPr>
        <mc:AlternateContent>
          <mc:Choice Requires="wps">
            <w:drawing>
              <wp:anchor distT="45720" distB="45720" distL="46990" distR="46990" simplePos="0" relativeHeight="251662336" behindDoc="0" locked="0" layoutInCell="1" allowOverlap="0" wp14:anchorId="75E57100" wp14:editId="43CBA611">
                <wp:simplePos x="0" y="0"/>
                <wp:positionH relativeFrom="page">
                  <wp:align>left</wp:align>
                </wp:positionH>
                <wp:positionV relativeFrom="paragraph">
                  <wp:posOffset>861157</wp:posOffset>
                </wp:positionV>
                <wp:extent cx="5339715" cy="492760"/>
                <wp:effectExtent l="0" t="0" r="0" b="2540"/>
                <wp:wrapTopAndBottom/>
                <wp:docPr id="1216632403" name="Textfeld 1216632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492760"/>
                        </a:xfrm>
                        <a:prstGeom prst="rect">
                          <a:avLst/>
                        </a:prstGeom>
                        <a:noFill/>
                        <a:ln w="9525">
                          <a:noFill/>
                          <a:miter lim="800000"/>
                          <a:headEnd/>
                          <a:tailEnd/>
                        </a:ln>
                      </wps:spPr>
                      <wps:txbx>
                        <w:txbxContent>
                          <w:p w14:paraId="3227AB24" w14:textId="490A5107" w:rsidR="00A63037" w:rsidRPr="00A63037" w:rsidRDefault="00A63037" w:rsidP="00A63037">
                            <w:pPr>
                              <w:pStyle w:val="Hervorhebung1"/>
                              <w:rPr>
                                <w:lang w:val="de-DE"/>
                              </w:rPr>
                            </w:pPr>
                            <w:r>
                              <w:rPr>
                                <w:lang w:val="de-DE"/>
                              </w:rPr>
                              <w:t>Die Lern</w:t>
                            </w:r>
                            <w:r w:rsidR="008C75DE">
                              <w:rPr>
                                <w:lang w:val="de-DE"/>
                              </w:rPr>
                              <w:t>enden spielen bei der Umsetzung des Nachteilsausgleichs eine Schlüsselrolle und müssen Verantwortung für ihr Handeln übernehmen.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57100" id="Textfeld 1216632403" o:spid="_x0000_s1028" type="#_x0000_t202" alt="&quot;&quot;" style="position:absolute;left:0;text-align:left;margin-left:0;margin-top:67.8pt;width:420.45pt;height:38.8pt;z-index:251662336;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" o:allowoverlap="f" filled="f" stroked="f">
                <v:textbox inset="29mm,,2.5mm">
                  <w:txbxContent>
                    <w:p w14:paraId="3227AB24" w14:textId="490A5107" w:rsidR="00A63037" w:rsidRPr="00A63037" w:rsidRDefault="00A63037" w:rsidP="00A63037">
                      <w:pPr>
                        <w:pStyle w:val="Hervorhebung1"/>
                        <w:rPr>
                          <w:lang w:val="de-DE"/>
                        </w:rPr>
                      </w:pPr>
                      <w:r>
                        <w:rPr>
                          <w:lang w:val="de-DE"/>
                        </w:rPr>
                        <w:t>Die Lern</w:t>
                      </w:r>
                      <w:r w:rsidR="008C75DE">
                        <w:rPr>
                          <w:lang w:val="de-DE"/>
                        </w:rPr>
                        <w:t>enden spielen bei der Umsetzung des Nachteilsausgleichs eine Schlüsselrolle und müssen Verantwortung für ihr Handeln übernehmen.</w:t>
                      </w:r>
                    </w:p>
                  </w:txbxContent>
                </v:textbox>
                <w10:wrap type="topAndBottom" anchorx="page"/>
              </v:shape>
            </w:pict>
          </mc:Fallback>
        </mc:AlternateContent>
      </w:r>
      <w:r w:rsidR="002A2DA9">
        <w:t>Es hat sich ge</w:t>
      </w:r>
      <w:r w:rsidR="00980B9F" w:rsidRPr="0072476B">
        <w:t xml:space="preserve">zeigt, dass die Lernenden </w:t>
      </w:r>
      <w:r w:rsidR="00511EA0">
        <w:t xml:space="preserve">selbst </w:t>
      </w:r>
      <w:r w:rsidR="00980B9F" w:rsidRPr="0072476B">
        <w:t>bei der Umsetzung de</w:t>
      </w:r>
      <w:r w:rsidR="002A2DA9">
        <w:t>s</w:t>
      </w:r>
      <w:r w:rsidR="00980B9F" w:rsidRPr="0072476B">
        <w:t xml:space="preserve"> N</w:t>
      </w:r>
      <w:r w:rsidR="002A2DA9">
        <w:t>achteilsausgleichs</w:t>
      </w:r>
      <w:r w:rsidR="00980B9F" w:rsidRPr="0072476B">
        <w:t xml:space="preserve"> eine Schlüsselrolle spielen</w:t>
      </w:r>
      <w:r w:rsidR="002A2DA9">
        <w:t>. G</w:t>
      </w:r>
      <w:r w:rsidR="00980B9F" w:rsidRPr="0072476B">
        <w:t xml:space="preserve">emäss den befragten Berufsbildungsverantwortlichen </w:t>
      </w:r>
      <w:r w:rsidR="002A2DA9" w:rsidRPr="0072476B">
        <w:t>müssen</w:t>
      </w:r>
      <w:r w:rsidR="00E717D0">
        <w:t xml:space="preserve"> die Lernenden</w:t>
      </w:r>
      <w:r w:rsidR="002A2DA9" w:rsidRPr="0072476B">
        <w:t xml:space="preserve"> </w:t>
      </w:r>
      <w:r w:rsidR="00980B9F" w:rsidRPr="0072476B">
        <w:t>Verantwortung für ihr Handeln übernehmen. Ob dies zielführend ist, kann vor dem Hintergrund der in den Interviews beschriebenen Stigmatisierung kritisch betrachtet werden.</w:t>
      </w:r>
    </w:p>
    <w:p w14:paraId="04F7FB09" w14:textId="5BB9A82A" w:rsidR="00CE1D93" w:rsidRDefault="00980B9F" w:rsidP="00327D86">
      <w:pPr>
        <w:pStyle w:val="Textkrper"/>
        <w:ind w:firstLine="0"/>
      </w:pPr>
      <w:r w:rsidRPr="0072476B">
        <w:t xml:space="preserve">Das </w:t>
      </w:r>
      <w:r w:rsidR="00E673EE">
        <w:t xml:space="preserve">im </w:t>
      </w:r>
      <w:r w:rsidR="00E673EE" w:rsidRPr="0072476B">
        <w:t>September 2023</w:t>
      </w:r>
      <w:r w:rsidR="00E673EE">
        <w:t xml:space="preserve"> </w:t>
      </w:r>
      <w:r w:rsidRPr="0072476B">
        <w:t>neu</w:t>
      </w:r>
      <w:r w:rsidR="00E673EE">
        <w:t xml:space="preserve"> eingeführt</w:t>
      </w:r>
      <w:r w:rsidRPr="0072476B">
        <w:t xml:space="preserve">e Datenschutzgesetz </w:t>
      </w:r>
      <w:r w:rsidR="0084030D">
        <w:t xml:space="preserve">bringt </w:t>
      </w:r>
      <w:r w:rsidRPr="0072476B">
        <w:t>eine zusätzliche Herausforderung</w:t>
      </w:r>
      <w:r w:rsidR="00A60980">
        <w:t xml:space="preserve"> </w:t>
      </w:r>
      <w:r w:rsidR="0084030D">
        <w:t>mit sich</w:t>
      </w:r>
      <w:r w:rsidR="00EB62CB">
        <w:t>. Bislang waren</w:t>
      </w:r>
      <w:r w:rsidR="003054BF">
        <w:t xml:space="preserve"> </w:t>
      </w:r>
      <w:r w:rsidRPr="0072476B">
        <w:t xml:space="preserve">den </w:t>
      </w:r>
      <w:r w:rsidR="008B312D" w:rsidRPr="008B312D">
        <w:t xml:space="preserve">involvierten Berufsbildungsverantwortlichen </w:t>
      </w:r>
      <w:r w:rsidR="008B312D">
        <w:t xml:space="preserve">der verschiedenen </w:t>
      </w:r>
      <w:r w:rsidRPr="0072476B">
        <w:t>Lernorte die individuellen Diagnosen bekannt. Neu sind nur noch die angeordneten Massnahmen bekannt, was zu einem Wissensverlust führt. Eine mögliche Lösung, den Wissensverlust bezüglich Diagnosen trotz Datenschutzbestimmungen zu minimieren, wäre ein freiwilliges, aber strukturiertes Einwilligungsmodell</w:t>
      </w:r>
      <w:r w:rsidR="00282A45">
        <w:t>.</w:t>
      </w:r>
      <w:r w:rsidRPr="0072476B">
        <w:t xml:space="preserve"> </w:t>
      </w:r>
      <w:r w:rsidR="00282A45">
        <w:t>B</w:t>
      </w:r>
      <w:r w:rsidRPr="0072476B">
        <w:t>ei d</w:t>
      </w:r>
      <w:r w:rsidR="00282A45">
        <w:t>ies</w:t>
      </w:r>
      <w:r w:rsidRPr="0072476B">
        <w:t xml:space="preserve">em </w:t>
      </w:r>
      <w:r w:rsidR="00282A45">
        <w:t xml:space="preserve">entscheiden </w:t>
      </w:r>
      <w:r w:rsidRPr="0072476B">
        <w:t xml:space="preserve">die Lernenden (und die Erziehungsberechtigten) selbst, ob und welche Informationen sie den verschiedenen Lernorten zur Verfügung stellen möchten. </w:t>
      </w:r>
    </w:p>
    <w:p w14:paraId="282D3FA6" w14:textId="6E415B68" w:rsidR="006C1699" w:rsidRDefault="00980B9F" w:rsidP="006C1699">
      <w:pPr>
        <w:pStyle w:val="Textkrper"/>
      </w:pPr>
      <w:r w:rsidRPr="0072476B">
        <w:t xml:space="preserve">Was in der Studie nicht untersucht wurde, war die Unterstützung durch digitale Technologien. Digitale Hilfsmittel als </w:t>
      </w:r>
      <w:proofErr w:type="spellStart"/>
      <w:r w:rsidRPr="0072476B">
        <w:t>assistive</w:t>
      </w:r>
      <w:proofErr w:type="spellEnd"/>
      <w:r w:rsidRPr="0072476B">
        <w:t xml:space="preserve"> Technologien wurden von den Befragten nicht thematisiert, könnten aber eine Möglichkeit </w:t>
      </w:r>
      <w:r w:rsidR="0077019D">
        <w:t xml:space="preserve">sein, um </w:t>
      </w:r>
      <w:r w:rsidRPr="0072476B">
        <w:t xml:space="preserve">Teilhabe </w:t>
      </w:r>
      <w:r w:rsidR="0077019D">
        <w:t>zu erhöhen</w:t>
      </w:r>
      <w:r w:rsidRPr="0072476B">
        <w:t xml:space="preserve"> (Wüthrich, 2025).</w:t>
      </w:r>
    </w:p>
    <w:p w14:paraId="67F642F5" w14:textId="545A52F4" w:rsidR="00980B9F" w:rsidRDefault="00980B9F" w:rsidP="00EA5B0D">
      <w:pPr>
        <w:pStyle w:val="Textkrper"/>
      </w:pPr>
      <w:r w:rsidRPr="0072476B">
        <w:t xml:space="preserve">Ein weiteres Ziel der Studie war </w:t>
      </w:r>
      <w:r w:rsidR="00D13C6E" w:rsidRPr="00D13C6E">
        <w:t>es, die Kooperation zwischen den Lernorten zu evaluieren.</w:t>
      </w:r>
      <w:r w:rsidR="00D13C6E">
        <w:t xml:space="preserve"> </w:t>
      </w:r>
      <w:r w:rsidRPr="0072476B">
        <w:t xml:space="preserve">Die Ergebnisse zeigen, dass </w:t>
      </w:r>
      <w:r w:rsidR="003B0E9C">
        <w:t xml:space="preserve">das kantonale </w:t>
      </w:r>
      <w:r w:rsidR="003B0E9C" w:rsidRPr="00EA5B0D">
        <w:t>Berufsbildungsamt</w:t>
      </w:r>
      <w:r w:rsidRPr="0072476B">
        <w:t xml:space="preserve"> und die beschlossenen Massnahmen an allen Lernorten akzeptiert werden. Die Notwendigkeit der </w:t>
      </w:r>
      <w:r w:rsidR="0099606C">
        <w:t xml:space="preserve">Kooperation zwischen </w:t>
      </w:r>
      <w:r w:rsidRPr="0072476B">
        <w:t>Lernort</w:t>
      </w:r>
      <w:r w:rsidR="0099606C">
        <w:t>en</w:t>
      </w:r>
      <w:r w:rsidRPr="0072476B">
        <w:t xml:space="preserve"> und </w:t>
      </w:r>
      <w:r w:rsidR="0099606C">
        <w:t>kantonalem Berufsbildungsamt</w:t>
      </w:r>
      <w:r w:rsidRPr="0072476B">
        <w:t xml:space="preserve"> wird einhellig bejaht. In den </w:t>
      </w:r>
      <w:r w:rsidRPr="0072476B">
        <w:lastRenderedPageBreak/>
        <w:t xml:space="preserve">Interviews wurden mögliche Kooperationsansätze aufgezeigt, wie die Präsenz der Betriebe bei schulischen Veranstaltungen oder der sporadische telefonische Austausch zwischen den Lernorten. Sinnvoll erscheint es, die </w:t>
      </w:r>
      <w:r w:rsidR="00F803C8">
        <w:t xml:space="preserve">Zusammenarbeit </w:t>
      </w:r>
      <w:r w:rsidRPr="0072476B">
        <w:t xml:space="preserve">als </w:t>
      </w:r>
      <w:r w:rsidR="007C60FA">
        <w:rPr>
          <w:rFonts w:cs="Open Sans SemiCondensed"/>
        </w:rPr>
        <w:t>‹</w:t>
      </w:r>
      <w:r w:rsidRPr="0072476B">
        <w:t>Lernortkooperation plus</w:t>
      </w:r>
      <w:r w:rsidR="007C60FA">
        <w:rPr>
          <w:rFonts w:cs="Open Sans SemiCondensed"/>
        </w:rPr>
        <w:t>›</w:t>
      </w:r>
      <w:r w:rsidRPr="0072476B">
        <w:t xml:space="preserve"> zu denken, bei der auch die </w:t>
      </w:r>
      <w:r w:rsidR="00F803C8">
        <w:t>kantonalen Berufsbildungsämter</w:t>
      </w:r>
      <w:r w:rsidRPr="0072476B">
        <w:t xml:space="preserve"> einbezogen w</w:t>
      </w:r>
      <w:r w:rsidR="00F803C8">
        <w:t>e</w:t>
      </w:r>
      <w:r w:rsidRPr="0072476B">
        <w:t>rd</w:t>
      </w:r>
      <w:r w:rsidR="00F803C8">
        <w:t>en</w:t>
      </w:r>
      <w:r w:rsidRPr="0072476B">
        <w:t xml:space="preserve">. Auf der </w:t>
      </w:r>
      <w:hyperlink r:id="rId17" w:history="1">
        <w:r w:rsidRPr="0072476B">
          <w:rPr>
            <w:rStyle w:val="Hyperlink"/>
            <w:bCs w:val="0"/>
            <w:iCs w:val="0"/>
            <w:color w:val="auto"/>
          </w:rPr>
          <w:t>Projektwebsite</w:t>
        </w:r>
      </w:hyperlink>
      <w:r w:rsidRPr="0072476B">
        <w:t xml:space="preserve"> sind </w:t>
      </w:r>
      <w:r w:rsidRPr="00D13C6E">
        <w:rPr>
          <w:i/>
          <w:iCs/>
        </w:rPr>
        <w:t>Best-Practice-</w:t>
      </w:r>
      <w:r w:rsidRPr="0072476B">
        <w:t xml:space="preserve">Beispiele für Lernorte digital abrufbar.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2476B" w:rsidRPr="0072476B" w14:paraId="5F493D6D" w14:textId="77777777" w:rsidTr="00914CBA">
        <w:tc>
          <w:tcPr>
            <w:tcW w:w="1667" w:type="pct"/>
            <w:vAlign w:val="center"/>
          </w:tcPr>
          <w:p w14:paraId="3D6F31D5" w14:textId="77777777" w:rsidR="0072476B" w:rsidRPr="0072476B" w:rsidRDefault="0072476B" w:rsidP="00A472EC">
            <w:pPr>
              <w:spacing w:before="60" w:after="60"/>
              <w:jc w:val="both"/>
              <w:rPr>
                <w:lang w:val="fr-CH"/>
              </w:rPr>
            </w:pPr>
            <w:r w:rsidRPr="0072476B">
              <w:rPr>
                <w:noProof/>
                <w:lang w:val="fr-CH"/>
              </w:rPr>
              <w:drawing>
                <wp:inline distT="0" distB="0" distL="0" distR="0" wp14:anchorId="136F0BD9" wp14:editId="12772911">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6DD786E7" w14:textId="1B4F3AF7" w:rsidR="0072476B" w:rsidRPr="0072476B" w:rsidRDefault="00F44BCB" w:rsidP="00A472EC">
            <w:pPr>
              <w:spacing w:before="60" w:after="60"/>
              <w:jc w:val="both"/>
              <w:rPr>
                <w:noProof/>
                <w:lang w:val="fr-CH"/>
              </w:rPr>
            </w:pPr>
            <w:r w:rsidRPr="00153133">
              <w:rPr>
                <w:noProof/>
                <w:lang w:val="fr-CH"/>
              </w:rPr>
              <w:drawing>
                <wp:inline distT="0" distB="0" distL="0" distR="0" wp14:anchorId="4995D784" wp14:editId="473F55CD">
                  <wp:extent cx="982979" cy="1036318"/>
                  <wp:effectExtent l="0" t="0" r="8255"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9"/>
                          <a:stretch>
                            <a:fillRect/>
                          </a:stretch>
                        </pic:blipFill>
                        <pic:spPr>
                          <a:xfrm>
                            <a:off x="0" y="0"/>
                            <a:ext cx="982979" cy="1036318"/>
                          </a:xfrm>
                          <a:prstGeom prst="rect">
                            <a:avLst/>
                          </a:prstGeom>
                        </pic:spPr>
                      </pic:pic>
                    </a:graphicData>
                  </a:graphic>
                </wp:inline>
              </w:drawing>
            </w:r>
          </w:p>
        </w:tc>
        <w:tc>
          <w:tcPr>
            <w:tcW w:w="1667" w:type="pct"/>
            <w:vAlign w:val="center"/>
          </w:tcPr>
          <w:p w14:paraId="005F338C" w14:textId="77777777" w:rsidR="0072476B" w:rsidRPr="0072476B" w:rsidRDefault="0072476B" w:rsidP="00A472EC">
            <w:pPr>
              <w:spacing w:before="60" w:after="60"/>
              <w:jc w:val="both"/>
              <w:rPr>
                <w:noProof/>
                <w:lang w:val="fr-CH"/>
              </w:rPr>
            </w:pPr>
            <w:r w:rsidRPr="0072476B">
              <w:rPr>
                <w:noProof/>
                <w:lang w:val="fr-CH"/>
              </w:rPr>
              <w:drawing>
                <wp:inline distT="0" distB="0" distL="0" distR="0" wp14:anchorId="7A54A479" wp14:editId="2E0860D2">
                  <wp:extent cx="1036320"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2476B" w:rsidRPr="0072476B" w14:paraId="66FD0328" w14:textId="77777777" w:rsidTr="00914CBA">
        <w:trPr>
          <w:trHeight w:val="960"/>
        </w:trPr>
        <w:tc>
          <w:tcPr>
            <w:tcW w:w="1667" w:type="pct"/>
          </w:tcPr>
          <w:p w14:paraId="14137A0B" w14:textId="1DDD1C52" w:rsidR="0072476B" w:rsidRDefault="0072476B" w:rsidP="0072476B">
            <w:r>
              <w:t>Dr. phil. René Wüthrich</w:t>
            </w:r>
          </w:p>
          <w:p w14:paraId="4A3DB30A" w14:textId="77777777" w:rsidR="0072476B" w:rsidRDefault="0072476B" w:rsidP="0072476B">
            <w:r>
              <w:t>Dozent Lehre</w:t>
            </w:r>
          </w:p>
          <w:p w14:paraId="3C0A6591" w14:textId="77777777" w:rsidR="0072476B" w:rsidRDefault="0072476B" w:rsidP="0072476B">
            <w:r>
              <w:t>EHB Zollikofen</w:t>
            </w:r>
          </w:p>
          <w:p w14:paraId="48823359" w14:textId="08A36B02" w:rsidR="0072476B" w:rsidRPr="0072476B" w:rsidRDefault="0072476B" w:rsidP="0072476B">
            <w:hyperlink r:id="rId21" w:history="1">
              <w:r w:rsidRPr="00A46B66">
                <w:rPr>
                  <w:rStyle w:val="Hyperlink"/>
                </w:rPr>
                <w:t>rene.wuethrich@ehb.swiss</w:t>
              </w:r>
            </w:hyperlink>
          </w:p>
        </w:tc>
        <w:tc>
          <w:tcPr>
            <w:tcW w:w="1667" w:type="pct"/>
          </w:tcPr>
          <w:p w14:paraId="4ED596B0" w14:textId="0E14EF86" w:rsidR="0072476B" w:rsidRDefault="0072476B" w:rsidP="0072476B">
            <w:r>
              <w:t xml:space="preserve">Dr. phil. Katja </w:t>
            </w:r>
            <w:proofErr w:type="spellStart"/>
            <w:r>
              <w:t>Margelisch</w:t>
            </w:r>
            <w:proofErr w:type="spellEnd"/>
          </w:p>
          <w:p w14:paraId="7302CEC7" w14:textId="77777777" w:rsidR="0072476B" w:rsidRDefault="0072476B" w:rsidP="0072476B">
            <w:r>
              <w:t>Dozentin Lehre</w:t>
            </w:r>
          </w:p>
          <w:p w14:paraId="4DC39743" w14:textId="77777777" w:rsidR="0072476B" w:rsidRDefault="0072476B" w:rsidP="0072476B">
            <w:r>
              <w:t>EHB Zollikofen</w:t>
            </w:r>
          </w:p>
          <w:p w14:paraId="185FB52D" w14:textId="1610EC45" w:rsidR="0072476B" w:rsidRPr="0072476B" w:rsidRDefault="0072476B" w:rsidP="00370E3E">
            <w:hyperlink r:id="rId22" w:history="1">
              <w:r w:rsidRPr="00A46B66">
                <w:rPr>
                  <w:rStyle w:val="Hyperlink"/>
                </w:rPr>
                <w:t>katja.margelisch@ehb.swiss</w:t>
              </w:r>
            </w:hyperlink>
          </w:p>
        </w:tc>
        <w:tc>
          <w:tcPr>
            <w:tcW w:w="1667" w:type="pct"/>
          </w:tcPr>
          <w:p w14:paraId="7335445D" w14:textId="77777777" w:rsidR="0072476B" w:rsidRDefault="0072476B" w:rsidP="0072476B">
            <w:r>
              <w:t xml:space="preserve">Anne </w:t>
            </w:r>
            <w:proofErr w:type="spellStart"/>
            <w:r>
              <w:t>Trojanek</w:t>
            </w:r>
            <w:proofErr w:type="spellEnd"/>
          </w:p>
          <w:p w14:paraId="5D8C9021" w14:textId="77777777" w:rsidR="0072476B" w:rsidRDefault="0072476B" w:rsidP="0072476B">
            <w:r>
              <w:t>Wissenschaftliche Mitarbeiterin</w:t>
            </w:r>
          </w:p>
          <w:p w14:paraId="74823500" w14:textId="77777777" w:rsidR="0072476B" w:rsidRDefault="0072476B" w:rsidP="0072476B">
            <w:r>
              <w:t>EHB Zollikofen</w:t>
            </w:r>
          </w:p>
          <w:p w14:paraId="787CCE23" w14:textId="60970D11" w:rsidR="0072476B" w:rsidRPr="0072476B" w:rsidRDefault="0072476B" w:rsidP="0072476B">
            <w:hyperlink r:id="rId23" w:history="1">
              <w:r w:rsidRPr="00A46B66">
                <w:rPr>
                  <w:rStyle w:val="Hyperlink"/>
                </w:rPr>
                <w:t>anne.trojanek@ehb.swiss</w:t>
              </w:r>
            </w:hyperlink>
          </w:p>
        </w:tc>
      </w:tr>
    </w:tbl>
    <w:p w14:paraId="5ADF3E01" w14:textId="627B9C86" w:rsidR="00980B9F" w:rsidRPr="006C5708" w:rsidRDefault="00980B9F" w:rsidP="00370E3E">
      <w:pPr>
        <w:pStyle w:val="berschrift1"/>
        <w:rPr>
          <w:rFonts w:eastAsia="MS Gothic"/>
        </w:rPr>
      </w:pPr>
      <w:r w:rsidRPr="006C5708">
        <w:rPr>
          <w:rFonts w:eastAsia="MS Gothic"/>
        </w:rPr>
        <w:t>Literatur</w:t>
      </w:r>
    </w:p>
    <w:p w14:paraId="6E572F50" w14:textId="007C8F39" w:rsidR="008C4F53" w:rsidRDefault="008C4F53" w:rsidP="008C4F53">
      <w:pPr>
        <w:pStyle w:val="Literaturverzeichnis"/>
      </w:pPr>
      <w:proofErr w:type="spellStart"/>
      <w:r>
        <w:t>Ambord</w:t>
      </w:r>
      <w:proofErr w:type="spellEnd"/>
      <w:r>
        <w:t xml:space="preserve">, S. &amp; Charrière, E. (2022). </w:t>
      </w:r>
      <w:r w:rsidRPr="003E1E67">
        <w:rPr>
          <w:i/>
          <w:iCs/>
        </w:rPr>
        <w:t>Bericht Nachteilsausgleich. Bestandesaufnahme der Umsetzung des Nachteilsausgleichs</w:t>
      </w:r>
      <w:r w:rsidR="00254C7E">
        <w:rPr>
          <w:i/>
          <w:iCs/>
        </w:rPr>
        <w:t xml:space="preserve"> </w:t>
      </w:r>
      <w:r w:rsidRPr="003E1E67">
        <w:rPr>
          <w:i/>
          <w:iCs/>
        </w:rPr>
        <w:t>auf der Sekundarstufe II Allgemeinbildung in den Kantonen.</w:t>
      </w:r>
      <w:r>
        <w:t xml:space="preserve"> Schweizerisches Zentrum für die Mittelschule und für Schulevaluation auf der Sekundarstufe II (ZEM CES). </w:t>
      </w:r>
      <w:hyperlink r:id="rId24" w:history="1">
        <w:r w:rsidR="00024B4C" w:rsidRPr="0024385E">
          <w:rPr>
            <w:rStyle w:val="Hyperlink"/>
          </w:rPr>
          <w:t>https://www.zemces.ch/download/pictures/27/gh9ik1h87usyh1yk11689oioe9pu8i/bericht_nachteilsausgleich_final_d.pdf</w:t>
        </w:r>
      </w:hyperlink>
    </w:p>
    <w:p w14:paraId="415A84B4" w14:textId="753CD748" w:rsidR="00980B9F" w:rsidRDefault="00980B9F" w:rsidP="008C4F53">
      <w:pPr>
        <w:pStyle w:val="Literaturverzeichnis"/>
      </w:pPr>
      <w:r w:rsidRPr="006C5708">
        <w:t>BFS</w:t>
      </w:r>
      <w:r w:rsidR="00F078D3">
        <w:t xml:space="preserve"> (</w:t>
      </w:r>
      <w:r w:rsidRPr="006C5708">
        <w:t>Bundesamt für Statistik</w:t>
      </w:r>
      <w:r w:rsidR="00F078D3">
        <w:t>)</w:t>
      </w:r>
      <w:r w:rsidRPr="006C5708">
        <w:t xml:space="preserve"> (2022). </w:t>
      </w:r>
      <w:r w:rsidRPr="00392134">
        <w:rPr>
          <w:i/>
          <w:iCs/>
        </w:rPr>
        <w:t>Abschlussquote auf der Sekundarstufe II nach Geschlecht, Nationalität und Geburtsort.</w:t>
      </w:r>
      <w:r w:rsidRPr="006C5708">
        <w:t xml:space="preserve"> </w:t>
      </w:r>
      <w:hyperlink r:id="rId25" w:history="1">
        <w:r w:rsidR="00F4056D" w:rsidRPr="0046041E">
          <w:rPr>
            <w:rStyle w:val="Hyperlink"/>
          </w:rPr>
          <w:t>https://www.bfs.admin.ch/bfs/en/home.assetdetail.33026123.html</w:t>
        </w:r>
      </w:hyperlink>
      <w:r w:rsidR="00024B4C">
        <w:t xml:space="preserve"> </w:t>
      </w:r>
      <w:r w:rsidR="00024B4C" w:rsidRPr="00AD2F65">
        <w:t>[</w:t>
      </w:r>
      <w:r w:rsidR="00024B4C">
        <w:t>Zugriff: 11.06.2025].</w:t>
      </w:r>
    </w:p>
    <w:p w14:paraId="240812D9" w14:textId="0F857888" w:rsidR="009C6DAF" w:rsidRPr="00CB64A7" w:rsidRDefault="005B43D8" w:rsidP="005B43D8">
      <w:pPr>
        <w:pStyle w:val="Literaturverzeichnis"/>
        <w:rPr>
          <w:lang w:val="en-US"/>
        </w:rPr>
      </w:pPr>
      <w:r>
        <w:t xml:space="preserve">Bundesgesetz über den Datenschutz (Datenschutzgesetz, DSG) vom 25. </w:t>
      </w:r>
      <w:r w:rsidRPr="009C6DAF">
        <w:rPr>
          <w:lang w:val="en-US"/>
        </w:rPr>
        <w:t>September 2020</w:t>
      </w:r>
      <w:r w:rsidR="008234A5" w:rsidRPr="009C6DAF">
        <w:rPr>
          <w:lang w:val="en-US"/>
        </w:rPr>
        <w:t xml:space="preserve">, </w:t>
      </w:r>
      <w:proofErr w:type="spellStart"/>
      <w:r w:rsidR="008234A5" w:rsidRPr="009C6DAF">
        <w:rPr>
          <w:lang w:val="en-US"/>
        </w:rPr>
        <w:t>BBl</w:t>
      </w:r>
      <w:proofErr w:type="spellEnd"/>
      <w:r w:rsidR="008234A5" w:rsidRPr="009C6DAF">
        <w:rPr>
          <w:lang w:val="en-US"/>
        </w:rPr>
        <w:t xml:space="preserve"> 2020 7639. </w:t>
      </w:r>
      <w:r w:rsidR="009C6DAF">
        <w:fldChar w:fldCharType="begin"/>
      </w:r>
      <w:r w:rsidR="009C6DAF" w:rsidRPr="00A501F4">
        <w:rPr>
          <w:lang w:val="en-US"/>
        </w:rPr>
        <w:instrText>HYPERLINK "https://www.fedlex.admin.ch/eli/fga/2020/1998/de"</w:instrText>
      </w:r>
      <w:r w:rsidR="009C6DAF">
        <w:fldChar w:fldCharType="separate"/>
      </w:r>
      <w:r w:rsidR="009C6DAF" w:rsidRPr="00CB64A7">
        <w:rPr>
          <w:rStyle w:val="Hyperlink"/>
          <w:lang w:val="en-US"/>
        </w:rPr>
        <w:t>https://www.fedlex.admin.ch/eli/fga/2020/1998/de</w:t>
      </w:r>
      <w:r w:rsidR="009C6DAF">
        <w:fldChar w:fldCharType="end"/>
      </w:r>
    </w:p>
    <w:p w14:paraId="0A1A2934" w14:textId="7A808238" w:rsidR="00AE113C" w:rsidRDefault="00AE113C" w:rsidP="00AE113C">
      <w:pPr>
        <w:pStyle w:val="Literaturverzeichnis"/>
      </w:pPr>
      <w:r w:rsidRPr="00CB64A7">
        <w:rPr>
          <w:lang w:val="en-US"/>
        </w:rPr>
        <w:t xml:space="preserve">Bundesrat (2024). </w:t>
      </w:r>
      <w:r w:rsidRPr="00392134">
        <w:rPr>
          <w:i/>
          <w:iCs/>
        </w:rPr>
        <w:t>Zwischenbericht zur Umsetzung der Strategie Nachhaltige Entwicklung 2030.</w:t>
      </w:r>
      <w:r w:rsidRPr="00852959">
        <w:t xml:space="preserve"> </w:t>
      </w:r>
      <w:hyperlink r:id="rId26" w:history="1">
        <w:r w:rsidR="002F0BFB" w:rsidRPr="00A65009">
          <w:rPr>
            <w:rStyle w:val="Hyperlink"/>
          </w:rPr>
          <w:t>https://www.agenda-2030.eda.admin.ch/dam/de/sd-web/cfB15uDpKPPO/zwischenbericht-umsetzung-strategie-nachhaltige-entwicklung-2030_DE.pdf</w:t>
        </w:r>
      </w:hyperlink>
    </w:p>
    <w:p w14:paraId="5262B0C9" w14:textId="6283ABFC" w:rsidR="00671609" w:rsidRPr="00AD2F65" w:rsidRDefault="00980B9F" w:rsidP="00392134">
      <w:pPr>
        <w:pStyle w:val="Literaturverzeichnis"/>
      </w:pPr>
      <w:r w:rsidRPr="006C5708">
        <w:t>EDA</w:t>
      </w:r>
      <w:r w:rsidR="0018072F">
        <w:t> /</w:t>
      </w:r>
      <w:r w:rsidR="00ED5B45">
        <w:t> </w:t>
      </w:r>
      <w:r w:rsidR="0018072F">
        <w:t>UVEK</w:t>
      </w:r>
      <w:r w:rsidR="00963537">
        <w:t xml:space="preserve"> (</w:t>
      </w:r>
      <w:r w:rsidRPr="006C5708">
        <w:t>Eidgenössisches Departement für auswärtige Angelegenheiten</w:t>
      </w:r>
      <w:r w:rsidR="0018072F">
        <w:t> / </w:t>
      </w:r>
      <w:r w:rsidR="0018072F" w:rsidRPr="0018072F">
        <w:t>Eidgenössische</w:t>
      </w:r>
      <w:r w:rsidR="0018072F">
        <w:t>s</w:t>
      </w:r>
      <w:r w:rsidR="0018072F" w:rsidRPr="0018072F">
        <w:t xml:space="preserve"> Departement für Umwelt, Verkehr, Energie und Kommunikation</w:t>
      </w:r>
      <w:r w:rsidR="00963537">
        <w:t>)</w:t>
      </w:r>
      <w:r w:rsidRPr="006C5708">
        <w:t xml:space="preserve"> (2020). </w:t>
      </w:r>
      <w:r w:rsidRPr="00392134">
        <w:rPr>
          <w:i/>
          <w:iCs/>
        </w:rPr>
        <w:t>Ziel 4: Inklusive, gleichberechtigte und hochwertige Bildung gewährleisten und Möglichkeiten lebenslangen Lernens für alle fördern.</w:t>
      </w:r>
      <w:r w:rsidRPr="006C5708">
        <w:t xml:space="preserve"> </w:t>
      </w:r>
      <w:hyperlink r:id="rId27" w:history="1">
        <w:r w:rsidR="00671609" w:rsidRPr="00AD2F65">
          <w:rPr>
            <w:rStyle w:val="Hyperlink"/>
          </w:rPr>
          <w:t>https://www.agenda-2030.eda.admin.ch/de/sdg-4-hochwertige-bildung</w:t>
        </w:r>
      </w:hyperlink>
      <w:r w:rsidR="00AD2F65" w:rsidRPr="00AD2F65">
        <w:t xml:space="preserve"> </w:t>
      </w:r>
      <w:bookmarkStart w:id="4" w:name="_Hlk200525317"/>
      <w:r w:rsidR="00AD2F65" w:rsidRPr="00AD2F65">
        <w:t>[</w:t>
      </w:r>
      <w:r w:rsidR="00AD2F65">
        <w:t>Zugriff: 11.06.2025].</w:t>
      </w:r>
      <w:bookmarkEnd w:id="4"/>
    </w:p>
    <w:p w14:paraId="024809E5" w14:textId="44D02DBC" w:rsidR="00980B9F" w:rsidRPr="00852959" w:rsidRDefault="00980B9F" w:rsidP="00392134">
      <w:pPr>
        <w:pStyle w:val="Literaturverzeichnis"/>
      </w:pPr>
      <w:r w:rsidRPr="00740861">
        <w:t xml:space="preserve">Mayring, P. (2022). </w:t>
      </w:r>
      <w:r w:rsidRPr="00392134">
        <w:rPr>
          <w:i/>
          <w:iCs/>
        </w:rPr>
        <w:t>Qualitative Inhaltsanalyse. Grundlagen und Techniken</w:t>
      </w:r>
      <w:r w:rsidRPr="00852959">
        <w:t xml:space="preserve"> (13. Aufl</w:t>
      </w:r>
      <w:r w:rsidR="00D92A04">
        <w:t>.</w:t>
      </w:r>
      <w:r w:rsidRPr="00852959">
        <w:t>)</w:t>
      </w:r>
      <w:r w:rsidR="0091563D">
        <w:t>.</w:t>
      </w:r>
      <w:r w:rsidRPr="00852959">
        <w:t xml:space="preserve"> Beltz. </w:t>
      </w:r>
    </w:p>
    <w:p w14:paraId="31B71155" w14:textId="4BB04A98" w:rsidR="00D8436F" w:rsidRDefault="00D8436F" w:rsidP="00392134">
      <w:pPr>
        <w:pStyle w:val="Literaturverzeichnis"/>
      </w:pPr>
      <w:r w:rsidRPr="00D8436F">
        <w:t xml:space="preserve">Schellenberg, C., Hofmann, C. &amp; Georgi-Tscherry, P. (2017). Gerechtere Bildungschancen dank Nachteilsausgleich? Ergebnisse eines Forschungsprojektes zur Umsetzung des Nachteilsausgleichs und Laufbahnen auf Sekundarstufe II. </w:t>
      </w:r>
      <w:r w:rsidRPr="00410365">
        <w:rPr>
          <w:i/>
          <w:iCs/>
        </w:rPr>
        <w:t>Schweizerische Zeitschrift für Heilpädagogik, 27</w:t>
      </w:r>
      <w:r w:rsidR="00410365">
        <w:t> </w:t>
      </w:r>
      <w:r w:rsidRPr="00D8436F">
        <w:t>(10), 18–25</w:t>
      </w:r>
      <w:r>
        <w:t>.</w:t>
      </w:r>
    </w:p>
    <w:p w14:paraId="20B03690" w14:textId="032EB3DF" w:rsidR="00980B9F" w:rsidRPr="00852959" w:rsidRDefault="00980B9F" w:rsidP="00392134">
      <w:pPr>
        <w:pStyle w:val="Literaturverzeichnis"/>
      </w:pPr>
      <w:r w:rsidRPr="00852959">
        <w:t xml:space="preserve">Schellenberg, C., Pfiffner, M., Krauss, A., </w:t>
      </w:r>
      <w:r w:rsidR="0086464A">
        <w:t>d</w:t>
      </w:r>
      <w:r w:rsidRPr="00852959">
        <w:t xml:space="preserve">e Martin, M. </w:t>
      </w:r>
      <w:r w:rsidRPr="00AD2F65">
        <w:t xml:space="preserve">&amp; Georgi-Tscherry, P. (2021). </w:t>
      </w:r>
      <w:r w:rsidRPr="006B1900">
        <w:rPr>
          <w:i/>
          <w:iCs/>
        </w:rPr>
        <w:t xml:space="preserve">EIL </w:t>
      </w:r>
      <w:r w:rsidR="00E0175E" w:rsidRPr="006B1900">
        <w:rPr>
          <w:i/>
          <w:iCs/>
        </w:rPr>
        <w:t>–</w:t>
      </w:r>
      <w:r w:rsidRPr="006B1900">
        <w:rPr>
          <w:i/>
          <w:iCs/>
        </w:rPr>
        <w:t xml:space="preserve"> Enhanced Inclusive Learning. </w:t>
      </w:r>
      <w:r w:rsidRPr="00392134">
        <w:rPr>
          <w:i/>
          <w:iCs/>
        </w:rPr>
        <w:t>Nachteilsausgleich und andere unterstützende Massnahmen auf Sekundarstufe II: Schlussbericht.</w:t>
      </w:r>
      <w:r w:rsidRPr="00852959">
        <w:t xml:space="preserve"> Hochschule für Soziale Arbeit Luzern &amp; Interkantonale Hochschule für Heilpädagogik.</w:t>
      </w:r>
    </w:p>
    <w:p w14:paraId="2329F7C7" w14:textId="55263296" w:rsidR="00980B9F" w:rsidRDefault="002C181F" w:rsidP="00392134">
      <w:pPr>
        <w:pStyle w:val="Literaturverzeichnis"/>
      </w:pPr>
      <w:r>
        <w:t>SBBK (</w:t>
      </w:r>
      <w:r w:rsidR="00980B9F" w:rsidRPr="00852959">
        <w:t>Schweizerische Berufsbildungsämter-Konferenz</w:t>
      </w:r>
      <w:r>
        <w:t>)</w:t>
      </w:r>
      <w:r w:rsidR="00980B9F" w:rsidRPr="00852959">
        <w:t xml:space="preserve"> (2023). </w:t>
      </w:r>
      <w:r w:rsidR="00980B9F" w:rsidRPr="00392134">
        <w:rPr>
          <w:i/>
          <w:iCs/>
        </w:rPr>
        <w:t>Empfehlung Nr.</w:t>
      </w:r>
      <w:r w:rsidR="00E12570">
        <w:rPr>
          <w:i/>
          <w:iCs/>
        </w:rPr>
        <w:t> </w:t>
      </w:r>
      <w:r w:rsidR="00980B9F" w:rsidRPr="00392134">
        <w:rPr>
          <w:i/>
          <w:iCs/>
        </w:rPr>
        <w:t>7.</w:t>
      </w:r>
      <w:r w:rsidR="00980B9F" w:rsidRPr="00852959">
        <w:t xml:space="preserve"> </w:t>
      </w:r>
      <w:hyperlink r:id="rId28" w:history="1">
        <w:r w:rsidR="00D92A04" w:rsidRPr="0046041E">
          <w:rPr>
            <w:rStyle w:val="Hyperlink"/>
          </w:rPr>
          <w:t>https://edudoc.ch/record/216981/files/empf_nachteilsausgleich_d.pdf</w:t>
        </w:r>
      </w:hyperlink>
    </w:p>
    <w:p w14:paraId="298BD888" w14:textId="21C7CEAB" w:rsidR="00980B9F" w:rsidRDefault="00980B9F" w:rsidP="00392134">
      <w:pPr>
        <w:pStyle w:val="Literaturverzeichnis"/>
      </w:pPr>
      <w:r w:rsidRPr="00852959">
        <w:t>SDBB</w:t>
      </w:r>
      <w:r w:rsidR="002C181F">
        <w:t xml:space="preserve"> (</w:t>
      </w:r>
      <w:r w:rsidRPr="00852959">
        <w:t>Schweizerisches Dienstleistungszentrum Berufsbildung, Berufs-, Studien- und Laufbahnberatung</w:t>
      </w:r>
      <w:r w:rsidR="002C181F">
        <w:t>)</w:t>
      </w:r>
      <w:r w:rsidRPr="00852959">
        <w:t xml:space="preserve"> (2013). </w:t>
      </w:r>
      <w:r w:rsidRPr="00392134">
        <w:rPr>
          <w:i/>
          <w:iCs/>
        </w:rPr>
        <w:t>Nachteilsausgleich für Menschen mit Behinderung in der Berufsbildung</w:t>
      </w:r>
      <w:r w:rsidRPr="00FA3FB0">
        <w:rPr>
          <w:i/>
          <w:iCs/>
        </w:rPr>
        <w:t>. Bericht.</w:t>
      </w:r>
      <w:r w:rsidRPr="00852959">
        <w:t xml:space="preserve"> SDBB</w:t>
      </w:r>
      <w:r w:rsidR="00B00DC6">
        <w:t>.</w:t>
      </w:r>
    </w:p>
    <w:p w14:paraId="7D66C194" w14:textId="4F182617" w:rsidR="00327D86" w:rsidRDefault="00EE5471" w:rsidP="00E71488">
      <w:pPr>
        <w:pStyle w:val="Literaturverzeichnis"/>
      </w:pPr>
      <w:r>
        <w:t>Verordnung über die Berufsbildung (Berufsbildungsverordnung, BBV) vom 19. November 2003, SR 412.101.</w:t>
      </w:r>
      <w:r w:rsidR="00327D86">
        <w:br w:type="page"/>
      </w:r>
    </w:p>
    <w:p w14:paraId="6A8B456B" w14:textId="613E808F" w:rsidR="00980B9F" w:rsidRDefault="00980B9F" w:rsidP="00392134">
      <w:pPr>
        <w:pStyle w:val="Literaturverzeichnis"/>
      </w:pPr>
      <w:proofErr w:type="spellStart"/>
      <w:r w:rsidRPr="00CB64A7">
        <w:lastRenderedPageBreak/>
        <w:t>Wüthrich</w:t>
      </w:r>
      <w:proofErr w:type="spellEnd"/>
      <w:r w:rsidRPr="00CB64A7">
        <w:t xml:space="preserve">, R., Rapold, C. &amp; </w:t>
      </w:r>
      <w:proofErr w:type="spellStart"/>
      <w:r w:rsidRPr="00CB64A7">
        <w:t>Trojanek</w:t>
      </w:r>
      <w:proofErr w:type="spellEnd"/>
      <w:r w:rsidRPr="00CB64A7">
        <w:t xml:space="preserve">, A. (2024). </w:t>
      </w:r>
      <w:r w:rsidRPr="00852959">
        <w:t xml:space="preserve">Der Nachteilsausgleich als Schlüssel zu mehr Chancengleichheit in der inklusiven Berufsbildung: Gelingensbedingungen und Herausforderungen an den Lernorten Betrieb, Berufsfachschule und überbetriebliche Kurse. </w:t>
      </w:r>
      <w:r w:rsidRPr="00392134">
        <w:rPr>
          <w:i/>
          <w:iCs/>
        </w:rPr>
        <w:t>Schweizerische Zeitschrift für Heilpädagogik, 30</w:t>
      </w:r>
      <w:r w:rsidR="009139E8">
        <w:rPr>
          <w:i/>
          <w:iCs/>
        </w:rPr>
        <w:t> </w:t>
      </w:r>
      <w:r w:rsidRPr="00852959">
        <w:t xml:space="preserve">(7), 45–50. </w:t>
      </w:r>
      <w:hyperlink r:id="rId29" w:history="1">
        <w:r w:rsidR="009139E8" w:rsidRPr="0046041E">
          <w:rPr>
            <w:rStyle w:val="Hyperlink"/>
          </w:rPr>
          <w:t>https://doi.org/10.57161/z2024-07-07</w:t>
        </w:r>
      </w:hyperlink>
    </w:p>
    <w:p w14:paraId="44AE7CAA" w14:textId="1AA961F9" w:rsidR="00C678D9" w:rsidRPr="006B1900" w:rsidRDefault="00980B9F" w:rsidP="00370E3E">
      <w:pPr>
        <w:pStyle w:val="Literaturverzeichnis"/>
        <w:rPr>
          <w:rFonts w:eastAsiaTheme="majorEastAsia" w:cs="Open Sans SemiCondensed"/>
          <w:b/>
          <w:bCs/>
          <w:color w:val="000000" w:themeColor="text1"/>
          <w:sz w:val="24"/>
          <w:szCs w:val="32"/>
          <w:lang w:val="fr-CH"/>
        </w:rPr>
      </w:pPr>
      <w:r w:rsidRPr="00540BCA">
        <w:rPr>
          <w:lang w:val="fr-CH"/>
        </w:rPr>
        <w:t xml:space="preserve">Wüthrich, R. (2025). </w:t>
      </w:r>
      <w:r w:rsidRPr="00405E30">
        <w:rPr>
          <w:lang w:val="fr-CH"/>
        </w:rPr>
        <w:t>Formation numérique inclusive</w:t>
      </w:r>
      <w:r w:rsidR="00E514EE">
        <w:rPr>
          <w:lang w:val="fr-CH"/>
        </w:rPr>
        <w:t xml:space="preserve"> </w:t>
      </w:r>
      <w:r w:rsidRPr="00405E30">
        <w:rPr>
          <w:lang w:val="fr-CH"/>
        </w:rPr>
        <w:t xml:space="preserve">: des perspectives d’avenir pour la formation professionnelle ? </w:t>
      </w:r>
      <w:r w:rsidRPr="003E3EF3">
        <w:rPr>
          <w:i/>
          <w:iCs/>
          <w:lang w:val="fr-CH"/>
        </w:rPr>
        <w:t xml:space="preserve">Transfer. </w:t>
      </w:r>
      <w:r w:rsidRPr="00405E30">
        <w:rPr>
          <w:i/>
          <w:iCs/>
          <w:lang w:val="fr-CH"/>
        </w:rPr>
        <w:t>Formation professionnelle dans la recherche et la pratique</w:t>
      </w:r>
      <w:r w:rsidR="00982E67">
        <w:rPr>
          <w:i/>
          <w:iCs/>
          <w:lang w:val="fr-CH"/>
        </w:rPr>
        <w:t>,</w:t>
      </w:r>
      <w:r w:rsidRPr="00405E30">
        <w:rPr>
          <w:i/>
          <w:iCs/>
          <w:lang w:val="fr-CH"/>
        </w:rPr>
        <w:t xml:space="preserve"> 10</w:t>
      </w:r>
      <w:r w:rsidR="00392134" w:rsidRPr="00405E30">
        <w:rPr>
          <w:i/>
          <w:iCs/>
          <w:lang w:val="fr-CH"/>
        </w:rPr>
        <w:t> </w:t>
      </w:r>
      <w:r w:rsidRPr="00405E30">
        <w:rPr>
          <w:lang w:val="fr-CH"/>
        </w:rPr>
        <w:t xml:space="preserve">(15). </w:t>
      </w:r>
      <w:hyperlink r:id="rId30" w:history="1">
        <w:r w:rsidR="00370E3E" w:rsidRPr="006B1900">
          <w:rPr>
            <w:rStyle w:val="Hyperlink"/>
            <w:lang w:val="fr-CH"/>
          </w:rPr>
          <w:t>https://transfer.vet/fr/formation-numerique-inclusive-des-perspectives-davenir-pour-la-formation-professionnelle</w:t>
        </w:r>
      </w:hyperlink>
      <w:bookmarkEnd w:id="2"/>
    </w:p>
    <w:sectPr w:rsidR="00C678D9" w:rsidRPr="006B1900" w:rsidSect="001C2DEB">
      <w:headerReference w:type="default" r:id="rId31"/>
      <w:footerReference w:type="default" r:id="rId32"/>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13BC" w14:textId="77777777" w:rsidR="00D82DE6" w:rsidRDefault="00D82DE6">
      <w:pPr>
        <w:spacing w:line="240" w:lineRule="auto"/>
      </w:pPr>
      <w:r>
        <w:separator/>
      </w:r>
    </w:p>
  </w:endnote>
  <w:endnote w:type="continuationSeparator" w:id="0">
    <w:p w14:paraId="171DEE3F" w14:textId="77777777" w:rsidR="00D82DE6" w:rsidRDefault="00D82DE6">
      <w:pPr>
        <w:spacing w:line="240" w:lineRule="auto"/>
      </w:pPr>
      <w:r>
        <w:continuationSeparator/>
      </w:r>
    </w:p>
  </w:endnote>
  <w:endnote w:type="continuationNotice" w:id="1">
    <w:p w14:paraId="102BEB80" w14:textId="77777777" w:rsidR="00D82DE6" w:rsidRDefault="00D82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60347D6-4DA7-45EF-88C9-BA945E4C2D56}"/>
    <w:embedBold r:id="rId2" w:fontKey="{DE8AF595-6737-4CBC-ACBC-BA7CD38ADEFE}"/>
    <w:embedItalic r:id="rId3" w:fontKey="{8D69878D-EE53-4119-8385-0C456EB92ED1}"/>
    <w:embedBoldItalic r:id="rId4" w:fontKey="{9218D770-FF58-47BB-B7E6-FD0778FD7BA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embedRegular r:id="rId5" w:fontKey="{E2B08B47-767F-4E3B-9F38-631C6028290B}"/>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6" w:fontKey="{69AC337B-ED66-45D0-932A-20B0CB9D37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798D"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39737E42" wp14:editId="1EBF7DE6">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B9C56A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37E42" id="Rechteck 1" o:spid="_x0000_s1029"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B9C56A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22C70" w14:textId="77777777" w:rsidR="00D82DE6" w:rsidRPr="00777A2F" w:rsidRDefault="00D82DE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D2EE9DD" w14:textId="77777777" w:rsidR="00D82DE6" w:rsidRDefault="00D82DE6">
      <w:r>
        <w:continuationSeparator/>
      </w:r>
    </w:p>
  </w:footnote>
  <w:footnote w:type="continuationNotice" w:id="1">
    <w:p w14:paraId="51ADB7F1" w14:textId="77777777" w:rsidR="00D82DE6" w:rsidRDefault="00D82DE6">
      <w:pPr>
        <w:spacing w:line="240" w:lineRule="auto"/>
      </w:pPr>
    </w:p>
  </w:footnote>
  <w:footnote w:id="2">
    <w:p w14:paraId="168B785C" w14:textId="1D0FFB45" w:rsidR="00F52A23" w:rsidRPr="00F54B25" w:rsidRDefault="000E7AC5">
      <w:pPr>
        <w:pStyle w:val="Funotentext"/>
        <w:rPr>
          <w:szCs w:val="18"/>
        </w:rPr>
      </w:pPr>
      <w:r w:rsidRPr="00F54B25">
        <w:rPr>
          <w:rStyle w:val="Funotenzeichen"/>
          <w:sz w:val="18"/>
          <w:szCs w:val="18"/>
        </w:rPr>
        <w:footnoteRef/>
      </w:r>
      <w:r w:rsidRPr="00F54B25">
        <w:rPr>
          <w:szCs w:val="18"/>
        </w:rPr>
        <w:t xml:space="preserve"> </w:t>
      </w:r>
      <w:hyperlink r:id="rId1" w:history="1">
        <w:r w:rsidR="00F52A23" w:rsidRPr="00F54B25">
          <w:rPr>
            <w:rStyle w:val="Hyperlink"/>
            <w:sz w:val="18"/>
            <w:szCs w:val="18"/>
          </w:rPr>
          <w:t>https://www.ehb.swiss/umsetzungsbeispiele-des-nachteilsausgleichs-den-drei-lernorten</w:t>
        </w:r>
      </w:hyperlink>
      <w:r w:rsidR="00F52A23" w:rsidRPr="00F54B25">
        <w:rPr>
          <w:szCs w:val="18"/>
        </w:rPr>
        <w:t xml:space="preserve"> [Zugriff: 11.06.2025].</w:t>
      </w:r>
    </w:p>
  </w:footnote>
  <w:footnote w:id="3">
    <w:p w14:paraId="1A6A25FE" w14:textId="54F75085" w:rsidR="008F395A" w:rsidRPr="000D16E0" w:rsidRDefault="008F395A">
      <w:pPr>
        <w:pStyle w:val="Funotentext"/>
        <w:rPr>
          <w:szCs w:val="18"/>
          <w:lang w:val="de-DE"/>
        </w:rPr>
      </w:pPr>
      <w:r w:rsidRPr="00F54B25">
        <w:rPr>
          <w:rStyle w:val="Funotenzeichen"/>
          <w:sz w:val="18"/>
          <w:szCs w:val="18"/>
        </w:rPr>
        <w:footnoteRef/>
      </w:r>
      <w:r w:rsidRPr="00F54B25">
        <w:rPr>
          <w:szCs w:val="18"/>
        </w:rPr>
        <w:t xml:space="preserve"> </w:t>
      </w:r>
      <w:r w:rsidR="00930508" w:rsidRPr="00F54B25">
        <w:rPr>
          <w:szCs w:val="18"/>
        </w:rPr>
        <w:t xml:space="preserve">Psychometrische Daten sind </w:t>
      </w:r>
      <w:r w:rsidRPr="00F54B25">
        <w:rPr>
          <w:szCs w:val="18"/>
        </w:rPr>
        <w:t>Daten über psychologische Merkmale wie Einstellungen, Persönlichkeitsmerkmale</w:t>
      </w:r>
      <w:r w:rsidR="00484BAF" w:rsidRPr="00F54B25">
        <w:rPr>
          <w:szCs w:val="18"/>
        </w:rPr>
        <w:t xml:space="preserve"> oder</w:t>
      </w:r>
      <w:r w:rsidRPr="00F54B25">
        <w:rPr>
          <w:szCs w:val="18"/>
        </w:rPr>
        <w:t xml:space="preserve"> Meinungen</w:t>
      </w:r>
      <w:r w:rsidR="00484BAF" w:rsidRPr="00F54B25">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312A" w14:textId="7ADA391E" w:rsidR="007B448B" w:rsidRPr="0090382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C286E6D" wp14:editId="0620F56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A5FF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E311E">
      <w:rPr>
        <w:lang w:val="de-CH"/>
      </w:rPr>
      <w:t>JUGENDLICHE MIT BEHINDERUNG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E311E">
      <w:rPr>
        <w:b w:val="0"/>
        <w:bCs/>
        <w:lang w:val="de-CH"/>
      </w:rPr>
      <w:t>31</w:t>
    </w:r>
    <w:r w:rsidR="00237079" w:rsidRPr="00237079">
      <w:rPr>
        <w:b w:val="0"/>
        <w:bCs/>
        <w:lang w:val="de-CH"/>
      </w:rPr>
      <w:t xml:space="preserve">, </w:t>
    </w:r>
    <w:r w:rsidR="006E311E">
      <w:rPr>
        <w:b w:val="0"/>
        <w:bCs/>
        <w:lang w:val="de-CH"/>
      </w:rPr>
      <w:t>09</w:t>
    </w:r>
    <w:r w:rsidR="00237079" w:rsidRPr="00237079">
      <w:rPr>
        <w:b w:val="0"/>
        <w:bCs/>
        <w:lang w:val="de-CH"/>
      </w:rPr>
      <w:t>/</w:t>
    </w:r>
    <w:r w:rsidR="006E311E">
      <w:rPr>
        <w:b w:val="0"/>
        <w:bCs/>
        <w:lang w:val="de-CH"/>
      </w:rPr>
      <w:t>2025</w:t>
    </w:r>
  </w:p>
  <w:p w14:paraId="15290479" w14:textId="0BF73A53" w:rsidR="00237079" w:rsidRPr="006E311E" w:rsidRDefault="00B7489C" w:rsidP="006E311E">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A12AB4"/>
    <w:multiLevelType w:val="hybridMultilevel"/>
    <w:tmpl w:val="FA48526C"/>
    <w:lvl w:ilvl="0" w:tplc="EC984B3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288398A"/>
    <w:multiLevelType w:val="hybridMultilevel"/>
    <w:tmpl w:val="50B6AC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9"/>
  </w:num>
  <w:num w:numId="17" w16cid:durableId="1816487952">
    <w:abstractNumId w:val="12"/>
  </w:num>
  <w:num w:numId="18" w16cid:durableId="1320425882">
    <w:abstractNumId w:val="33"/>
  </w:num>
  <w:num w:numId="19" w16cid:durableId="574709185">
    <w:abstractNumId w:val="42"/>
  </w:num>
  <w:num w:numId="20" w16cid:durableId="11883124">
    <w:abstractNumId w:val="40"/>
  </w:num>
  <w:num w:numId="21" w16cid:durableId="379716589">
    <w:abstractNumId w:val="26"/>
  </w:num>
  <w:num w:numId="22" w16cid:durableId="2088532560">
    <w:abstractNumId w:val="15"/>
  </w:num>
  <w:num w:numId="23" w16cid:durableId="904416417">
    <w:abstractNumId w:val="31"/>
  </w:num>
  <w:num w:numId="24" w16cid:durableId="1284269733">
    <w:abstractNumId w:val="36"/>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0"/>
  </w:num>
  <w:num w:numId="34" w16cid:durableId="603652748">
    <w:abstractNumId w:val="41"/>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729310206">
    <w:abstractNumId w:val="35"/>
  </w:num>
  <w:num w:numId="43" w16cid:durableId="4315857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9F"/>
    <w:rsid w:val="00002845"/>
    <w:rsid w:val="00003544"/>
    <w:rsid w:val="00004B3F"/>
    <w:rsid w:val="00007253"/>
    <w:rsid w:val="00012426"/>
    <w:rsid w:val="00014259"/>
    <w:rsid w:val="00016BFF"/>
    <w:rsid w:val="0001746D"/>
    <w:rsid w:val="000236E2"/>
    <w:rsid w:val="00024143"/>
    <w:rsid w:val="00024B4C"/>
    <w:rsid w:val="00024BC1"/>
    <w:rsid w:val="000302CB"/>
    <w:rsid w:val="0003314D"/>
    <w:rsid w:val="0003386F"/>
    <w:rsid w:val="00033B25"/>
    <w:rsid w:val="000352CE"/>
    <w:rsid w:val="00036AFC"/>
    <w:rsid w:val="0004198A"/>
    <w:rsid w:val="00053353"/>
    <w:rsid w:val="00054395"/>
    <w:rsid w:val="00054793"/>
    <w:rsid w:val="000559F1"/>
    <w:rsid w:val="00055E86"/>
    <w:rsid w:val="00056C3C"/>
    <w:rsid w:val="000616E6"/>
    <w:rsid w:val="00072D5E"/>
    <w:rsid w:val="000759D7"/>
    <w:rsid w:val="00082A1C"/>
    <w:rsid w:val="00084578"/>
    <w:rsid w:val="00085827"/>
    <w:rsid w:val="000940BF"/>
    <w:rsid w:val="00095629"/>
    <w:rsid w:val="00096610"/>
    <w:rsid w:val="000A1DC3"/>
    <w:rsid w:val="000B0855"/>
    <w:rsid w:val="000B1645"/>
    <w:rsid w:val="000B5BB8"/>
    <w:rsid w:val="000C5C2B"/>
    <w:rsid w:val="000C5D52"/>
    <w:rsid w:val="000C69FC"/>
    <w:rsid w:val="000D16E0"/>
    <w:rsid w:val="000D3765"/>
    <w:rsid w:val="000D3C1B"/>
    <w:rsid w:val="000E1290"/>
    <w:rsid w:val="000E33A1"/>
    <w:rsid w:val="000E6A66"/>
    <w:rsid w:val="000E732C"/>
    <w:rsid w:val="000E7AC5"/>
    <w:rsid w:val="000F0956"/>
    <w:rsid w:val="000F4B54"/>
    <w:rsid w:val="000F5288"/>
    <w:rsid w:val="000F7075"/>
    <w:rsid w:val="0010334E"/>
    <w:rsid w:val="00105C81"/>
    <w:rsid w:val="00106CB2"/>
    <w:rsid w:val="001114E2"/>
    <w:rsid w:val="001121CF"/>
    <w:rsid w:val="001150A5"/>
    <w:rsid w:val="00115535"/>
    <w:rsid w:val="00115EF5"/>
    <w:rsid w:val="001161D6"/>
    <w:rsid w:val="00117142"/>
    <w:rsid w:val="001209D2"/>
    <w:rsid w:val="00120CBF"/>
    <w:rsid w:val="001221B8"/>
    <w:rsid w:val="00122DDD"/>
    <w:rsid w:val="0012743D"/>
    <w:rsid w:val="0013195A"/>
    <w:rsid w:val="00137808"/>
    <w:rsid w:val="00143C2F"/>
    <w:rsid w:val="00145B6D"/>
    <w:rsid w:val="00146406"/>
    <w:rsid w:val="00151566"/>
    <w:rsid w:val="00151BCA"/>
    <w:rsid w:val="00153133"/>
    <w:rsid w:val="00153D83"/>
    <w:rsid w:val="00157D7E"/>
    <w:rsid w:val="001642C5"/>
    <w:rsid w:val="00165DDA"/>
    <w:rsid w:val="00166EB3"/>
    <w:rsid w:val="00167858"/>
    <w:rsid w:val="0017415E"/>
    <w:rsid w:val="00177DA0"/>
    <w:rsid w:val="001804B3"/>
    <w:rsid w:val="0018072F"/>
    <w:rsid w:val="00182B33"/>
    <w:rsid w:val="0019215A"/>
    <w:rsid w:val="00196F6F"/>
    <w:rsid w:val="001972F6"/>
    <w:rsid w:val="001A2EEC"/>
    <w:rsid w:val="001A2F72"/>
    <w:rsid w:val="001A565B"/>
    <w:rsid w:val="001B05BD"/>
    <w:rsid w:val="001B0C51"/>
    <w:rsid w:val="001B16E8"/>
    <w:rsid w:val="001B18A4"/>
    <w:rsid w:val="001B25F3"/>
    <w:rsid w:val="001B2B6A"/>
    <w:rsid w:val="001B7781"/>
    <w:rsid w:val="001C2DEB"/>
    <w:rsid w:val="001C4B5E"/>
    <w:rsid w:val="001C6B94"/>
    <w:rsid w:val="001D33E8"/>
    <w:rsid w:val="001D3BFB"/>
    <w:rsid w:val="001D46B2"/>
    <w:rsid w:val="001E3B2F"/>
    <w:rsid w:val="001E3BE9"/>
    <w:rsid w:val="001E54B7"/>
    <w:rsid w:val="001F2A01"/>
    <w:rsid w:val="001F3BD1"/>
    <w:rsid w:val="001F3E44"/>
    <w:rsid w:val="00202713"/>
    <w:rsid w:val="00202A19"/>
    <w:rsid w:val="0020358C"/>
    <w:rsid w:val="0020467E"/>
    <w:rsid w:val="002078C8"/>
    <w:rsid w:val="00210F14"/>
    <w:rsid w:val="00212F63"/>
    <w:rsid w:val="00215A70"/>
    <w:rsid w:val="002273F8"/>
    <w:rsid w:val="0023384D"/>
    <w:rsid w:val="00235A6C"/>
    <w:rsid w:val="00236A12"/>
    <w:rsid w:val="00237079"/>
    <w:rsid w:val="0024110C"/>
    <w:rsid w:val="00241303"/>
    <w:rsid w:val="00243DB1"/>
    <w:rsid w:val="002443A6"/>
    <w:rsid w:val="00244985"/>
    <w:rsid w:val="00244D1F"/>
    <w:rsid w:val="00245D9D"/>
    <w:rsid w:val="00247421"/>
    <w:rsid w:val="002476D8"/>
    <w:rsid w:val="002543C9"/>
    <w:rsid w:val="00254C7E"/>
    <w:rsid w:val="0026044C"/>
    <w:rsid w:val="00263395"/>
    <w:rsid w:val="00263C84"/>
    <w:rsid w:val="00264051"/>
    <w:rsid w:val="00266B19"/>
    <w:rsid w:val="00270B7E"/>
    <w:rsid w:val="00274D67"/>
    <w:rsid w:val="00276B2C"/>
    <w:rsid w:val="00282A45"/>
    <w:rsid w:val="002837C6"/>
    <w:rsid w:val="00284EA0"/>
    <w:rsid w:val="00285642"/>
    <w:rsid w:val="002862AA"/>
    <w:rsid w:val="002A03D5"/>
    <w:rsid w:val="002A0872"/>
    <w:rsid w:val="002A2764"/>
    <w:rsid w:val="002A2DA9"/>
    <w:rsid w:val="002A60AD"/>
    <w:rsid w:val="002B28D4"/>
    <w:rsid w:val="002C02AE"/>
    <w:rsid w:val="002C181F"/>
    <w:rsid w:val="002C5235"/>
    <w:rsid w:val="002C6776"/>
    <w:rsid w:val="002D11C8"/>
    <w:rsid w:val="002D39A1"/>
    <w:rsid w:val="002D4B7C"/>
    <w:rsid w:val="002D709F"/>
    <w:rsid w:val="002E13B6"/>
    <w:rsid w:val="002E3258"/>
    <w:rsid w:val="002E3785"/>
    <w:rsid w:val="002E5374"/>
    <w:rsid w:val="002E7585"/>
    <w:rsid w:val="002F0BFB"/>
    <w:rsid w:val="002F194F"/>
    <w:rsid w:val="002F21C3"/>
    <w:rsid w:val="002F52CF"/>
    <w:rsid w:val="0030010A"/>
    <w:rsid w:val="0030447C"/>
    <w:rsid w:val="00304AC5"/>
    <w:rsid w:val="003054BF"/>
    <w:rsid w:val="00307EC7"/>
    <w:rsid w:val="00310FCA"/>
    <w:rsid w:val="003202AF"/>
    <w:rsid w:val="00322024"/>
    <w:rsid w:val="003222A6"/>
    <w:rsid w:val="003256B6"/>
    <w:rsid w:val="00327D86"/>
    <w:rsid w:val="003421BE"/>
    <w:rsid w:val="00345850"/>
    <w:rsid w:val="003463A5"/>
    <w:rsid w:val="003508C0"/>
    <w:rsid w:val="003522C6"/>
    <w:rsid w:val="00360D6A"/>
    <w:rsid w:val="003624E7"/>
    <w:rsid w:val="00365165"/>
    <w:rsid w:val="0036569A"/>
    <w:rsid w:val="00365730"/>
    <w:rsid w:val="0036592D"/>
    <w:rsid w:val="00365DDB"/>
    <w:rsid w:val="003674D0"/>
    <w:rsid w:val="00370E3E"/>
    <w:rsid w:val="00373495"/>
    <w:rsid w:val="00373FFF"/>
    <w:rsid w:val="003819B7"/>
    <w:rsid w:val="00382314"/>
    <w:rsid w:val="00383074"/>
    <w:rsid w:val="00386CFF"/>
    <w:rsid w:val="00392134"/>
    <w:rsid w:val="00394D99"/>
    <w:rsid w:val="003A0B3C"/>
    <w:rsid w:val="003A0EA7"/>
    <w:rsid w:val="003A2717"/>
    <w:rsid w:val="003B0E9C"/>
    <w:rsid w:val="003B420E"/>
    <w:rsid w:val="003B474F"/>
    <w:rsid w:val="003B49BB"/>
    <w:rsid w:val="003B4C81"/>
    <w:rsid w:val="003B50E7"/>
    <w:rsid w:val="003C060A"/>
    <w:rsid w:val="003C26CF"/>
    <w:rsid w:val="003C534C"/>
    <w:rsid w:val="003C5F16"/>
    <w:rsid w:val="003D002D"/>
    <w:rsid w:val="003D119C"/>
    <w:rsid w:val="003D221C"/>
    <w:rsid w:val="003D4181"/>
    <w:rsid w:val="003D502F"/>
    <w:rsid w:val="003D742E"/>
    <w:rsid w:val="003E022D"/>
    <w:rsid w:val="003E0578"/>
    <w:rsid w:val="003E0F12"/>
    <w:rsid w:val="003E1E67"/>
    <w:rsid w:val="003E3EF3"/>
    <w:rsid w:val="003E5719"/>
    <w:rsid w:val="003F38B8"/>
    <w:rsid w:val="003F55DF"/>
    <w:rsid w:val="003F6753"/>
    <w:rsid w:val="003F6A6B"/>
    <w:rsid w:val="003F78C2"/>
    <w:rsid w:val="004005F6"/>
    <w:rsid w:val="00400C1E"/>
    <w:rsid w:val="00401D9A"/>
    <w:rsid w:val="004027D5"/>
    <w:rsid w:val="00404F18"/>
    <w:rsid w:val="00405E30"/>
    <w:rsid w:val="00410365"/>
    <w:rsid w:val="004108D3"/>
    <w:rsid w:val="00413702"/>
    <w:rsid w:val="00414332"/>
    <w:rsid w:val="00421D05"/>
    <w:rsid w:val="0042335C"/>
    <w:rsid w:val="004248AB"/>
    <w:rsid w:val="00426606"/>
    <w:rsid w:val="00426C6E"/>
    <w:rsid w:val="004323E4"/>
    <w:rsid w:val="00432F97"/>
    <w:rsid w:val="00437545"/>
    <w:rsid w:val="00440A97"/>
    <w:rsid w:val="00441F45"/>
    <w:rsid w:val="004421C7"/>
    <w:rsid w:val="004436A8"/>
    <w:rsid w:val="0045144F"/>
    <w:rsid w:val="00453ED5"/>
    <w:rsid w:val="00454BCF"/>
    <w:rsid w:val="00454C43"/>
    <w:rsid w:val="00457F0B"/>
    <w:rsid w:val="0046021B"/>
    <w:rsid w:val="004609F9"/>
    <w:rsid w:val="0046157C"/>
    <w:rsid w:val="00465467"/>
    <w:rsid w:val="00466F1A"/>
    <w:rsid w:val="00467E46"/>
    <w:rsid w:val="0047168D"/>
    <w:rsid w:val="004723BC"/>
    <w:rsid w:val="004815EE"/>
    <w:rsid w:val="00483338"/>
    <w:rsid w:val="00484BAF"/>
    <w:rsid w:val="00486270"/>
    <w:rsid w:val="004927CF"/>
    <w:rsid w:val="00492950"/>
    <w:rsid w:val="00493F3F"/>
    <w:rsid w:val="004972C8"/>
    <w:rsid w:val="004A115A"/>
    <w:rsid w:val="004A22AC"/>
    <w:rsid w:val="004A2854"/>
    <w:rsid w:val="004A394D"/>
    <w:rsid w:val="004A7D9A"/>
    <w:rsid w:val="004B1834"/>
    <w:rsid w:val="004B29F8"/>
    <w:rsid w:val="004B3001"/>
    <w:rsid w:val="004B3A29"/>
    <w:rsid w:val="004B437C"/>
    <w:rsid w:val="004B44BA"/>
    <w:rsid w:val="004B47AB"/>
    <w:rsid w:val="004B4812"/>
    <w:rsid w:val="004C13EB"/>
    <w:rsid w:val="004C4A76"/>
    <w:rsid w:val="004D2AC0"/>
    <w:rsid w:val="004D2D25"/>
    <w:rsid w:val="004D34EE"/>
    <w:rsid w:val="004D4FA0"/>
    <w:rsid w:val="004D542D"/>
    <w:rsid w:val="004D58AC"/>
    <w:rsid w:val="004E232F"/>
    <w:rsid w:val="004E5FAB"/>
    <w:rsid w:val="004F40A7"/>
    <w:rsid w:val="004F5C23"/>
    <w:rsid w:val="004F6B77"/>
    <w:rsid w:val="005031EC"/>
    <w:rsid w:val="00503D63"/>
    <w:rsid w:val="005055D5"/>
    <w:rsid w:val="00505811"/>
    <w:rsid w:val="00511EA0"/>
    <w:rsid w:val="005126D0"/>
    <w:rsid w:val="00514AE4"/>
    <w:rsid w:val="00521559"/>
    <w:rsid w:val="005227F4"/>
    <w:rsid w:val="00527D85"/>
    <w:rsid w:val="00530E98"/>
    <w:rsid w:val="0053196E"/>
    <w:rsid w:val="00531F94"/>
    <w:rsid w:val="00533DA1"/>
    <w:rsid w:val="00536343"/>
    <w:rsid w:val="00540BCA"/>
    <w:rsid w:val="0054427E"/>
    <w:rsid w:val="00546490"/>
    <w:rsid w:val="0054666A"/>
    <w:rsid w:val="00553AD2"/>
    <w:rsid w:val="005625CF"/>
    <w:rsid w:val="0056578A"/>
    <w:rsid w:val="0056595B"/>
    <w:rsid w:val="00571774"/>
    <w:rsid w:val="00571C0D"/>
    <w:rsid w:val="00572C4C"/>
    <w:rsid w:val="00574EEE"/>
    <w:rsid w:val="00575AB3"/>
    <w:rsid w:val="0057605E"/>
    <w:rsid w:val="00576E09"/>
    <w:rsid w:val="00576E88"/>
    <w:rsid w:val="00577261"/>
    <w:rsid w:val="00581DB2"/>
    <w:rsid w:val="00582CE9"/>
    <w:rsid w:val="00585ED0"/>
    <w:rsid w:val="00587EF6"/>
    <w:rsid w:val="005927D6"/>
    <w:rsid w:val="00592B57"/>
    <w:rsid w:val="00594747"/>
    <w:rsid w:val="00594844"/>
    <w:rsid w:val="00595F6B"/>
    <w:rsid w:val="005A646E"/>
    <w:rsid w:val="005A6918"/>
    <w:rsid w:val="005A6F41"/>
    <w:rsid w:val="005A7AE7"/>
    <w:rsid w:val="005B2821"/>
    <w:rsid w:val="005B43D8"/>
    <w:rsid w:val="005B5436"/>
    <w:rsid w:val="005B5B3D"/>
    <w:rsid w:val="005C49D7"/>
    <w:rsid w:val="005C6DD2"/>
    <w:rsid w:val="005C7E51"/>
    <w:rsid w:val="005D014E"/>
    <w:rsid w:val="005D15B8"/>
    <w:rsid w:val="005D1753"/>
    <w:rsid w:val="005D3EDD"/>
    <w:rsid w:val="005D6EDA"/>
    <w:rsid w:val="005E150A"/>
    <w:rsid w:val="005E28CB"/>
    <w:rsid w:val="005E6751"/>
    <w:rsid w:val="005E7DD5"/>
    <w:rsid w:val="0060196A"/>
    <w:rsid w:val="0060470D"/>
    <w:rsid w:val="006076AC"/>
    <w:rsid w:val="006111D5"/>
    <w:rsid w:val="006111F5"/>
    <w:rsid w:val="00612BC1"/>
    <w:rsid w:val="006161D7"/>
    <w:rsid w:val="00621145"/>
    <w:rsid w:val="00623E11"/>
    <w:rsid w:val="00624C78"/>
    <w:rsid w:val="006271CC"/>
    <w:rsid w:val="00630CBB"/>
    <w:rsid w:val="006322B1"/>
    <w:rsid w:val="0063442F"/>
    <w:rsid w:val="00635B28"/>
    <w:rsid w:val="006403C9"/>
    <w:rsid w:val="006411DE"/>
    <w:rsid w:val="00643C3E"/>
    <w:rsid w:val="006448C5"/>
    <w:rsid w:val="006555BD"/>
    <w:rsid w:val="006574E6"/>
    <w:rsid w:val="006610B8"/>
    <w:rsid w:val="006676E2"/>
    <w:rsid w:val="006701D1"/>
    <w:rsid w:val="00671609"/>
    <w:rsid w:val="00671718"/>
    <w:rsid w:val="006758C2"/>
    <w:rsid w:val="00675AE1"/>
    <w:rsid w:val="00677C06"/>
    <w:rsid w:val="00677E54"/>
    <w:rsid w:val="00680E2D"/>
    <w:rsid w:val="00682B8C"/>
    <w:rsid w:val="00683ED1"/>
    <w:rsid w:val="00685EB4"/>
    <w:rsid w:val="00687CB8"/>
    <w:rsid w:val="00687D8D"/>
    <w:rsid w:val="00693135"/>
    <w:rsid w:val="00693671"/>
    <w:rsid w:val="00696681"/>
    <w:rsid w:val="006A02F3"/>
    <w:rsid w:val="006A0652"/>
    <w:rsid w:val="006A08E7"/>
    <w:rsid w:val="006A0924"/>
    <w:rsid w:val="006A09D9"/>
    <w:rsid w:val="006A1BCD"/>
    <w:rsid w:val="006A1F2A"/>
    <w:rsid w:val="006A4C05"/>
    <w:rsid w:val="006A4FD9"/>
    <w:rsid w:val="006A7CE6"/>
    <w:rsid w:val="006B1900"/>
    <w:rsid w:val="006B3177"/>
    <w:rsid w:val="006B5540"/>
    <w:rsid w:val="006B7955"/>
    <w:rsid w:val="006C1699"/>
    <w:rsid w:val="006C2733"/>
    <w:rsid w:val="006C2B84"/>
    <w:rsid w:val="006C3B85"/>
    <w:rsid w:val="006C3DFC"/>
    <w:rsid w:val="006C5AC5"/>
    <w:rsid w:val="006C6CA8"/>
    <w:rsid w:val="006C7907"/>
    <w:rsid w:val="006D3479"/>
    <w:rsid w:val="006D5D28"/>
    <w:rsid w:val="006D62EA"/>
    <w:rsid w:val="006D63E8"/>
    <w:rsid w:val="006E0898"/>
    <w:rsid w:val="006E210A"/>
    <w:rsid w:val="006E260B"/>
    <w:rsid w:val="006E311E"/>
    <w:rsid w:val="00701B67"/>
    <w:rsid w:val="00701C63"/>
    <w:rsid w:val="00702307"/>
    <w:rsid w:val="00702BE5"/>
    <w:rsid w:val="00704FCB"/>
    <w:rsid w:val="00705253"/>
    <w:rsid w:val="00710490"/>
    <w:rsid w:val="007155B8"/>
    <w:rsid w:val="007170DC"/>
    <w:rsid w:val="0071769E"/>
    <w:rsid w:val="00720F44"/>
    <w:rsid w:val="0072307E"/>
    <w:rsid w:val="0072476B"/>
    <w:rsid w:val="007302E9"/>
    <w:rsid w:val="007305B4"/>
    <w:rsid w:val="007373E7"/>
    <w:rsid w:val="00740861"/>
    <w:rsid w:val="007408A1"/>
    <w:rsid w:val="00740EF5"/>
    <w:rsid w:val="00741276"/>
    <w:rsid w:val="007424F5"/>
    <w:rsid w:val="00744198"/>
    <w:rsid w:val="0074442C"/>
    <w:rsid w:val="00745847"/>
    <w:rsid w:val="007545FE"/>
    <w:rsid w:val="00756664"/>
    <w:rsid w:val="00757C8C"/>
    <w:rsid w:val="00764FC4"/>
    <w:rsid w:val="00765FC8"/>
    <w:rsid w:val="0077019D"/>
    <w:rsid w:val="00775449"/>
    <w:rsid w:val="00776FA2"/>
    <w:rsid w:val="00777A2F"/>
    <w:rsid w:val="00787B6E"/>
    <w:rsid w:val="00790847"/>
    <w:rsid w:val="00792122"/>
    <w:rsid w:val="0079369A"/>
    <w:rsid w:val="007A0A2E"/>
    <w:rsid w:val="007A2CE2"/>
    <w:rsid w:val="007A3489"/>
    <w:rsid w:val="007A40C1"/>
    <w:rsid w:val="007A75E1"/>
    <w:rsid w:val="007B4390"/>
    <w:rsid w:val="007B448B"/>
    <w:rsid w:val="007B4F54"/>
    <w:rsid w:val="007B5701"/>
    <w:rsid w:val="007B5DEC"/>
    <w:rsid w:val="007B62B5"/>
    <w:rsid w:val="007C5AB3"/>
    <w:rsid w:val="007C60FA"/>
    <w:rsid w:val="007C6C70"/>
    <w:rsid w:val="007D4728"/>
    <w:rsid w:val="007E2B8E"/>
    <w:rsid w:val="007E3CCB"/>
    <w:rsid w:val="007E4A81"/>
    <w:rsid w:val="007E78D0"/>
    <w:rsid w:val="007E7E57"/>
    <w:rsid w:val="007F43B0"/>
    <w:rsid w:val="007F488F"/>
    <w:rsid w:val="007F5E1D"/>
    <w:rsid w:val="007F6861"/>
    <w:rsid w:val="0080069D"/>
    <w:rsid w:val="0080610A"/>
    <w:rsid w:val="008152E5"/>
    <w:rsid w:val="008176A7"/>
    <w:rsid w:val="00820FE1"/>
    <w:rsid w:val="008234A5"/>
    <w:rsid w:val="0082421A"/>
    <w:rsid w:val="00830A17"/>
    <w:rsid w:val="008310A4"/>
    <w:rsid w:val="008351F7"/>
    <w:rsid w:val="0084030D"/>
    <w:rsid w:val="00841E0F"/>
    <w:rsid w:val="00841F60"/>
    <w:rsid w:val="00853805"/>
    <w:rsid w:val="00855097"/>
    <w:rsid w:val="00855F85"/>
    <w:rsid w:val="00857D72"/>
    <w:rsid w:val="0086305F"/>
    <w:rsid w:val="0086464A"/>
    <w:rsid w:val="00864700"/>
    <w:rsid w:val="00864A10"/>
    <w:rsid w:val="0086702D"/>
    <w:rsid w:val="00870508"/>
    <w:rsid w:val="0087418B"/>
    <w:rsid w:val="00876295"/>
    <w:rsid w:val="008814B7"/>
    <w:rsid w:val="00882B9B"/>
    <w:rsid w:val="00882C30"/>
    <w:rsid w:val="00883829"/>
    <w:rsid w:val="00883897"/>
    <w:rsid w:val="008854C8"/>
    <w:rsid w:val="008873C1"/>
    <w:rsid w:val="00891E7D"/>
    <w:rsid w:val="008924D4"/>
    <w:rsid w:val="0089445F"/>
    <w:rsid w:val="008A220E"/>
    <w:rsid w:val="008A2229"/>
    <w:rsid w:val="008B312D"/>
    <w:rsid w:val="008B3865"/>
    <w:rsid w:val="008B6A9E"/>
    <w:rsid w:val="008C1009"/>
    <w:rsid w:val="008C4F53"/>
    <w:rsid w:val="008C5481"/>
    <w:rsid w:val="008C6EDB"/>
    <w:rsid w:val="008C75DE"/>
    <w:rsid w:val="008D07E2"/>
    <w:rsid w:val="008D0E44"/>
    <w:rsid w:val="008D0F71"/>
    <w:rsid w:val="008D1807"/>
    <w:rsid w:val="008D3859"/>
    <w:rsid w:val="008D7A46"/>
    <w:rsid w:val="008E6F5D"/>
    <w:rsid w:val="008F2BFE"/>
    <w:rsid w:val="008F2E4E"/>
    <w:rsid w:val="008F395A"/>
    <w:rsid w:val="008F3A8C"/>
    <w:rsid w:val="008F7A4E"/>
    <w:rsid w:val="00900C84"/>
    <w:rsid w:val="00903305"/>
    <w:rsid w:val="00903829"/>
    <w:rsid w:val="00912BA0"/>
    <w:rsid w:val="00912E02"/>
    <w:rsid w:val="009139E8"/>
    <w:rsid w:val="0091563D"/>
    <w:rsid w:val="0092031E"/>
    <w:rsid w:val="00920846"/>
    <w:rsid w:val="00920A21"/>
    <w:rsid w:val="0092531B"/>
    <w:rsid w:val="00926148"/>
    <w:rsid w:val="0092792F"/>
    <w:rsid w:val="00930508"/>
    <w:rsid w:val="00931EB7"/>
    <w:rsid w:val="0093252C"/>
    <w:rsid w:val="0093654E"/>
    <w:rsid w:val="00941588"/>
    <w:rsid w:val="00943B46"/>
    <w:rsid w:val="009469D9"/>
    <w:rsid w:val="00947CEA"/>
    <w:rsid w:val="00951D24"/>
    <w:rsid w:val="009552F9"/>
    <w:rsid w:val="00961154"/>
    <w:rsid w:val="00962593"/>
    <w:rsid w:val="00963537"/>
    <w:rsid w:val="009643BF"/>
    <w:rsid w:val="00965C23"/>
    <w:rsid w:val="009660DC"/>
    <w:rsid w:val="00966907"/>
    <w:rsid w:val="00967D5F"/>
    <w:rsid w:val="00974842"/>
    <w:rsid w:val="00980B9F"/>
    <w:rsid w:val="00982E67"/>
    <w:rsid w:val="00983624"/>
    <w:rsid w:val="00985126"/>
    <w:rsid w:val="00985F4A"/>
    <w:rsid w:val="0099050C"/>
    <w:rsid w:val="0099079F"/>
    <w:rsid w:val="0099606C"/>
    <w:rsid w:val="009A03CF"/>
    <w:rsid w:val="009A0BE7"/>
    <w:rsid w:val="009A0F83"/>
    <w:rsid w:val="009A52AD"/>
    <w:rsid w:val="009A57A5"/>
    <w:rsid w:val="009A73FC"/>
    <w:rsid w:val="009A7FF6"/>
    <w:rsid w:val="009B5334"/>
    <w:rsid w:val="009B5708"/>
    <w:rsid w:val="009B684E"/>
    <w:rsid w:val="009B7826"/>
    <w:rsid w:val="009C0D6A"/>
    <w:rsid w:val="009C5089"/>
    <w:rsid w:val="009C5365"/>
    <w:rsid w:val="009C6886"/>
    <w:rsid w:val="009C6DAF"/>
    <w:rsid w:val="009D1A1B"/>
    <w:rsid w:val="009D3DEA"/>
    <w:rsid w:val="009D4CCF"/>
    <w:rsid w:val="009E05C5"/>
    <w:rsid w:val="009E3AA4"/>
    <w:rsid w:val="009E5005"/>
    <w:rsid w:val="009E643B"/>
    <w:rsid w:val="009F0038"/>
    <w:rsid w:val="009F387C"/>
    <w:rsid w:val="009F4CD6"/>
    <w:rsid w:val="009F6A07"/>
    <w:rsid w:val="00A04824"/>
    <w:rsid w:val="00A04AA2"/>
    <w:rsid w:val="00A070A2"/>
    <w:rsid w:val="00A10362"/>
    <w:rsid w:val="00A11404"/>
    <w:rsid w:val="00A17BB2"/>
    <w:rsid w:val="00A207D6"/>
    <w:rsid w:val="00A20F9B"/>
    <w:rsid w:val="00A21D6B"/>
    <w:rsid w:val="00A24319"/>
    <w:rsid w:val="00A27FF2"/>
    <w:rsid w:val="00A32E5E"/>
    <w:rsid w:val="00A33CCF"/>
    <w:rsid w:val="00A37E53"/>
    <w:rsid w:val="00A41A27"/>
    <w:rsid w:val="00A42719"/>
    <w:rsid w:val="00A450D6"/>
    <w:rsid w:val="00A4568F"/>
    <w:rsid w:val="00A472EC"/>
    <w:rsid w:val="00A501F4"/>
    <w:rsid w:val="00A504A8"/>
    <w:rsid w:val="00A50A1E"/>
    <w:rsid w:val="00A543D6"/>
    <w:rsid w:val="00A55E72"/>
    <w:rsid w:val="00A60980"/>
    <w:rsid w:val="00A61330"/>
    <w:rsid w:val="00A63037"/>
    <w:rsid w:val="00A660BC"/>
    <w:rsid w:val="00A66BD0"/>
    <w:rsid w:val="00A67034"/>
    <w:rsid w:val="00A67A64"/>
    <w:rsid w:val="00A67B90"/>
    <w:rsid w:val="00A738BD"/>
    <w:rsid w:val="00A76188"/>
    <w:rsid w:val="00A91F86"/>
    <w:rsid w:val="00A93CD9"/>
    <w:rsid w:val="00A93FEC"/>
    <w:rsid w:val="00A9737B"/>
    <w:rsid w:val="00AA2809"/>
    <w:rsid w:val="00AA2F41"/>
    <w:rsid w:val="00AA7D4C"/>
    <w:rsid w:val="00AB4BB5"/>
    <w:rsid w:val="00AB5BBE"/>
    <w:rsid w:val="00AB6C71"/>
    <w:rsid w:val="00AB7501"/>
    <w:rsid w:val="00AC11F5"/>
    <w:rsid w:val="00AC20F1"/>
    <w:rsid w:val="00AC386D"/>
    <w:rsid w:val="00AC4661"/>
    <w:rsid w:val="00AC4A13"/>
    <w:rsid w:val="00AD2F65"/>
    <w:rsid w:val="00AD4BF3"/>
    <w:rsid w:val="00AD7943"/>
    <w:rsid w:val="00AD7C7B"/>
    <w:rsid w:val="00AE113C"/>
    <w:rsid w:val="00AE2584"/>
    <w:rsid w:val="00AE3405"/>
    <w:rsid w:val="00AE583E"/>
    <w:rsid w:val="00AE5B14"/>
    <w:rsid w:val="00AE5D15"/>
    <w:rsid w:val="00AE631D"/>
    <w:rsid w:val="00AE7976"/>
    <w:rsid w:val="00AF16EB"/>
    <w:rsid w:val="00AF1EA1"/>
    <w:rsid w:val="00AF3691"/>
    <w:rsid w:val="00AF3972"/>
    <w:rsid w:val="00AF4FD3"/>
    <w:rsid w:val="00AF5D7B"/>
    <w:rsid w:val="00AF6CC5"/>
    <w:rsid w:val="00B00DC6"/>
    <w:rsid w:val="00B0314F"/>
    <w:rsid w:val="00B04705"/>
    <w:rsid w:val="00B04B70"/>
    <w:rsid w:val="00B04DC9"/>
    <w:rsid w:val="00B05678"/>
    <w:rsid w:val="00B05FBD"/>
    <w:rsid w:val="00B15568"/>
    <w:rsid w:val="00B16766"/>
    <w:rsid w:val="00B237F4"/>
    <w:rsid w:val="00B23FEC"/>
    <w:rsid w:val="00B24C90"/>
    <w:rsid w:val="00B2727B"/>
    <w:rsid w:val="00B3082A"/>
    <w:rsid w:val="00B32E51"/>
    <w:rsid w:val="00B345B5"/>
    <w:rsid w:val="00B43B7A"/>
    <w:rsid w:val="00B44D06"/>
    <w:rsid w:val="00B462BB"/>
    <w:rsid w:val="00B463FE"/>
    <w:rsid w:val="00B46EA9"/>
    <w:rsid w:val="00B50E21"/>
    <w:rsid w:val="00B54E5C"/>
    <w:rsid w:val="00B64EBE"/>
    <w:rsid w:val="00B66157"/>
    <w:rsid w:val="00B71621"/>
    <w:rsid w:val="00B7489C"/>
    <w:rsid w:val="00B7596B"/>
    <w:rsid w:val="00B85CDB"/>
    <w:rsid w:val="00B8737A"/>
    <w:rsid w:val="00B9185C"/>
    <w:rsid w:val="00BA50D5"/>
    <w:rsid w:val="00BA57CD"/>
    <w:rsid w:val="00BA6799"/>
    <w:rsid w:val="00BA6A62"/>
    <w:rsid w:val="00BB3270"/>
    <w:rsid w:val="00BB7EDB"/>
    <w:rsid w:val="00BC1FD7"/>
    <w:rsid w:val="00BC32F4"/>
    <w:rsid w:val="00BC6243"/>
    <w:rsid w:val="00BD050C"/>
    <w:rsid w:val="00BD4FAD"/>
    <w:rsid w:val="00BD6811"/>
    <w:rsid w:val="00BD74F7"/>
    <w:rsid w:val="00BE5CF0"/>
    <w:rsid w:val="00BE6740"/>
    <w:rsid w:val="00BE6DA5"/>
    <w:rsid w:val="00BF1BDA"/>
    <w:rsid w:val="00BF39E9"/>
    <w:rsid w:val="00C03B31"/>
    <w:rsid w:val="00C0483A"/>
    <w:rsid w:val="00C066AC"/>
    <w:rsid w:val="00C201F8"/>
    <w:rsid w:val="00C20909"/>
    <w:rsid w:val="00C235E3"/>
    <w:rsid w:val="00C24833"/>
    <w:rsid w:val="00C27B6F"/>
    <w:rsid w:val="00C350DC"/>
    <w:rsid w:val="00C43705"/>
    <w:rsid w:val="00C43A97"/>
    <w:rsid w:val="00C50710"/>
    <w:rsid w:val="00C557B9"/>
    <w:rsid w:val="00C63ADB"/>
    <w:rsid w:val="00C678D9"/>
    <w:rsid w:val="00C72CD7"/>
    <w:rsid w:val="00C7447F"/>
    <w:rsid w:val="00C76A86"/>
    <w:rsid w:val="00C77A77"/>
    <w:rsid w:val="00C82ECB"/>
    <w:rsid w:val="00C836FD"/>
    <w:rsid w:val="00C85052"/>
    <w:rsid w:val="00C90953"/>
    <w:rsid w:val="00C91438"/>
    <w:rsid w:val="00C944AE"/>
    <w:rsid w:val="00C94CDA"/>
    <w:rsid w:val="00C97540"/>
    <w:rsid w:val="00CA4546"/>
    <w:rsid w:val="00CB5B87"/>
    <w:rsid w:val="00CB5C8A"/>
    <w:rsid w:val="00CB64A7"/>
    <w:rsid w:val="00CC1689"/>
    <w:rsid w:val="00CC3FD6"/>
    <w:rsid w:val="00CC534B"/>
    <w:rsid w:val="00CC6B3E"/>
    <w:rsid w:val="00CC6D59"/>
    <w:rsid w:val="00CD2E77"/>
    <w:rsid w:val="00CD65C0"/>
    <w:rsid w:val="00CD765E"/>
    <w:rsid w:val="00CE0001"/>
    <w:rsid w:val="00CE1D93"/>
    <w:rsid w:val="00CE21CD"/>
    <w:rsid w:val="00CE38FD"/>
    <w:rsid w:val="00CE438B"/>
    <w:rsid w:val="00CE72AE"/>
    <w:rsid w:val="00CF2E8D"/>
    <w:rsid w:val="00CF4C21"/>
    <w:rsid w:val="00CF65BF"/>
    <w:rsid w:val="00CF757E"/>
    <w:rsid w:val="00CF781C"/>
    <w:rsid w:val="00CF788D"/>
    <w:rsid w:val="00CF7C44"/>
    <w:rsid w:val="00D01CA8"/>
    <w:rsid w:val="00D02DE1"/>
    <w:rsid w:val="00D0478B"/>
    <w:rsid w:val="00D04B16"/>
    <w:rsid w:val="00D13C6E"/>
    <w:rsid w:val="00D155F5"/>
    <w:rsid w:val="00D16994"/>
    <w:rsid w:val="00D16E18"/>
    <w:rsid w:val="00D17F8E"/>
    <w:rsid w:val="00D232F1"/>
    <w:rsid w:val="00D25D8A"/>
    <w:rsid w:val="00D26157"/>
    <w:rsid w:val="00D26557"/>
    <w:rsid w:val="00D30491"/>
    <w:rsid w:val="00D32A13"/>
    <w:rsid w:val="00D4053C"/>
    <w:rsid w:val="00D4280E"/>
    <w:rsid w:val="00D4299B"/>
    <w:rsid w:val="00D45554"/>
    <w:rsid w:val="00D45E02"/>
    <w:rsid w:val="00D46C56"/>
    <w:rsid w:val="00D51B8B"/>
    <w:rsid w:val="00D5231F"/>
    <w:rsid w:val="00D55316"/>
    <w:rsid w:val="00D567ED"/>
    <w:rsid w:val="00D600E7"/>
    <w:rsid w:val="00D60595"/>
    <w:rsid w:val="00D614DC"/>
    <w:rsid w:val="00D62010"/>
    <w:rsid w:val="00D65100"/>
    <w:rsid w:val="00D729B1"/>
    <w:rsid w:val="00D75B90"/>
    <w:rsid w:val="00D763D4"/>
    <w:rsid w:val="00D76C32"/>
    <w:rsid w:val="00D8006B"/>
    <w:rsid w:val="00D80599"/>
    <w:rsid w:val="00D81E61"/>
    <w:rsid w:val="00D82DE6"/>
    <w:rsid w:val="00D8436F"/>
    <w:rsid w:val="00D859AD"/>
    <w:rsid w:val="00D87EE0"/>
    <w:rsid w:val="00D9133B"/>
    <w:rsid w:val="00D923C5"/>
    <w:rsid w:val="00D92A04"/>
    <w:rsid w:val="00D93511"/>
    <w:rsid w:val="00D9361C"/>
    <w:rsid w:val="00D9463F"/>
    <w:rsid w:val="00D95DEB"/>
    <w:rsid w:val="00D969AF"/>
    <w:rsid w:val="00D97D24"/>
    <w:rsid w:val="00DA3CEB"/>
    <w:rsid w:val="00DB085C"/>
    <w:rsid w:val="00DB11F7"/>
    <w:rsid w:val="00DB1F8B"/>
    <w:rsid w:val="00DB5151"/>
    <w:rsid w:val="00DB5625"/>
    <w:rsid w:val="00DC0AB5"/>
    <w:rsid w:val="00DC1533"/>
    <w:rsid w:val="00DC2C75"/>
    <w:rsid w:val="00DC399A"/>
    <w:rsid w:val="00DC5370"/>
    <w:rsid w:val="00DD1310"/>
    <w:rsid w:val="00DD744B"/>
    <w:rsid w:val="00DD7F08"/>
    <w:rsid w:val="00DE2598"/>
    <w:rsid w:val="00DE690F"/>
    <w:rsid w:val="00DE6B7F"/>
    <w:rsid w:val="00DF0278"/>
    <w:rsid w:val="00DF08EB"/>
    <w:rsid w:val="00DF11B1"/>
    <w:rsid w:val="00DF2E2B"/>
    <w:rsid w:val="00DF5157"/>
    <w:rsid w:val="00E0175E"/>
    <w:rsid w:val="00E03695"/>
    <w:rsid w:val="00E10854"/>
    <w:rsid w:val="00E12570"/>
    <w:rsid w:val="00E12F06"/>
    <w:rsid w:val="00E13366"/>
    <w:rsid w:val="00E1687F"/>
    <w:rsid w:val="00E20CCA"/>
    <w:rsid w:val="00E21E37"/>
    <w:rsid w:val="00E23124"/>
    <w:rsid w:val="00E26F3D"/>
    <w:rsid w:val="00E30122"/>
    <w:rsid w:val="00E31225"/>
    <w:rsid w:val="00E337AE"/>
    <w:rsid w:val="00E34F9D"/>
    <w:rsid w:val="00E378E1"/>
    <w:rsid w:val="00E42248"/>
    <w:rsid w:val="00E42E44"/>
    <w:rsid w:val="00E43288"/>
    <w:rsid w:val="00E479F5"/>
    <w:rsid w:val="00E50143"/>
    <w:rsid w:val="00E514EE"/>
    <w:rsid w:val="00E543F6"/>
    <w:rsid w:val="00E54DD0"/>
    <w:rsid w:val="00E57186"/>
    <w:rsid w:val="00E57499"/>
    <w:rsid w:val="00E6236B"/>
    <w:rsid w:val="00E63FEC"/>
    <w:rsid w:val="00E673EE"/>
    <w:rsid w:val="00E67408"/>
    <w:rsid w:val="00E71488"/>
    <w:rsid w:val="00E717D0"/>
    <w:rsid w:val="00E72F98"/>
    <w:rsid w:val="00E75E7B"/>
    <w:rsid w:val="00E7780E"/>
    <w:rsid w:val="00E778CC"/>
    <w:rsid w:val="00E83668"/>
    <w:rsid w:val="00E85474"/>
    <w:rsid w:val="00E8625B"/>
    <w:rsid w:val="00E86D2E"/>
    <w:rsid w:val="00E909F3"/>
    <w:rsid w:val="00E9142E"/>
    <w:rsid w:val="00E94EFF"/>
    <w:rsid w:val="00E9575A"/>
    <w:rsid w:val="00E96E69"/>
    <w:rsid w:val="00E97FA5"/>
    <w:rsid w:val="00EA06A7"/>
    <w:rsid w:val="00EA1F03"/>
    <w:rsid w:val="00EA202F"/>
    <w:rsid w:val="00EA4676"/>
    <w:rsid w:val="00EA484D"/>
    <w:rsid w:val="00EA5B0D"/>
    <w:rsid w:val="00EB2A96"/>
    <w:rsid w:val="00EB62CB"/>
    <w:rsid w:val="00EB71AF"/>
    <w:rsid w:val="00EC0180"/>
    <w:rsid w:val="00EC0A4F"/>
    <w:rsid w:val="00EC412E"/>
    <w:rsid w:val="00EC419C"/>
    <w:rsid w:val="00EC61B0"/>
    <w:rsid w:val="00ED473A"/>
    <w:rsid w:val="00ED5B45"/>
    <w:rsid w:val="00ED69C2"/>
    <w:rsid w:val="00EE163B"/>
    <w:rsid w:val="00EE4155"/>
    <w:rsid w:val="00EE5471"/>
    <w:rsid w:val="00EE5ED3"/>
    <w:rsid w:val="00EF3070"/>
    <w:rsid w:val="00EF4C1D"/>
    <w:rsid w:val="00EF7CFB"/>
    <w:rsid w:val="00F04C5A"/>
    <w:rsid w:val="00F056F2"/>
    <w:rsid w:val="00F078D3"/>
    <w:rsid w:val="00F129FB"/>
    <w:rsid w:val="00F13A68"/>
    <w:rsid w:val="00F17539"/>
    <w:rsid w:val="00F21124"/>
    <w:rsid w:val="00F26DB6"/>
    <w:rsid w:val="00F33D53"/>
    <w:rsid w:val="00F4056D"/>
    <w:rsid w:val="00F44BCB"/>
    <w:rsid w:val="00F473A8"/>
    <w:rsid w:val="00F47AD4"/>
    <w:rsid w:val="00F5286E"/>
    <w:rsid w:val="00F52A23"/>
    <w:rsid w:val="00F5315E"/>
    <w:rsid w:val="00F54B25"/>
    <w:rsid w:val="00F61E99"/>
    <w:rsid w:val="00F63D23"/>
    <w:rsid w:val="00F700E6"/>
    <w:rsid w:val="00F709B5"/>
    <w:rsid w:val="00F72582"/>
    <w:rsid w:val="00F74B77"/>
    <w:rsid w:val="00F74E4B"/>
    <w:rsid w:val="00F767F6"/>
    <w:rsid w:val="00F76CB2"/>
    <w:rsid w:val="00F77C38"/>
    <w:rsid w:val="00F803C8"/>
    <w:rsid w:val="00F82202"/>
    <w:rsid w:val="00F832AA"/>
    <w:rsid w:val="00F83A13"/>
    <w:rsid w:val="00F87104"/>
    <w:rsid w:val="00F90028"/>
    <w:rsid w:val="00F95835"/>
    <w:rsid w:val="00F9590A"/>
    <w:rsid w:val="00FA272F"/>
    <w:rsid w:val="00FA2AA1"/>
    <w:rsid w:val="00FA2F7A"/>
    <w:rsid w:val="00FA3FB0"/>
    <w:rsid w:val="00FA4FE5"/>
    <w:rsid w:val="00FA6307"/>
    <w:rsid w:val="00FB2600"/>
    <w:rsid w:val="00FB2DAA"/>
    <w:rsid w:val="00FB2E5A"/>
    <w:rsid w:val="00FB3E39"/>
    <w:rsid w:val="00FB48D2"/>
    <w:rsid w:val="00FB537F"/>
    <w:rsid w:val="00FB7742"/>
    <w:rsid w:val="00FC6082"/>
    <w:rsid w:val="00FC71C2"/>
    <w:rsid w:val="00FC7953"/>
    <w:rsid w:val="00FD11FB"/>
    <w:rsid w:val="00FD27F3"/>
    <w:rsid w:val="00FD5708"/>
    <w:rsid w:val="00FE57F9"/>
    <w:rsid w:val="00FF2A3D"/>
    <w:rsid w:val="00FF2E2B"/>
    <w:rsid w:val="00FF46B4"/>
    <w:rsid w:val="00FF676A"/>
    <w:rsid w:val="00FF7DF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FD1FA0"/>
  <w15:docId w15:val="{610DA064-0BDC-4134-B803-570ECFA1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TitelZchn">
    <w:name w:val="Titel Zchn"/>
    <w:basedOn w:val="Absatz-Standardschriftart"/>
    <w:link w:val="Titel"/>
    <w:uiPriority w:val="10"/>
    <w:rsid w:val="00980B9F"/>
    <w:rPr>
      <w:rFonts w:eastAsiaTheme="majorEastAsia" w:cstheme="majorBidi"/>
      <w:b/>
      <w:bCs/>
      <w:color w:val="D31932" w:themeColor="accent1"/>
      <w:spacing w:val="20"/>
      <w:sz w:val="28"/>
      <w:szCs w:val="28"/>
      <w:lang w:val="de-CH"/>
    </w:rPr>
  </w:style>
  <w:style w:type="table" w:customStyle="1" w:styleId="Tabellenraster1">
    <w:name w:val="Tabellenraster1"/>
    <w:basedOn w:val="NormaleTabelle"/>
    <w:next w:val="Tabellenraster"/>
    <w:rsid w:val="00980B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3.png"/><Relationship Id="rId26" Type="http://schemas.openxmlformats.org/officeDocument/2006/relationships/hyperlink" Target="https://www.agenda-2030.eda.admin.ch/dam/de/sd-web/cfB15uDpKPPO/zwischenbericht-umsetzung-strategie-nachhaltige-entwicklung-2030_DE.pdf" TargetMode="External"/><Relationship Id="rId3" Type="http://schemas.openxmlformats.org/officeDocument/2006/relationships/customXml" Target="../customXml/item3.xml"/><Relationship Id="rId21" Type="http://schemas.openxmlformats.org/officeDocument/2006/relationships/hyperlink" Target="mailto:rene.wuethrich@ehb.swis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hb.swiss/umsetzungsbeispiele-des-nachteilsausgleichs-den-drei-lernorten" TargetMode="External"/><Relationship Id="rId25" Type="http://schemas.openxmlformats.org/officeDocument/2006/relationships/hyperlink" Target="https://www.bfs.admin.ch/bfs/en/home.assetdetail.33026123.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5.png"/><Relationship Id="rId29" Type="http://schemas.openxmlformats.org/officeDocument/2006/relationships/hyperlink" Target="https://doi.org/10.57161/z2024-07-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5" TargetMode="External"/><Relationship Id="rId24" Type="http://schemas.openxmlformats.org/officeDocument/2006/relationships/hyperlink" Target="https://www.zemces.ch/download/pictures/27/gh9ik1h87usyh1yk11689oioe9pu8i/bericht_nachteilsausgleich_final_d.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mailto:anne.trojanek@ehb.swiss" TargetMode="External"/><Relationship Id="rId28" Type="http://schemas.openxmlformats.org/officeDocument/2006/relationships/hyperlink" Target="https://edudoc.ch/record/216981/files/empf_nachteilsausgleich_d.pdf"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enda-2030.eda.admin.ch/dam/de/sd-web/cfB15uDpKPPO/zwischenbericht-umsetzung-strategie-nachhaltige-entwicklung-2030_DE.pdf" TargetMode="External"/><Relationship Id="rId22" Type="http://schemas.openxmlformats.org/officeDocument/2006/relationships/hyperlink" Target="mailto:katja.margelisch@ehb.swiss" TargetMode="External"/><Relationship Id="rId27" Type="http://schemas.openxmlformats.org/officeDocument/2006/relationships/hyperlink" Target="https://www.agenda-2030.eda.admin.ch/de/sdg-4-hochwertige-bildung" TargetMode="External"/><Relationship Id="rId30" Type="http://schemas.openxmlformats.org/officeDocument/2006/relationships/hyperlink" Target="https://transfer.vet/fr/formation-numerique-inclusive-des-perspectives-davenir-pour-la-formation-professionnelle"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ehb.swiss/umsetzungsbeispiele-des-nachteilsausgleichs-den-drei-lernorte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Tabelle1!$B$1</c:f>
              <c:strCache>
                <c:ptCount val="1"/>
                <c:pt idx="0">
                  <c:v>stimme überhaupt nicht zu</c:v>
                </c:pt>
              </c:strCache>
            </c:strRef>
          </c:tx>
          <c:spPr>
            <a:solidFill>
              <a:schemeClr val="tx1">
                <a:lumMod val="50000"/>
                <a:lumOff val="50000"/>
              </a:schemeClr>
            </a:solidFill>
            <a:ln>
              <a:noFill/>
            </a:ln>
            <a:effectLst/>
          </c:spPr>
          <c:invertIfNegative val="0"/>
          <c:dLbls>
            <c:spPr>
              <a:solidFill>
                <a:srgbClr val="FFFFFF">
                  <a:lumMod val="85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Tabelle1!$B$2:$B$16</c:f>
              <c:numCache>
                <c:formatCode>General</c:formatCode>
                <c:ptCount val="15"/>
                <c:pt idx="0">
                  <c:v>0.8</c:v>
                </c:pt>
                <c:pt idx="1">
                  <c:v>3.3</c:v>
                </c:pt>
                <c:pt idx="2">
                  <c:v>1.2</c:v>
                </c:pt>
                <c:pt idx="3">
                  <c:v>1.3</c:v>
                </c:pt>
                <c:pt idx="4">
                  <c:v>3.3</c:v>
                </c:pt>
                <c:pt idx="5">
                  <c:v>1.9</c:v>
                </c:pt>
                <c:pt idx="6">
                  <c:v>0.8</c:v>
                </c:pt>
                <c:pt idx="7">
                  <c:v>0.8</c:v>
                </c:pt>
                <c:pt idx="8">
                  <c:v>1.2</c:v>
                </c:pt>
                <c:pt idx="9">
                  <c:v>0.8</c:v>
                </c:pt>
                <c:pt idx="10">
                  <c:v>8.6999999999999993</c:v>
                </c:pt>
                <c:pt idx="11">
                  <c:v>1.2</c:v>
                </c:pt>
                <c:pt idx="12">
                  <c:v>1.2</c:v>
                </c:pt>
                <c:pt idx="13">
                  <c:v>1.2</c:v>
                </c:pt>
                <c:pt idx="14">
                  <c:v>0.8</c:v>
                </c:pt>
              </c:numCache>
            </c:numRef>
          </c:val>
          <c:extLst>
            <c:ext xmlns:c16="http://schemas.microsoft.com/office/drawing/2014/chart" uri="{C3380CC4-5D6E-409C-BE32-E72D297353CC}">
              <c16:uniqueId val="{00000000-95B0-4341-AF1C-8CD0D16B59A8}"/>
            </c:ext>
          </c:extLst>
        </c:ser>
        <c:ser>
          <c:idx val="1"/>
          <c:order val="1"/>
          <c:tx>
            <c:strRef>
              <c:f>Tabelle1!$C$1</c:f>
              <c:strCache>
                <c:ptCount val="1"/>
                <c:pt idx="0">
                  <c:v>stimme nicht zu</c:v>
                </c:pt>
              </c:strCache>
            </c:strRef>
          </c:tx>
          <c:spPr>
            <a:solidFill>
              <a:srgbClr val="252B46">
                <a:lumMod val="60000"/>
                <a:lumOff val="40000"/>
              </a:srgbClr>
            </a:solidFill>
            <a:ln>
              <a:noFill/>
            </a:ln>
            <a:effectLst/>
          </c:spPr>
          <c:invertIfNegative val="0"/>
          <c:dLbls>
            <c:spPr>
              <a:solidFill>
                <a:srgbClr val="252B46">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Tabelle1!$C$2:$C$16</c:f>
              <c:numCache>
                <c:formatCode>General</c:formatCode>
                <c:ptCount val="15"/>
                <c:pt idx="0">
                  <c:v>3.6</c:v>
                </c:pt>
                <c:pt idx="1">
                  <c:v>4.0999999999999996</c:v>
                </c:pt>
                <c:pt idx="2">
                  <c:v>3.7</c:v>
                </c:pt>
                <c:pt idx="3">
                  <c:v>3.8</c:v>
                </c:pt>
                <c:pt idx="4">
                  <c:v>9</c:v>
                </c:pt>
                <c:pt idx="5">
                  <c:v>4.5999999999999996</c:v>
                </c:pt>
                <c:pt idx="6">
                  <c:v>3.5</c:v>
                </c:pt>
                <c:pt idx="7">
                  <c:v>0.8</c:v>
                </c:pt>
                <c:pt idx="8">
                  <c:v>1.6</c:v>
                </c:pt>
                <c:pt idx="9">
                  <c:v>1.2</c:v>
                </c:pt>
                <c:pt idx="10">
                  <c:v>11</c:v>
                </c:pt>
                <c:pt idx="11">
                  <c:v>1.2</c:v>
                </c:pt>
                <c:pt idx="12">
                  <c:v>3.5</c:v>
                </c:pt>
                <c:pt idx="13">
                  <c:v>1.9</c:v>
                </c:pt>
                <c:pt idx="14">
                  <c:v>5.7</c:v>
                </c:pt>
              </c:numCache>
            </c:numRef>
          </c:val>
          <c:extLst>
            <c:ext xmlns:c16="http://schemas.microsoft.com/office/drawing/2014/chart" uri="{C3380CC4-5D6E-409C-BE32-E72D297353CC}">
              <c16:uniqueId val="{00000001-95B0-4341-AF1C-8CD0D16B59A8}"/>
            </c:ext>
          </c:extLst>
        </c:ser>
        <c:ser>
          <c:idx val="2"/>
          <c:order val="2"/>
          <c:tx>
            <c:strRef>
              <c:f>Tabelle1!$D$1</c:f>
              <c:strCache>
                <c:ptCount val="1"/>
                <c:pt idx="0">
                  <c:v>stimme eher nicht zu</c:v>
                </c:pt>
              </c:strCache>
            </c:strRef>
          </c:tx>
          <c:spPr>
            <a:solidFill>
              <a:srgbClr val="EB5E51">
                <a:lumMod val="60000"/>
                <a:lumOff val="40000"/>
              </a:srgbClr>
            </a:solidFill>
            <a:ln>
              <a:noFill/>
            </a:ln>
            <a:effectLst/>
          </c:spPr>
          <c:invertIfNegative val="0"/>
          <c:dLbls>
            <c:spPr>
              <a:solidFill>
                <a:srgbClr val="EB5E51">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Tabelle1!$D$2:$D$16</c:f>
              <c:numCache>
                <c:formatCode>General</c:formatCode>
                <c:ptCount val="15"/>
                <c:pt idx="0">
                  <c:v>10.5</c:v>
                </c:pt>
                <c:pt idx="1">
                  <c:v>8.1999999999999993</c:v>
                </c:pt>
                <c:pt idx="2">
                  <c:v>10.6</c:v>
                </c:pt>
                <c:pt idx="3">
                  <c:v>11</c:v>
                </c:pt>
                <c:pt idx="4">
                  <c:v>17.5</c:v>
                </c:pt>
                <c:pt idx="5">
                  <c:v>12</c:v>
                </c:pt>
                <c:pt idx="6">
                  <c:v>8.3000000000000007</c:v>
                </c:pt>
                <c:pt idx="7">
                  <c:v>3.6</c:v>
                </c:pt>
                <c:pt idx="8">
                  <c:v>3.3</c:v>
                </c:pt>
                <c:pt idx="9">
                  <c:v>4.0999999999999996</c:v>
                </c:pt>
                <c:pt idx="10">
                  <c:v>21.1</c:v>
                </c:pt>
                <c:pt idx="11">
                  <c:v>8.1999999999999993</c:v>
                </c:pt>
                <c:pt idx="12">
                  <c:v>8.9</c:v>
                </c:pt>
                <c:pt idx="13">
                  <c:v>5.8</c:v>
                </c:pt>
                <c:pt idx="14">
                  <c:v>7.3</c:v>
                </c:pt>
              </c:numCache>
            </c:numRef>
          </c:val>
          <c:extLst>
            <c:ext xmlns:c16="http://schemas.microsoft.com/office/drawing/2014/chart" uri="{C3380CC4-5D6E-409C-BE32-E72D297353CC}">
              <c16:uniqueId val="{00000002-95B0-4341-AF1C-8CD0D16B59A8}"/>
            </c:ext>
          </c:extLst>
        </c:ser>
        <c:ser>
          <c:idx val="3"/>
          <c:order val="3"/>
          <c:tx>
            <c:strRef>
              <c:f>Tabelle1!$E$1</c:f>
              <c:strCache>
                <c:ptCount val="1"/>
                <c:pt idx="0">
                  <c:v>stimme eher zu</c:v>
                </c:pt>
              </c:strCache>
            </c:strRef>
          </c:tx>
          <c:spPr>
            <a:solidFill>
              <a:srgbClr val="C7CF1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Tabelle1!$E$2:$E$16</c:f>
              <c:numCache>
                <c:formatCode>General</c:formatCode>
                <c:ptCount val="15"/>
                <c:pt idx="0">
                  <c:v>25.4</c:v>
                </c:pt>
                <c:pt idx="1">
                  <c:v>25.4</c:v>
                </c:pt>
                <c:pt idx="2">
                  <c:v>35.799999999999997</c:v>
                </c:pt>
                <c:pt idx="3">
                  <c:v>28.3</c:v>
                </c:pt>
                <c:pt idx="4">
                  <c:v>34.1</c:v>
                </c:pt>
                <c:pt idx="5">
                  <c:v>28.2</c:v>
                </c:pt>
                <c:pt idx="6">
                  <c:v>29.5</c:v>
                </c:pt>
                <c:pt idx="7">
                  <c:v>14.2</c:v>
                </c:pt>
                <c:pt idx="8">
                  <c:v>21.7</c:v>
                </c:pt>
                <c:pt idx="9">
                  <c:v>24.7</c:v>
                </c:pt>
                <c:pt idx="10">
                  <c:v>22.9</c:v>
                </c:pt>
                <c:pt idx="11">
                  <c:v>24.2</c:v>
                </c:pt>
                <c:pt idx="12">
                  <c:v>26.8</c:v>
                </c:pt>
                <c:pt idx="13">
                  <c:v>33.700000000000003</c:v>
                </c:pt>
                <c:pt idx="14">
                  <c:v>26.3</c:v>
                </c:pt>
              </c:numCache>
            </c:numRef>
          </c:val>
          <c:extLst>
            <c:ext xmlns:c16="http://schemas.microsoft.com/office/drawing/2014/chart" uri="{C3380CC4-5D6E-409C-BE32-E72D297353CC}">
              <c16:uniqueId val="{00000003-95B0-4341-AF1C-8CD0D16B59A8}"/>
            </c:ext>
          </c:extLst>
        </c:ser>
        <c:ser>
          <c:idx val="4"/>
          <c:order val="4"/>
          <c:tx>
            <c:strRef>
              <c:f>Tabelle1!$F$1</c:f>
              <c:strCache>
                <c:ptCount val="1"/>
                <c:pt idx="0">
                  <c:v>stimme zu</c:v>
                </c:pt>
              </c:strCache>
            </c:strRef>
          </c:tx>
          <c:spPr>
            <a:solidFill>
              <a:srgbClr val="5F9FB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Tabelle1!$F$2:$F$16</c:f>
              <c:numCache>
                <c:formatCode>General</c:formatCode>
                <c:ptCount val="15"/>
                <c:pt idx="0">
                  <c:v>42.7</c:v>
                </c:pt>
                <c:pt idx="1">
                  <c:v>46.3</c:v>
                </c:pt>
                <c:pt idx="2">
                  <c:v>35</c:v>
                </c:pt>
                <c:pt idx="3">
                  <c:v>43</c:v>
                </c:pt>
                <c:pt idx="4">
                  <c:v>27.5</c:v>
                </c:pt>
                <c:pt idx="5">
                  <c:v>40.700000000000003</c:v>
                </c:pt>
                <c:pt idx="6">
                  <c:v>42.5</c:v>
                </c:pt>
                <c:pt idx="7">
                  <c:v>51.8</c:v>
                </c:pt>
                <c:pt idx="8">
                  <c:v>46.3</c:v>
                </c:pt>
                <c:pt idx="9">
                  <c:v>50.2</c:v>
                </c:pt>
                <c:pt idx="10">
                  <c:v>29.4</c:v>
                </c:pt>
                <c:pt idx="11">
                  <c:v>44.1</c:v>
                </c:pt>
                <c:pt idx="12">
                  <c:v>39.299999999999997</c:v>
                </c:pt>
                <c:pt idx="13">
                  <c:v>41.1</c:v>
                </c:pt>
                <c:pt idx="14">
                  <c:v>45.7</c:v>
                </c:pt>
              </c:numCache>
            </c:numRef>
          </c:val>
          <c:extLst>
            <c:ext xmlns:c16="http://schemas.microsoft.com/office/drawing/2014/chart" uri="{C3380CC4-5D6E-409C-BE32-E72D297353CC}">
              <c16:uniqueId val="{00000004-95B0-4341-AF1C-8CD0D16B59A8}"/>
            </c:ext>
          </c:extLst>
        </c:ser>
        <c:ser>
          <c:idx val="5"/>
          <c:order val="5"/>
          <c:tx>
            <c:strRef>
              <c:f>Tabelle1!$G$1</c:f>
              <c:strCache>
                <c:ptCount val="1"/>
                <c:pt idx="0">
                  <c:v>stimme völlig zu</c:v>
                </c:pt>
              </c:strCache>
            </c:strRef>
          </c:tx>
          <c:spPr>
            <a:solidFill>
              <a:srgbClr val="A98899">
                <a:lumMod val="75000"/>
              </a:srgbClr>
            </a:solidFill>
            <a:ln>
              <a:noFill/>
            </a:ln>
            <a:effectLst/>
          </c:spPr>
          <c:invertIfNegative val="0"/>
          <c:dLbls>
            <c:spPr>
              <a:solidFill>
                <a:srgbClr val="A98899">
                  <a:lumMod val="75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Tabelle1!$A$2:$A$16</c:f>
              <c:strCache>
                <c:ptCount val="15"/>
                <c:pt idx="0">
                  <c:v>Der Nachteilsausgleich wird von den Lernenden als Chance betrachtet.</c:v>
                </c:pt>
                <c:pt idx="1">
                  <c:v>Individuelles Engagement und individuelle Lösungen im Umgang mit dem Nachteilsausgleich anstreben.</c:v>
                </c:pt>
                <c:pt idx="2">
                  <c:v>Alle Beteiligten zeigen Verständnis und einen offenen Umgang mit dem Nachteilsausgleich.</c:v>
                </c:pt>
                <c:pt idx="3">
                  <c:v>Lernende in die Verantwortung zur Umsetzung des Nachteilsausgleichs einbeziehen.</c:v>
                </c:pt>
                <c:pt idx="4">
                  <c:v>Lernort üK informiert die Lernenden aktiv und unterstützt bei Fragen zum Nachteilsausgleich.</c:v>
                </c:pt>
                <c:pt idx="5">
                  <c:v>Bei der üK-Zentrumsleitung sind die Zuständigkeiten klar geregelt.</c:v>
                </c:pt>
                <c:pt idx="6">
                  <c:v>Die Beteiligten sind dem Nachteilsausgleich gegenüber wohlwollend eingestellt.</c:v>
                </c:pt>
                <c:pt idx="7">
                  <c:v>Der Umgang mit den Lernenden ist von Wertschätzung geprägt. </c:v>
                </c:pt>
                <c:pt idx="8">
                  <c:v>Offenheit als berufsbildungsverantwortliche Person für individuelle Lösungen und pragmatisches Vorgehen.</c:v>
                </c:pt>
                <c:pt idx="9">
                  <c:v>Die Beziehung Lehrperson-Lernende ist vertrauensvoll.</c:v>
                </c:pt>
                <c:pt idx="10">
                  <c:v>Die Zuständigkeiten an der Berufsfachschule sind unterschiedlich geregelt. </c:v>
                </c:pt>
                <c:pt idx="11">
                  <c:v>Die Beteiligten akzeptieren den Nachteilsausgleich.</c:v>
                </c:pt>
                <c:pt idx="12">
                  <c:v>Das Amt und die Lernorte arbeiten zusammen.</c:v>
                </c:pt>
                <c:pt idx="13">
                  <c:v>Die beteiligten Personen an den Lernorten haben Verständnis für die Lernenden.</c:v>
                </c:pt>
                <c:pt idx="14">
                  <c:v>Das Gesuchsverfahren ist transparent (z. B. klare Abläufe, Prozesse, Massnahmen).</c:v>
                </c:pt>
              </c:strCache>
            </c:strRef>
          </c:cat>
          <c:val>
            <c:numRef>
              <c:f>Tabelle1!$G$2:$G$16</c:f>
              <c:numCache>
                <c:formatCode>General</c:formatCode>
                <c:ptCount val="15"/>
                <c:pt idx="0">
                  <c:v>16.899999999999999</c:v>
                </c:pt>
                <c:pt idx="1">
                  <c:v>12.7</c:v>
                </c:pt>
                <c:pt idx="2">
                  <c:v>13.8</c:v>
                </c:pt>
                <c:pt idx="3">
                  <c:v>12.7</c:v>
                </c:pt>
                <c:pt idx="4">
                  <c:v>8.5</c:v>
                </c:pt>
                <c:pt idx="5">
                  <c:v>12.5</c:v>
                </c:pt>
                <c:pt idx="6">
                  <c:v>15.4</c:v>
                </c:pt>
                <c:pt idx="7">
                  <c:v>28.9</c:v>
                </c:pt>
                <c:pt idx="8">
                  <c:v>25.8</c:v>
                </c:pt>
                <c:pt idx="9">
                  <c:v>18.899999999999999</c:v>
                </c:pt>
                <c:pt idx="10">
                  <c:v>6.9</c:v>
                </c:pt>
                <c:pt idx="11">
                  <c:v>21.1</c:v>
                </c:pt>
                <c:pt idx="12">
                  <c:v>20.2</c:v>
                </c:pt>
                <c:pt idx="13">
                  <c:v>16.3</c:v>
                </c:pt>
                <c:pt idx="14">
                  <c:v>14.2</c:v>
                </c:pt>
              </c:numCache>
            </c:numRef>
          </c:val>
          <c:extLst>
            <c:ext xmlns:c16="http://schemas.microsoft.com/office/drawing/2014/chart" uri="{C3380CC4-5D6E-409C-BE32-E72D297353CC}">
              <c16:uniqueId val="{00000005-95B0-4341-AF1C-8CD0D16B59A8}"/>
            </c:ext>
          </c:extLst>
        </c:ser>
        <c:dLbls>
          <c:dLblPos val="ctr"/>
          <c:showLegendKey val="0"/>
          <c:showVal val="1"/>
          <c:showCatName val="0"/>
          <c:showSerName val="0"/>
          <c:showPercent val="0"/>
          <c:showBubbleSize val="0"/>
        </c:dLbls>
        <c:gapWidth val="150"/>
        <c:overlap val="100"/>
        <c:axId val="830370424"/>
        <c:axId val="830370784"/>
      </c:barChart>
      <c:catAx>
        <c:axId val="830370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784"/>
        <c:crosses val="autoZero"/>
        <c:auto val="1"/>
        <c:lblAlgn val="l"/>
        <c:lblOffset val="100"/>
        <c:noMultiLvlLbl val="0"/>
      </c:catAx>
      <c:valAx>
        <c:axId val="8303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499894219412065"/>
          <c:y val="1.5172180828255923E-2"/>
          <c:w val="0.4800669115751372"/>
          <c:h val="0.91070481710514195"/>
        </c:manualLayout>
      </c:layout>
      <c:barChart>
        <c:barDir val="bar"/>
        <c:grouping val="percentStacked"/>
        <c:varyColors val="0"/>
        <c:ser>
          <c:idx val="0"/>
          <c:order val="0"/>
          <c:tx>
            <c:strRef>
              <c:f>Tabelle1!$B$1</c:f>
              <c:strCache>
                <c:ptCount val="1"/>
                <c:pt idx="0">
                  <c:v>stimme überhaupt nicht zu</c:v>
                </c:pt>
              </c:strCache>
            </c:strRef>
          </c:tx>
          <c:spPr>
            <a:solidFill>
              <a:srgbClr val="252B46">
                <a:lumMod val="60000"/>
                <a:lumOff val="40000"/>
              </a:srgbClr>
            </a:solidFill>
            <a:ln>
              <a:noFill/>
            </a:ln>
            <a:effectLst/>
          </c:spPr>
          <c:invertIfNegative val="0"/>
          <c:dLbls>
            <c:spPr>
              <a:solidFill>
                <a:srgbClr val="252B46">
                  <a:lumMod val="60000"/>
                  <a:lumOff val="40000"/>
                </a:srgb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Tabelle1!$B$2:$B$18</c:f>
              <c:numCache>
                <c:formatCode>General</c:formatCode>
                <c:ptCount val="17"/>
                <c:pt idx="0">
                  <c:v>1</c:v>
                </c:pt>
                <c:pt idx="1">
                  <c:v>3.7</c:v>
                </c:pt>
                <c:pt idx="2">
                  <c:v>4.7</c:v>
                </c:pt>
                <c:pt idx="3">
                  <c:v>3.1</c:v>
                </c:pt>
                <c:pt idx="4">
                  <c:v>2.9</c:v>
                </c:pt>
                <c:pt idx="5">
                  <c:v>13.6</c:v>
                </c:pt>
                <c:pt idx="6">
                  <c:v>20.5</c:v>
                </c:pt>
                <c:pt idx="7">
                  <c:v>6</c:v>
                </c:pt>
                <c:pt idx="8">
                  <c:v>5.4</c:v>
                </c:pt>
                <c:pt idx="9">
                  <c:v>2.5</c:v>
                </c:pt>
                <c:pt idx="10">
                  <c:v>4.8</c:v>
                </c:pt>
                <c:pt idx="11">
                  <c:v>11.4</c:v>
                </c:pt>
                <c:pt idx="12">
                  <c:v>3.9</c:v>
                </c:pt>
                <c:pt idx="13">
                  <c:v>4.4000000000000004</c:v>
                </c:pt>
                <c:pt idx="14">
                  <c:v>2.2000000000000002</c:v>
                </c:pt>
                <c:pt idx="15">
                  <c:v>3.5</c:v>
                </c:pt>
                <c:pt idx="16">
                  <c:v>6.1</c:v>
                </c:pt>
              </c:numCache>
            </c:numRef>
          </c:val>
          <c:extLst>
            <c:ext xmlns:c16="http://schemas.microsoft.com/office/drawing/2014/chart" uri="{C3380CC4-5D6E-409C-BE32-E72D297353CC}">
              <c16:uniqueId val="{00000000-3318-4803-9561-C1B619C3621E}"/>
            </c:ext>
          </c:extLst>
        </c:ser>
        <c:ser>
          <c:idx val="1"/>
          <c:order val="1"/>
          <c:tx>
            <c:strRef>
              <c:f>Tabelle1!$C$1</c:f>
              <c:strCache>
                <c:ptCount val="1"/>
                <c:pt idx="0">
                  <c:v>stimme nicht zu</c:v>
                </c:pt>
              </c:strCache>
            </c:strRef>
          </c:tx>
          <c:spPr>
            <a:solidFill>
              <a:srgbClr val="D31932">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Tabelle1!$C$2:$C$18</c:f>
              <c:numCache>
                <c:formatCode>General</c:formatCode>
                <c:ptCount val="17"/>
                <c:pt idx="0">
                  <c:v>2</c:v>
                </c:pt>
                <c:pt idx="1">
                  <c:v>5.6</c:v>
                </c:pt>
                <c:pt idx="2">
                  <c:v>13.5</c:v>
                </c:pt>
                <c:pt idx="3">
                  <c:v>12.2</c:v>
                </c:pt>
                <c:pt idx="4">
                  <c:v>9.3000000000000007</c:v>
                </c:pt>
                <c:pt idx="5">
                  <c:v>37.700000000000003</c:v>
                </c:pt>
                <c:pt idx="6">
                  <c:v>40</c:v>
                </c:pt>
                <c:pt idx="7">
                  <c:v>15</c:v>
                </c:pt>
                <c:pt idx="8">
                  <c:v>12.2</c:v>
                </c:pt>
                <c:pt idx="9">
                  <c:v>7.1</c:v>
                </c:pt>
                <c:pt idx="10">
                  <c:v>15</c:v>
                </c:pt>
                <c:pt idx="11">
                  <c:v>13.9</c:v>
                </c:pt>
                <c:pt idx="12">
                  <c:v>4.9000000000000004</c:v>
                </c:pt>
                <c:pt idx="13">
                  <c:v>15.6</c:v>
                </c:pt>
                <c:pt idx="14">
                  <c:v>10.6</c:v>
                </c:pt>
                <c:pt idx="15">
                  <c:v>21.4</c:v>
                </c:pt>
                <c:pt idx="16">
                  <c:v>17.399999999999999</c:v>
                </c:pt>
              </c:numCache>
            </c:numRef>
          </c:val>
          <c:extLst>
            <c:ext xmlns:c16="http://schemas.microsoft.com/office/drawing/2014/chart" uri="{C3380CC4-5D6E-409C-BE32-E72D297353CC}">
              <c16:uniqueId val="{00000001-3318-4803-9561-C1B619C3621E}"/>
            </c:ext>
          </c:extLst>
        </c:ser>
        <c:ser>
          <c:idx val="2"/>
          <c:order val="2"/>
          <c:tx>
            <c:strRef>
              <c:f>Tabelle1!$D$1</c:f>
              <c:strCache>
                <c:ptCount val="1"/>
                <c:pt idx="0">
                  <c:v>stimme eher nicht zu</c:v>
                </c:pt>
              </c:strCache>
            </c:strRef>
          </c:tx>
          <c:spPr>
            <a:solidFill>
              <a:srgbClr val="C7CF1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Tabelle1!$D$2:$D$18</c:f>
              <c:numCache>
                <c:formatCode>General</c:formatCode>
                <c:ptCount val="17"/>
                <c:pt idx="0">
                  <c:v>13</c:v>
                </c:pt>
                <c:pt idx="1">
                  <c:v>20.399999999999999</c:v>
                </c:pt>
                <c:pt idx="2">
                  <c:v>17.2</c:v>
                </c:pt>
                <c:pt idx="3">
                  <c:v>17.899999999999999</c:v>
                </c:pt>
                <c:pt idx="4">
                  <c:v>17.399999999999999</c:v>
                </c:pt>
                <c:pt idx="5">
                  <c:v>27.6</c:v>
                </c:pt>
                <c:pt idx="6">
                  <c:v>23.4</c:v>
                </c:pt>
                <c:pt idx="7">
                  <c:v>21.5</c:v>
                </c:pt>
                <c:pt idx="8">
                  <c:v>17.100000000000001</c:v>
                </c:pt>
                <c:pt idx="9">
                  <c:v>15.2</c:v>
                </c:pt>
                <c:pt idx="10">
                  <c:v>21.7</c:v>
                </c:pt>
                <c:pt idx="11">
                  <c:v>28.9</c:v>
                </c:pt>
                <c:pt idx="12">
                  <c:v>11.8</c:v>
                </c:pt>
                <c:pt idx="13">
                  <c:v>19.5</c:v>
                </c:pt>
                <c:pt idx="14">
                  <c:v>17.8</c:v>
                </c:pt>
                <c:pt idx="15">
                  <c:v>26.9</c:v>
                </c:pt>
                <c:pt idx="16">
                  <c:v>21.6</c:v>
                </c:pt>
              </c:numCache>
            </c:numRef>
          </c:val>
          <c:extLst>
            <c:ext xmlns:c16="http://schemas.microsoft.com/office/drawing/2014/chart" uri="{C3380CC4-5D6E-409C-BE32-E72D297353CC}">
              <c16:uniqueId val="{00000002-3318-4803-9561-C1B619C3621E}"/>
            </c:ext>
          </c:extLst>
        </c:ser>
        <c:ser>
          <c:idx val="3"/>
          <c:order val="3"/>
          <c:tx>
            <c:strRef>
              <c:f>Tabelle1!$E$1</c:f>
              <c:strCache>
                <c:ptCount val="1"/>
                <c:pt idx="0">
                  <c:v>stimme eher zu</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Tabelle1!$E$2:$E$18</c:f>
              <c:numCache>
                <c:formatCode>General</c:formatCode>
                <c:ptCount val="17"/>
                <c:pt idx="0">
                  <c:v>32.5</c:v>
                </c:pt>
                <c:pt idx="1">
                  <c:v>24.7</c:v>
                </c:pt>
                <c:pt idx="2">
                  <c:v>27.6</c:v>
                </c:pt>
                <c:pt idx="3">
                  <c:v>30.6</c:v>
                </c:pt>
                <c:pt idx="4">
                  <c:v>30.8</c:v>
                </c:pt>
                <c:pt idx="5">
                  <c:v>10.1</c:v>
                </c:pt>
                <c:pt idx="6">
                  <c:v>10.199999999999999</c:v>
                </c:pt>
                <c:pt idx="7">
                  <c:v>28.5</c:v>
                </c:pt>
                <c:pt idx="8">
                  <c:v>24.9</c:v>
                </c:pt>
                <c:pt idx="9">
                  <c:v>35.5</c:v>
                </c:pt>
                <c:pt idx="10">
                  <c:v>30</c:v>
                </c:pt>
                <c:pt idx="11">
                  <c:v>26.5</c:v>
                </c:pt>
                <c:pt idx="12">
                  <c:v>23.2</c:v>
                </c:pt>
                <c:pt idx="13">
                  <c:v>25.9</c:v>
                </c:pt>
                <c:pt idx="14">
                  <c:v>32.200000000000003</c:v>
                </c:pt>
                <c:pt idx="15">
                  <c:v>22.4</c:v>
                </c:pt>
                <c:pt idx="16">
                  <c:v>26.8</c:v>
                </c:pt>
              </c:numCache>
            </c:numRef>
          </c:val>
          <c:extLst>
            <c:ext xmlns:c16="http://schemas.microsoft.com/office/drawing/2014/chart" uri="{C3380CC4-5D6E-409C-BE32-E72D297353CC}">
              <c16:uniqueId val="{00000003-3318-4803-9561-C1B619C3621E}"/>
            </c:ext>
          </c:extLst>
        </c:ser>
        <c:ser>
          <c:idx val="4"/>
          <c:order val="4"/>
          <c:tx>
            <c:strRef>
              <c:f>Tabelle1!$F$1</c:f>
              <c:strCache>
                <c:ptCount val="1"/>
                <c:pt idx="0">
                  <c:v>stimme zu</c:v>
                </c:pt>
              </c:strCache>
            </c:strRef>
          </c:tx>
          <c:spPr>
            <a:solidFill>
              <a:srgbClr val="5F9FBC">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Tabelle1!$F$2:$F$18</c:f>
              <c:numCache>
                <c:formatCode>General</c:formatCode>
                <c:ptCount val="17"/>
                <c:pt idx="0">
                  <c:v>39.5</c:v>
                </c:pt>
                <c:pt idx="1">
                  <c:v>31.5</c:v>
                </c:pt>
                <c:pt idx="2">
                  <c:v>21.9</c:v>
                </c:pt>
                <c:pt idx="3">
                  <c:v>24</c:v>
                </c:pt>
                <c:pt idx="4">
                  <c:v>26.7</c:v>
                </c:pt>
                <c:pt idx="5">
                  <c:v>7.5</c:v>
                </c:pt>
                <c:pt idx="6">
                  <c:v>4.9000000000000004</c:v>
                </c:pt>
                <c:pt idx="7">
                  <c:v>23.5</c:v>
                </c:pt>
                <c:pt idx="8">
                  <c:v>24.9</c:v>
                </c:pt>
                <c:pt idx="9">
                  <c:v>31</c:v>
                </c:pt>
                <c:pt idx="10">
                  <c:v>18.399999999999999</c:v>
                </c:pt>
                <c:pt idx="11">
                  <c:v>15.1</c:v>
                </c:pt>
                <c:pt idx="12">
                  <c:v>22.7</c:v>
                </c:pt>
                <c:pt idx="13">
                  <c:v>22.4</c:v>
                </c:pt>
                <c:pt idx="14">
                  <c:v>23.3</c:v>
                </c:pt>
                <c:pt idx="15">
                  <c:v>20.9</c:v>
                </c:pt>
                <c:pt idx="16">
                  <c:v>21.1</c:v>
                </c:pt>
              </c:numCache>
            </c:numRef>
          </c:val>
          <c:extLst>
            <c:ext xmlns:c16="http://schemas.microsoft.com/office/drawing/2014/chart" uri="{C3380CC4-5D6E-409C-BE32-E72D297353CC}">
              <c16:uniqueId val="{00000004-3318-4803-9561-C1B619C3621E}"/>
            </c:ext>
          </c:extLst>
        </c:ser>
        <c:ser>
          <c:idx val="5"/>
          <c:order val="5"/>
          <c:tx>
            <c:strRef>
              <c:f>Tabelle1!$G$1</c:f>
              <c:strCache>
                <c:ptCount val="1"/>
                <c:pt idx="0">
                  <c:v>stimme völlig zu</c:v>
                </c:pt>
              </c:strCache>
            </c:strRef>
          </c:tx>
          <c:spPr>
            <a:solidFill>
              <a:srgbClr val="A98899">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Tabelle1!$A$2:$A$18</c:f>
              <c:strCache>
                <c:ptCount val="17"/>
                <c:pt idx="0">
                  <c:v>Verfügte Massnahmen zum Nachteilsausgleich sind tendenziell standardisiert.</c:v>
                </c:pt>
                <c:pt idx="1">
                  <c:v>Die Gesuchsstellung wird in den Kantonen unterschiedlich abgewickelt.</c:v>
                </c:pt>
                <c:pt idx="2">
                  <c:v>Vorgaben zum Datenschutz erschweren die Umsetzung der Nachteilsausgleichmassnahme. </c:v>
                </c:pt>
                <c:pt idx="3">
                  <c:v>Bei Qualifikationsverfahren gestaltet sich die verfügte Nachteilsausgleichsmassnahme herausfordernd.</c:v>
                </c:pt>
                <c:pt idx="4">
                  <c:v>Die Umsetzbarkeit der verfügten Nachteilsausgleichsmassnahme gestaltet sich im üK herausfordernd.</c:v>
                </c:pt>
                <c:pt idx="5">
                  <c:v>Lehrbetriebe nehmen ihre Verantwortung gegenüber den Lernenden unzureichend wahr. </c:v>
                </c:pt>
                <c:pt idx="6">
                  <c:v>Der Nachteilsausgleich wird von den Lernenden abgelehnt.</c:v>
                </c:pt>
                <c:pt idx="7">
                  <c:v>Involvierte Personen am QV verfügen über einen geringen Wissenshintergrund zum Nachteilsausgleich.</c:v>
                </c:pt>
                <c:pt idx="8">
                  <c:v>Datenschutz schränkt den Informationsfluss ein.</c:v>
                </c:pt>
                <c:pt idx="9">
                  <c:v>Fachliche Unterstützung zur verfügten Massnahme zum Nachteilsausgleich einholen.</c:v>
                </c:pt>
                <c:pt idx="10">
                  <c:v>Die Umsetzung der verfügten Massnahmen des Nachteilsausgleichs ist nicht zielführend.</c:v>
                </c:pt>
                <c:pt idx="11">
                  <c:v>Die Anzahl der Gesuche bei Lernenden nach Artikel 32 (Berufsabschluss für Erwachsene) nimmt zu.</c:v>
                </c:pt>
                <c:pt idx="12">
                  <c:v>Die Anzahl der Gesuche zum Nachteilsausgleich hat in den letzten Jahren zugenommen.</c:v>
                </c:pt>
                <c:pt idx="13">
                  <c:v>Zu wenige Ressourcen zur Umsetzung des Nachteilsausgleichs (z. B. Zeit, finanziell, Raum).</c:v>
                </c:pt>
                <c:pt idx="14">
                  <c:v>Die Kantone setzen die verfügten Massnahmen unterschiedlich um (z. B. Zeitzuschlag). </c:v>
                </c:pt>
                <c:pt idx="15">
                  <c:v>Die Gesuchsstellung ist komplex.</c:v>
                </c:pt>
                <c:pt idx="16">
                  <c:v>Gesuche werden erst zum Qualifikationsverfahren hin eingereicht.</c:v>
                </c:pt>
              </c:strCache>
            </c:strRef>
          </c:cat>
          <c:val>
            <c:numRef>
              <c:f>Tabelle1!$G$2:$G$18</c:f>
              <c:numCache>
                <c:formatCode>General</c:formatCode>
                <c:ptCount val="17"/>
                <c:pt idx="0">
                  <c:v>12</c:v>
                </c:pt>
                <c:pt idx="1">
                  <c:v>14.2</c:v>
                </c:pt>
                <c:pt idx="2">
                  <c:v>15.1</c:v>
                </c:pt>
                <c:pt idx="3">
                  <c:v>12.2</c:v>
                </c:pt>
                <c:pt idx="4">
                  <c:v>12.8</c:v>
                </c:pt>
                <c:pt idx="5">
                  <c:v>3.5</c:v>
                </c:pt>
                <c:pt idx="6">
                  <c:v>1</c:v>
                </c:pt>
                <c:pt idx="7">
                  <c:v>5.5</c:v>
                </c:pt>
                <c:pt idx="8">
                  <c:v>15.6</c:v>
                </c:pt>
                <c:pt idx="9">
                  <c:v>8.6</c:v>
                </c:pt>
                <c:pt idx="10">
                  <c:v>10.1</c:v>
                </c:pt>
                <c:pt idx="11">
                  <c:v>4.2</c:v>
                </c:pt>
                <c:pt idx="12">
                  <c:v>33.5</c:v>
                </c:pt>
                <c:pt idx="13">
                  <c:v>12.4</c:v>
                </c:pt>
                <c:pt idx="14">
                  <c:v>13.9</c:v>
                </c:pt>
                <c:pt idx="15">
                  <c:v>5</c:v>
                </c:pt>
                <c:pt idx="16">
                  <c:v>7</c:v>
                </c:pt>
              </c:numCache>
            </c:numRef>
          </c:val>
          <c:extLst>
            <c:ext xmlns:c16="http://schemas.microsoft.com/office/drawing/2014/chart" uri="{C3380CC4-5D6E-409C-BE32-E72D297353CC}">
              <c16:uniqueId val="{00000005-3318-4803-9561-C1B619C3621E}"/>
            </c:ext>
          </c:extLst>
        </c:ser>
        <c:dLbls>
          <c:dLblPos val="ctr"/>
          <c:showLegendKey val="0"/>
          <c:showVal val="1"/>
          <c:showCatName val="0"/>
          <c:showSerName val="0"/>
          <c:showPercent val="0"/>
          <c:showBubbleSize val="0"/>
        </c:dLbls>
        <c:gapWidth val="150"/>
        <c:overlap val="100"/>
        <c:axId val="830370424"/>
        <c:axId val="830370784"/>
      </c:barChart>
      <c:catAx>
        <c:axId val="830370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784"/>
        <c:crosses val="autoZero"/>
        <c:auto val="1"/>
        <c:lblAlgn val="ctr"/>
        <c:lblOffset val="100"/>
        <c:noMultiLvlLbl val="0"/>
      </c:catAx>
      <c:valAx>
        <c:axId val="8303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037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DE8E651C-1155-4F8C-9EC6-D889E2580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2906</Words>
  <Characters>18314</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Nachteilsausgleich in der beruflichen Grundbildung</vt:lpstr>
    </vt:vector>
  </TitlesOfParts>
  <Company/>
  <LinksUpToDate>false</LinksUpToDate>
  <CharactersWithSpaces>21178</CharactersWithSpaces>
  <SharedDoc>false</SharedDoc>
  <HLinks>
    <vt:vector size="90" baseType="variant">
      <vt:variant>
        <vt:i4>1245271</vt:i4>
      </vt:variant>
      <vt:variant>
        <vt:i4>39</vt:i4>
      </vt:variant>
      <vt:variant>
        <vt:i4>0</vt:i4>
      </vt:variant>
      <vt:variant>
        <vt:i4>5</vt:i4>
      </vt:variant>
      <vt:variant>
        <vt:lpwstr>https://transfer.vet/fr/formation-numerique-inclusive-des-perspectives-davenir-pour-la-formation-professionnelle</vt:lpwstr>
      </vt:variant>
      <vt:variant>
        <vt:lpwstr/>
      </vt:variant>
      <vt:variant>
        <vt:i4>6029406</vt:i4>
      </vt:variant>
      <vt:variant>
        <vt:i4>36</vt:i4>
      </vt:variant>
      <vt:variant>
        <vt:i4>0</vt:i4>
      </vt:variant>
      <vt:variant>
        <vt:i4>5</vt:i4>
      </vt:variant>
      <vt:variant>
        <vt:lpwstr>https://doi.org/10.57161/z2024-07-07</vt:lpwstr>
      </vt:variant>
      <vt:variant>
        <vt:lpwstr/>
      </vt:variant>
      <vt:variant>
        <vt:i4>589908</vt:i4>
      </vt:variant>
      <vt:variant>
        <vt:i4>33</vt:i4>
      </vt:variant>
      <vt:variant>
        <vt:i4>0</vt:i4>
      </vt:variant>
      <vt:variant>
        <vt:i4>5</vt:i4>
      </vt:variant>
      <vt:variant>
        <vt:lpwstr>https://edudoc.ch/record/216981/files/empf_nachteilsausgleich_d.pdf</vt:lpwstr>
      </vt:variant>
      <vt:variant>
        <vt:lpwstr/>
      </vt:variant>
      <vt:variant>
        <vt:i4>1966107</vt:i4>
      </vt:variant>
      <vt:variant>
        <vt:i4>30</vt:i4>
      </vt:variant>
      <vt:variant>
        <vt:i4>0</vt:i4>
      </vt:variant>
      <vt:variant>
        <vt:i4>5</vt:i4>
      </vt:variant>
      <vt:variant>
        <vt:lpwstr>https://www.agenda-2030.eda.admin.ch/de/sdg-4-hochwertige-bildung</vt:lpwstr>
      </vt:variant>
      <vt:variant>
        <vt:lpwstr/>
      </vt:variant>
      <vt:variant>
        <vt:i4>4980770</vt:i4>
      </vt:variant>
      <vt:variant>
        <vt:i4>27</vt:i4>
      </vt:variant>
      <vt:variant>
        <vt:i4>0</vt:i4>
      </vt:variant>
      <vt:variant>
        <vt:i4>5</vt:i4>
      </vt:variant>
      <vt:variant>
        <vt:lpwstr>https://www.are.admin.ch/dam/are/de/dokumente/nachhaltige_entwicklung/dokumente/bericht/zwischenbericht-sne2030.pdf.download.pdf/Zwischenbericht zur Umsetzung der SNE 2030.pdf</vt:lpwstr>
      </vt:variant>
      <vt:variant>
        <vt:lpwstr/>
      </vt:variant>
      <vt:variant>
        <vt:i4>6160387</vt:i4>
      </vt:variant>
      <vt:variant>
        <vt:i4>24</vt:i4>
      </vt:variant>
      <vt:variant>
        <vt:i4>0</vt:i4>
      </vt:variant>
      <vt:variant>
        <vt:i4>5</vt:i4>
      </vt:variant>
      <vt:variant>
        <vt:lpwstr>https://www.fedlex.admin.ch/eli/fga/2020/1998/de</vt:lpwstr>
      </vt:variant>
      <vt:variant>
        <vt:lpwstr/>
      </vt:variant>
      <vt:variant>
        <vt:i4>2424884</vt:i4>
      </vt:variant>
      <vt:variant>
        <vt:i4>21</vt:i4>
      </vt:variant>
      <vt:variant>
        <vt:i4>0</vt:i4>
      </vt:variant>
      <vt:variant>
        <vt:i4>5</vt:i4>
      </vt:variant>
      <vt:variant>
        <vt:lpwstr>https://www.bfs.admin.ch/bfs/en/home.assetdetail.33026123.html</vt:lpwstr>
      </vt:variant>
      <vt:variant>
        <vt:lpwstr/>
      </vt:variant>
      <vt:variant>
        <vt:i4>7274500</vt:i4>
      </vt:variant>
      <vt:variant>
        <vt:i4>18</vt:i4>
      </vt:variant>
      <vt:variant>
        <vt:i4>0</vt:i4>
      </vt:variant>
      <vt:variant>
        <vt:i4>5</vt:i4>
      </vt:variant>
      <vt:variant>
        <vt:lpwstr>https://www.zemces.ch/download/pictures/27/gh9ik1h87usyh1yk11689oioe9pu8i/bericht_nachteilsausgleich_final_d.pdf</vt:lpwstr>
      </vt:variant>
      <vt:variant>
        <vt:lpwstr/>
      </vt:variant>
      <vt:variant>
        <vt:i4>3145820</vt:i4>
      </vt:variant>
      <vt:variant>
        <vt:i4>15</vt:i4>
      </vt:variant>
      <vt:variant>
        <vt:i4>0</vt:i4>
      </vt:variant>
      <vt:variant>
        <vt:i4>5</vt:i4>
      </vt:variant>
      <vt:variant>
        <vt:lpwstr>mailto:anne.trojanek@ehb.swiss</vt:lpwstr>
      </vt:variant>
      <vt:variant>
        <vt:lpwstr/>
      </vt:variant>
      <vt:variant>
        <vt:i4>7208963</vt:i4>
      </vt:variant>
      <vt:variant>
        <vt:i4>12</vt:i4>
      </vt:variant>
      <vt:variant>
        <vt:i4>0</vt:i4>
      </vt:variant>
      <vt:variant>
        <vt:i4>5</vt:i4>
      </vt:variant>
      <vt:variant>
        <vt:lpwstr>mailto:katja.margelisch@ehb.swiss</vt:lpwstr>
      </vt:variant>
      <vt:variant>
        <vt:lpwstr/>
      </vt:variant>
      <vt:variant>
        <vt:i4>4325420</vt:i4>
      </vt:variant>
      <vt:variant>
        <vt:i4>9</vt:i4>
      </vt:variant>
      <vt:variant>
        <vt:i4>0</vt:i4>
      </vt:variant>
      <vt:variant>
        <vt:i4>5</vt:i4>
      </vt:variant>
      <vt:variant>
        <vt:lpwstr>mailto:rene.wuethrich@ehb.swiss</vt:lpwstr>
      </vt:variant>
      <vt:variant>
        <vt:lpwstr/>
      </vt:variant>
      <vt:variant>
        <vt:i4>5636124</vt:i4>
      </vt:variant>
      <vt:variant>
        <vt:i4>6</vt:i4>
      </vt:variant>
      <vt:variant>
        <vt:i4>0</vt:i4>
      </vt:variant>
      <vt:variant>
        <vt:i4>5</vt:i4>
      </vt:variant>
      <vt:variant>
        <vt:lpwstr>https://www.ehb.swiss/umsetzungsbeispiele-des-nachteilsausgleichs-den-drei-lernorten</vt:lpwstr>
      </vt:variant>
      <vt:variant>
        <vt:lpwstr/>
      </vt:variant>
      <vt:variant>
        <vt:i4>4980770</vt:i4>
      </vt:variant>
      <vt:variant>
        <vt:i4>3</vt:i4>
      </vt:variant>
      <vt:variant>
        <vt:i4>0</vt:i4>
      </vt:variant>
      <vt:variant>
        <vt:i4>5</vt:i4>
      </vt:variant>
      <vt:variant>
        <vt:lpwstr>https://www.are.admin.ch/dam/are/de/dokumente/nachhaltige_entwicklung/dokumente/bericht/zwischenbericht-sne2030.pdf.download.pdf/Zwischenbericht zur Umsetzung der SNE 2030.pdf</vt:lpwstr>
      </vt:variant>
      <vt:variant>
        <vt:lpwstr/>
      </vt:variant>
      <vt:variant>
        <vt:i4>6946912</vt:i4>
      </vt:variant>
      <vt:variant>
        <vt:i4>0</vt:i4>
      </vt:variant>
      <vt:variant>
        <vt:i4>0</vt:i4>
      </vt:variant>
      <vt:variant>
        <vt:i4>5</vt:i4>
      </vt:variant>
      <vt:variant>
        <vt:lpwstr>https://doi.org/10.57161/z2025-09-</vt:lpwstr>
      </vt:variant>
      <vt:variant>
        <vt:lpwstr/>
      </vt:variant>
      <vt:variant>
        <vt:i4>5636124</vt:i4>
      </vt:variant>
      <vt:variant>
        <vt:i4>0</vt:i4>
      </vt:variant>
      <vt:variant>
        <vt:i4>0</vt:i4>
      </vt:variant>
      <vt:variant>
        <vt:i4>5</vt:i4>
      </vt:variant>
      <vt:variant>
        <vt:lpwstr>https://www.ehb.swiss/umsetzungsbeispiele-des-nachteilsausgleichs-den-drei-lernorten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Nachteilsausgleich in der beruflichen Grundbildung</dc:title>
  <dc:subject/>
  <dc:creator>René Wüthrich;Katja Margelisch;Anne Trojanek</dc:creator>
  <cp:keywords>Behindertenrechte, Berufsbildung, Chancengleichheit, Eidgenössische Hochschule für Berufsbildung, Nachteilsausgleich/compensation des désavantages, droits des personnes en situation de handicap, égalité des chances, formation professionnelle, Haute école fédérale en formation professionnelle</cp:keywords>
  <cp:lastModifiedBy>Edition, Stagiaire</cp:lastModifiedBy>
  <cp:revision>18</cp:revision>
  <cp:lastPrinted>2025-11-25T07:18:00Z</cp:lastPrinted>
  <dcterms:created xsi:type="dcterms:W3CDTF">2025-11-24T11:09:00Z</dcterms:created>
  <dcterms:modified xsi:type="dcterms:W3CDTF">2025-12-01T10:36:00Z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