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81544" w14:textId="4F6D60B4" w:rsidR="001114E2" w:rsidRPr="001E34D4" w:rsidRDefault="006A01FF" w:rsidP="001E34D4">
      <w:pPr>
        <w:pStyle w:val="Titel"/>
      </w:pPr>
      <w:r w:rsidRPr="006A132C">
        <w:t>Demokratie für alle</w:t>
      </w:r>
    </w:p>
    <w:p w14:paraId="7A7319AD" w14:textId="77777777" w:rsidR="00CC620A" w:rsidRPr="001E34D4" w:rsidRDefault="006A01FF" w:rsidP="001E34D4">
      <w:pPr>
        <w:pStyle w:val="Untertitel"/>
        <w:rPr>
          <w:rStyle w:val="UntertitelZchn"/>
          <w:bCs/>
        </w:rPr>
      </w:pPr>
      <w:r w:rsidRPr="001E34D4">
        <w:rPr>
          <w:rStyle w:val="UntertitelZchn"/>
          <w:bCs/>
        </w:rPr>
        <w:t>Was braucht es für mehr Repräsentation von Menschen mit Behinderungen in der Politik?</w:t>
      </w:r>
    </w:p>
    <w:p w14:paraId="44684D0C" w14:textId="2CACE966" w:rsidR="006A01FF" w:rsidRPr="00155CDC" w:rsidRDefault="006A01FF" w:rsidP="001E34D4">
      <w:pPr>
        <w:pStyle w:val="Author"/>
        <w:rPr>
          <w:lang w:val="de-CH"/>
        </w:rPr>
      </w:pPr>
      <w:r w:rsidRPr="00155CDC">
        <w:rPr>
          <w:lang w:val="de-CH"/>
        </w:rPr>
        <w:t>Jasmin Bärtschi</w:t>
      </w:r>
    </w:p>
    <w:p w14:paraId="3AA46114" w14:textId="7817BCD1" w:rsidR="001114E2" w:rsidRDefault="00985126" w:rsidP="006A01FF">
      <w:pPr>
        <w:pStyle w:val="Abstract"/>
      </w:pPr>
      <w:r w:rsidRPr="00237079">
        <w:rPr>
          <w:rFonts w:cs="Open Sans SemiCondensed"/>
        </w:rPr>
        <w:t>Zusammenfassung</w:t>
      </w:r>
      <w:r w:rsidR="00E7780E" w:rsidRPr="00237079">
        <w:rPr>
          <w:rFonts w:cs="Open Sans SemiCondensed"/>
        </w:rPr>
        <w:br/>
      </w:r>
      <w:r w:rsidR="006A01FF" w:rsidRPr="005B6DAC">
        <w:t xml:space="preserve">Der Inklusionsindex von Pro Infirmis zeigt deutlich: Menschen mit Behinderungen fühlen sich in der Schweizer Politik nicht ausreichend vertreten. Zwar gibt es Fortschritte beim Zugang zu politischen Rechten wie </w:t>
      </w:r>
      <w:r w:rsidR="009D6A80">
        <w:t>dem Stimm- und Wahlrecht</w:t>
      </w:r>
      <w:r w:rsidR="006A01FF" w:rsidRPr="005B6DAC">
        <w:t>, doch echte Teilhabe bedeutet mehr als das. Es braucht bessere Rahmenbedingungen</w:t>
      </w:r>
      <w:r w:rsidR="00257101">
        <w:t>, damit sich Menschen</w:t>
      </w:r>
      <w:r w:rsidR="006A01FF" w:rsidRPr="005B6DAC">
        <w:t xml:space="preserve"> </w:t>
      </w:r>
      <w:r w:rsidR="002B4FC3">
        <w:t>aktiv</w:t>
      </w:r>
      <w:r w:rsidR="006A01FF" w:rsidRPr="005B6DAC">
        <w:t xml:space="preserve"> politisch </w:t>
      </w:r>
      <w:r w:rsidR="002B4FC3">
        <w:t>b</w:t>
      </w:r>
      <w:r w:rsidR="006A01FF" w:rsidRPr="005B6DAC">
        <w:t>eteilig</w:t>
      </w:r>
      <w:r w:rsidR="002B4FC3">
        <w:t xml:space="preserve">en </w:t>
      </w:r>
      <w:r w:rsidR="00FD5CFB">
        <w:t>sowie</w:t>
      </w:r>
      <w:r w:rsidR="008370E7">
        <w:t xml:space="preserve"> selbst vertreten </w:t>
      </w:r>
      <w:r w:rsidR="002B4FC3">
        <w:t>können</w:t>
      </w:r>
      <w:r w:rsidR="00FD5CFB">
        <w:t xml:space="preserve"> und </w:t>
      </w:r>
      <w:r w:rsidR="0037297F">
        <w:t>dadurch</w:t>
      </w:r>
      <w:r w:rsidR="006A01FF" w:rsidRPr="005B6DAC">
        <w:t xml:space="preserve"> </w:t>
      </w:r>
      <w:r w:rsidR="0037297F">
        <w:t>besser</w:t>
      </w:r>
      <w:r w:rsidR="006A01FF" w:rsidRPr="005B6DAC">
        <w:t xml:space="preserve"> </w:t>
      </w:r>
      <w:r w:rsidR="00FD5CFB">
        <w:t>r</w:t>
      </w:r>
      <w:r w:rsidR="006A01FF" w:rsidRPr="005B6DAC">
        <w:t>epräsent</w:t>
      </w:r>
      <w:r w:rsidR="00FD5CFB">
        <w:t>iert sind.</w:t>
      </w:r>
      <w:r w:rsidR="006A01FF" w:rsidRPr="005B6DAC">
        <w:t xml:space="preserve"> Projekte wie </w:t>
      </w:r>
      <w:r w:rsidR="006A01FF">
        <w:t xml:space="preserve">das </w:t>
      </w:r>
      <w:r w:rsidR="006A01FF" w:rsidRPr="005B6DAC">
        <w:t>Forum22 und die Behindertensession zeigen, wie Menschen mit Behinderungen ihre Anliegen selbst einbringen und politische Prozesse mitgestalten können. D</w:t>
      </w:r>
      <w:r w:rsidR="006A01FF">
        <w:t xml:space="preserve">ieser </w:t>
      </w:r>
      <w:r w:rsidR="006A01FF" w:rsidRPr="005B6DAC">
        <w:t xml:space="preserve">Artikel </w:t>
      </w:r>
      <w:r w:rsidR="00D44244">
        <w:t>beleuchtet</w:t>
      </w:r>
      <w:r w:rsidR="006A01FF">
        <w:t xml:space="preserve"> </w:t>
      </w:r>
      <w:r w:rsidR="006A01FF" w:rsidRPr="005B6DAC">
        <w:t>Herausforderungen, Fortschritte und konkrete Ansätze für eine inklusive Demokratie.</w:t>
      </w:r>
    </w:p>
    <w:p w14:paraId="3AFF8307" w14:textId="3C108572" w:rsidR="006C704B" w:rsidRPr="006C704B" w:rsidRDefault="006C704B" w:rsidP="00E65FAC">
      <w:pPr>
        <w:pStyle w:val="Abstract"/>
        <w:rPr>
          <w:lang w:val="fr-FR"/>
        </w:rPr>
      </w:pPr>
      <w:r>
        <w:rPr>
          <w:lang w:val="fr-FR"/>
        </w:rPr>
        <w:t>Résumé</w:t>
      </w:r>
      <w:r>
        <w:rPr>
          <w:lang w:val="fr-FR"/>
        </w:rPr>
        <w:br/>
      </w:r>
      <w:r w:rsidRPr="6E2CA66C">
        <w:rPr>
          <w:lang w:val="fr-FR"/>
        </w:rPr>
        <w:t xml:space="preserve">L’Indice d’inclusion de </w:t>
      </w:r>
      <w:r w:rsidRPr="6E2CA66C">
        <w:rPr>
          <w:lang w:val="fr-CH"/>
        </w:rPr>
        <w:t xml:space="preserve">Pro </w:t>
      </w:r>
      <w:proofErr w:type="spellStart"/>
      <w:r w:rsidRPr="6E2CA66C">
        <w:rPr>
          <w:lang w:val="fr-CH"/>
        </w:rPr>
        <w:t>Infirmis</w:t>
      </w:r>
      <w:proofErr w:type="spellEnd"/>
      <w:r w:rsidRPr="6E2CA66C">
        <w:rPr>
          <w:lang w:val="fr-CH"/>
        </w:rPr>
        <w:t xml:space="preserve"> montre clairement que </w:t>
      </w:r>
      <w:r w:rsidRPr="6E2CA66C">
        <w:rPr>
          <w:lang w:val="fr-FR"/>
        </w:rPr>
        <w:t>les personnes en situation de handicap ne se sentent pas suffisamment représentées dans la politique suisse. Si certains progrès en matière d’accès aux droits politiques ont été accomplis, notamment le droit de vote et d’élection, ils ne suffisent pas à garantir une véritable participation politique. De meilleures conditions-cadres sont nécessaires pour que les personnes concernées participent activement, qu’elles puissent se représenter elles-mêmes et ainsi améliorer leur représentation. Des projets comme le Forum22 et la Session des personnes handicapées montrent comment les personnes en situation de handicap peuvent défendre leurs intérêts elles-mêmes et contribuer à façonner les processus politiques. Cet article présente les défis, les progrès et les gestes concrets pour une démocratie inclusive.</w:t>
      </w:r>
    </w:p>
    <w:p w14:paraId="3D2C0B65" w14:textId="05A2013A" w:rsidR="00E65FAC" w:rsidRPr="009344CF" w:rsidRDefault="00EA4676" w:rsidP="00355206">
      <w:pPr>
        <w:jc w:val="both"/>
        <w:rPr>
          <w:rStyle w:val="TextkrperZchn"/>
          <w:lang w:val="fr-FR"/>
        </w:rPr>
      </w:pPr>
      <w:proofErr w:type="gramStart"/>
      <w:r w:rsidRPr="00E65FAC">
        <w:rPr>
          <w:rStyle w:val="Fett"/>
          <w:rFonts w:cs="Open Sans SemiCondensed"/>
          <w:lang w:val="fr-CH"/>
        </w:rPr>
        <w:t>Keywords</w:t>
      </w:r>
      <w:r w:rsidR="006910C2" w:rsidRPr="006910C2">
        <w:rPr>
          <w:rStyle w:val="Fett"/>
          <w:rFonts w:cs="Open Sans SemiCondensed"/>
          <w:b w:val="0"/>
          <w:bCs w:val="0"/>
          <w:lang w:val="fr-CH"/>
        </w:rPr>
        <w:t>:</w:t>
      </w:r>
      <w:proofErr w:type="gramEnd"/>
      <w:r w:rsidR="00E65FAC" w:rsidRPr="00E65FAC">
        <w:rPr>
          <w:rStyle w:val="TextkrperZchn"/>
          <w:lang w:val="fr-FR"/>
        </w:rPr>
        <w:t xml:space="preserve"> </w:t>
      </w:r>
      <w:proofErr w:type="spellStart"/>
      <w:r w:rsidR="00E65FAC" w:rsidRPr="009344CF">
        <w:rPr>
          <w:rStyle w:val="TextkrperZchn"/>
          <w:lang w:val="fr-FR"/>
        </w:rPr>
        <w:t>Inklusionsindex</w:t>
      </w:r>
      <w:proofErr w:type="spellEnd"/>
      <w:r w:rsidR="00E65FAC" w:rsidRPr="009344CF">
        <w:rPr>
          <w:rStyle w:val="TextkrperZchn"/>
          <w:lang w:val="fr-FR"/>
        </w:rPr>
        <w:t xml:space="preserve">, </w:t>
      </w:r>
      <w:proofErr w:type="spellStart"/>
      <w:r w:rsidR="00E65FAC" w:rsidRPr="009344CF">
        <w:rPr>
          <w:rStyle w:val="TextkrperZchn"/>
          <w:lang w:val="fr-FR"/>
        </w:rPr>
        <w:t>Selbstvertretung</w:t>
      </w:r>
      <w:proofErr w:type="spellEnd"/>
      <w:r w:rsidR="00E65FAC" w:rsidRPr="009344CF">
        <w:rPr>
          <w:rStyle w:val="TextkrperZchn"/>
          <w:lang w:val="fr-FR"/>
        </w:rPr>
        <w:t xml:space="preserve">, </w:t>
      </w:r>
      <w:proofErr w:type="spellStart"/>
      <w:r w:rsidR="00E65FAC" w:rsidRPr="009344CF">
        <w:rPr>
          <w:rStyle w:val="TextkrperZchn"/>
          <w:lang w:val="fr-FR"/>
        </w:rPr>
        <w:t>politische</w:t>
      </w:r>
      <w:proofErr w:type="spellEnd"/>
      <w:r w:rsidR="00E65FAC" w:rsidRPr="009344CF">
        <w:rPr>
          <w:rStyle w:val="TextkrperZchn"/>
          <w:lang w:val="fr-FR"/>
        </w:rPr>
        <w:t xml:space="preserve"> </w:t>
      </w:r>
      <w:proofErr w:type="spellStart"/>
      <w:r w:rsidR="00E65FAC" w:rsidRPr="009344CF">
        <w:rPr>
          <w:rStyle w:val="TextkrperZchn"/>
          <w:lang w:val="fr-FR"/>
        </w:rPr>
        <w:t>Teilhabe</w:t>
      </w:r>
      <w:proofErr w:type="spellEnd"/>
      <w:r w:rsidR="00E65FAC" w:rsidRPr="009344CF">
        <w:rPr>
          <w:rStyle w:val="TextkrperZchn"/>
          <w:lang w:val="fr-FR"/>
        </w:rPr>
        <w:t xml:space="preserve">, </w:t>
      </w:r>
      <w:proofErr w:type="spellStart"/>
      <w:r w:rsidR="00E65FAC" w:rsidRPr="009344CF">
        <w:rPr>
          <w:rStyle w:val="TextkrperZchn"/>
          <w:lang w:val="fr-FR"/>
        </w:rPr>
        <w:t>politische</w:t>
      </w:r>
      <w:proofErr w:type="spellEnd"/>
      <w:r w:rsidR="00E65FAC" w:rsidRPr="009344CF">
        <w:rPr>
          <w:rStyle w:val="TextkrperZchn"/>
          <w:lang w:val="fr-FR"/>
        </w:rPr>
        <w:t xml:space="preserve"> </w:t>
      </w:r>
      <w:proofErr w:type="spellStart"/>
      <w:r w:rsidR="00E65FAC" w:rsidRPr="009344CF">
        <w:rPr>
          <w:rStyle w:val="TextkrperZchn"/>
          <w:lang w:val="fr-FR"/>
        </w:rPr>
        <w:t>Bildung</w:t>
      </w:r>
      <w:proofErr w:type="spellEnd"/>
      <w:r w:rsidR="00E65FAC" w:rsidRPr="009344CF">
        <w:rPr>
          <w:rStyle w:val="TextkrperZchn"/>
          <w:lang w:val="fr-FR"/>
        </w:rPr>
        <w:t xml:space="preserve">, </w:t>
      </w:r>
      <w:proofErr w:type="spellStart"/>
      <w:r w:rsidR="00E65FAC" w:rsidRPr="009344CF">
        <w:rPr>
          <w:rStyle w:val="TextkrperZchn"/>
          <w:lang w:val="fr-FR"/>
        </w:rPr>
        <w:t>Stimmrecht</w:t>
      </w:r>
      <w:proofErr w:type="spellEnd"/>
      <w:r w:rsidR="00E65FAC" w:rsidRPr="009344CF">
        <w:rPr>
          <w:rStyle w:val="TextkrperZchn"/>
          <w:lang w:val="fr-FR"/>
        </w:rPr>
        <w:t xml:space="preserve">, </w:t>
      </w:r>
      <w:proofErr w:type="spellStart"/>
      <w:r w:rsidR="00E65FAC" w:rsidRPr="009344CF">
        <w:rPr>
          <w:rStyle w:val="TextkrperZchn"/>
          <w:lang w:val="fr-FR"/>
        </w:rPr>
        <w:t>Mitbestimmung</w:t>
      </w:r>
      <w:proofErr w:type="spellEnd"/>
      <w:r w:rsidR="00E65FAC" w:rsidRPr="009344CF">
        <w:rPr>
          <w:rStyle w:val="TextkrperZchn"/>
          <w:lang w:val="fr-FR"/>
        </w:rPr>
        <w:t xml:space="preserve"> / indice d'inclusion, autoreprésentation, participation politique, éducation politique, droit de vote, participation aux décisions</w:t>
      </w:r>
    </w:p>
    <w:p w14:paraId="0F234214" w14:textId="330EDDDE" w:rsidR="001D3BFB" w:rsidRPr="004D75E8" w:rsidRDefault="00EA4676" w:rsidP="00E65FAC">
      <w:pPr>
        <w:rPr>
          <w:rFonts w:cs="Open Sans SemiCondensed"/>
          <w:bCs/>
          <w:iCs/>
          <w:color w:val="CF3649"/>
          <w:lang w:val="fr-CH"/>
        </w:rPr>
      </w:pPr>
      <w:proofErr w:type="gramStart"/>
      <w:r w:rsidRPr="004D75E8">
        <w:rPr>
          <w:rStyle w:val="Fett"/>
          <w:rFonts w:cs="Open Sans SemiCondensed"/>
          <w:lang w:val="fr-CH"/>
        </w:rPr>
        <w:t>DOI</w:t>
      </w:r>
      <w:r w:rsidRPr="004D75E8">
        <w:rPr>
          <w:rFonts w:cs="Open Sans SemiCondensed"/>
          <w:lang w:val="fr-CH"/>
        </w:rPr>
        <w:t>:</w:t>
      </w:r>
      <w:proofErr w:type="gramEnd"/>
      <w:r w:rsidRPr="004D75E8">
        <w:rPr>
          <w:rFonts w:cs="Open Sans SemiCondensed"/>
          <w:lang w:val="fr-CH"/>
        </w:rPr>
        <w:t xml:space="preserve"> </w:t>
      </w:r>
      <w:hyperlink r:id="rId11" w:history="1">
        <w:r w:rsidR="007B0AFE" w:rsidRPr="001149F4">
          <w:rPr>
            <w:rStyle w:val="Hyperlink"/>
            <w:rFonts w:cs="Open Sans SemiCondensed"/>
            <w:lang w:val="fr-CH"/>
          </w:rPr>
          <w:t>https://doi.org/10.57161/z2026-07-</w:t>
        </w:r>
        <w:r w:rsidR="007B0AFE" w:rsidRPr="001149F4">
          <w:rPr>
            <w:rStyle w:val="Hyperlink"/>
            <w:bCs w:val="0"/>
            <w:iCs w:val="0"/>
            <w:lang w:val="fr-CH"/>
          </w:rPr>
          <w:t>06</w:t>
        </w:r>
      </w:hyperlink>
      <w:r w:rsidR="007B0AFE">
        <w:rPr>
          <w:rStyle w:val="Hyperlink"/>
          <w:bCs w:val="0"/>
          <w:iCs w:val="0"/>
          <w:lang w:val="fr-CH"/>
        </w:rPr>
        <w:t xml:space="preserve"> </w:t>
      </w:r>
    </w:p>
    <w:p w14:paraId="56AABEA6" w14:textId="177D6C22" w:rsidR="001161D6" w:rsidRPr="0013195A" w:rsidRDefault="001161D6" w:rsidP="007B4390">
      <w:pPr>
        <w:pStyle w:val="Textkrper3"/>
      </w:pPr>
      <w:r w:rsidRPr="0013195A">
        <w:t xml:space="preserve">Schweizerische Zeitschrift für Heilpädagogik, Jg. </w:t>
      </w:r>
      <w:r w:rsidR="006A01FF">
        <w:t>32</w:t>
      </w:r>
      <w:r w:rsidRPr="0013195A">
        <w:t xml:space="preserve">, </w:t>
      </w:r>
      <w:r w:rsidR="006A01FF">
        <w:t>07</w:t>
      </w:r>
      <w:r w:rsidRPr="0013195A">
        <w:t>/</w:t>
      </w:r>
      <w:r w:rsidR="006A01FF">
        <w:t>2026</w:t>
      </w:r>
    </w:p>
    <w:p w14:paraId="6F60C7C9" w14:textId="77777777" w:rsidR="000E6A66" w:rsidRPr="00153133" w:rsidRDefault="000E6A66" w:rsidP="007B4390">
      <w:pPr>
        <w:pStyle w:val="Textkrper3"/>
        <w:rPr>
          <w:lang w:val="fr-CH"/>
        </w:rPr>
      </w:pPr>
      <w:r w:rsidRPr="00153133">
        <w:rPr>
          <w:noProof/>
        </w:rPr>
        <w:drawing>
          <wp:inline distT="0" distB="0" distL="0" distR="0" wp14:anchorId="4CB5B46D" wp14:editId="71D7AAA9">
            <wp:extent cx="1143000" cy="400050"/>
            <wp:effectExtent l="0" t="0" r="0" b="0"/>
            <wp:docPr id="4" name="Graphique 4" descr="Creative Common 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que 4" descr="Creative Common BY"/>
                    <pic:cNvPicPr/>
                  </pic:nvPicPr>
                  <pic:blipFill>
                    <a:blip r:embed="rId12">
                      <a:extLst>
                        <a:ext uri="{96DAC541-7B7A-43D3-8B79-37D633B846F1}">
                          <asvg:svgBlip xmlns:asvg="http://schemas.microsoft.com/office/drawing/2016/SVG/main" r:embed="rId13"/>
                        </a:ext>
                      </a:extLst>
                    </a:blip>
                    <a:stretch>
                      <a:fillRect/>
                    </a:stretch>
                  </pic:blipFill>
                  <pic:spPr>
                    <a:xfrm>
                      <a:off x="0" y="0"/>
                      <a:ext cx="1143000" cy="400050"/>
                    </a:xfrm>
                    <a:prstGeom prst="rect">
                      <a:avLst/>
                    </a:prstGeom>
                  </pic:spPr>
                </pic:pic>
              </a:graphicData>
            </a:graphic>
          </wp:inline>
        </w:drawing>
      </w:r>
    </w:p>
    <w:p w14:paraId="3F56A005" w14:textId="111C0FD9" w:rsidR="004D75E8" w:rsidRPr="004D75E8" w:rsidRDefault="004D75E8" w:rsidP="004D75E8">
      <w:pPr>
        <w:pStyle w:val="berschrift1"/>
      </w:pPr>
      <w:r w:rsidRPr="004D75E8">
        <w:t xml:space="preserve">Politische Teilhabe: </w:t>
      </w:r>
      <w:r w:rsidR="00F80155">
        <w:t>n</w:t>
      </w:r>
      <w:r w:rsidRPr="004D75E8">
        <w:t>och immer ungenügend</w:t>
      </w:r>
    </w:p>
    <w:p w14:paraId="0D1E70CD" w14:textId="0C5B5476" w:rsidR="00865EA7" w:rsidRDefault="004D75E8" w:rsidP="00865EA7">
      <w:pPr>
        <w:pStyle w:val="Textkrper"/>
        <w:ind w:firstLine="0"/>
      </w:pPr>
      <w:r w:rsidRPr="005B6DAC">
        <w:t>Wie erleben Menschen mit Behinderungen die politische Teilhabe in der Schweiz? Die Antwort ist ernüchternd: Laut dem Inklusionsindex von Pro Infirmis fühlen sich knapp drei</w:t>
      </w:r>
      <w:r w:rsidR="004C4B0B">
        <w:t xml:space="preserve"> Viertel</w:t>
      </w:r>
      <w:r w:rsidRPr="005B6DAC">
        <w:t xml:space="preserve"> </w:t>
      </w:r>
      <w:r w:rsidR="004C4B0B">
        <w:t xml:space="preserve">der </w:t>
      </w:r>
      <w:r w:rsidRPr="005B6DAC">
        <w:t xml:space="preserve">Menschen mit Behinderungen politisch gar nicht oder nur ungenügend vertreten. Viele haben den Eindruck, dass ihre Anliegen zu wenig </w:t>
      </w:r>
      <w:r w:rsidR="00692B08">
        <w:t>Beachtung</w:t>
      </w:r>
      <w:r w:rsidRPr="005B6DAC">
        <w:t xml:space="preserve"> </w:t>
      </w:r>
      <w:r w:rsidR="004C4B0B">
        <w:t>finden</w:t>
      </w:r>
      <w:r w:rsidRPr="005B6DAC">
        <w:t xml:space="preserve"> und </w:t>
      </w:r>
      <w:proofErr w:type="spellStart"/>
      <w:proofErr w:type="gramStart"/>
      <w:r w:rsidRPr="005B6DAC">
        <w:t>Politiker</w:t>
      </w:r>
      <w:r w:rsidR="004C4B0B">
        <w:t>:</w:t>
      </w:r>
      <w:r w:rsidRPr="005B6DAC">
        <w:t>innen</w:t>
      </w:r>
      <w:proofErr w:type="spellEnd"/>
      <w:proofErr w:type="gramEnd"/>
      <w:r w:rsidRPr="005B6DAC">
        <w:t xml:space="preserve"> sich zu selten mit ihren Lebensrealitäten befassen </w:t>
      </w:r>
      <w:r w:rsidR="004C4B0B" w:rsidRPr="007F09A3">
        <w:rPr>
          <w:noProof/>
        </w:rPr>
        <w:t>(Grünenfelder</w:t>
      </w:r>
      <w:r w:rsidR="004C4B0B">
        <w:rPr>
          <w:noProof/>
        </w:rPr>
        <w:t xml:space="preserve"> et al.</w:t>
      </w:r>
      <w:r w:rsidR="004C4B0B" w:rsidRPr="007F09A3">
        <w:rPr>
          <w:noProof/>
        </w:rPr>
        <w:t>, 2023)</w:t>
      </w:r>
      <w:r>
        <w:t>.</w:t>
      </w:r>
      <w:r w:rsidR="00865EA7">
        <w:t xml:space="preserve"> </w:t>
      </w:r>
      <w:r w:rsidRPr="005B6DAC">
        <w:t xml:space="preserve">Die Studie wurde </w:t>
      </w:r>
      <w:r w:rsidR="00220E36">
        <w:t xml:space="preserve">2023 erstmals </w:t>
      </w:r>
      <w:r w:rsidRPr="005B6DAC">
        <w:t xml:space="preserve">durchgeführt und stellt die Perspektive von Menschen mit Behinderungen ins Zentrum. Das ist entscheidend, denn sie sind die </w:t>
      </w:r>
      <w:proofErr w:type="spellStart"/>
      <w:proofErr w:type="gramStart"/>
      <w:r w:rsidRPr="005B6DAC">
        <w:t>Expert</w:t>
      </w:r>
      <w:r w:rsidR="00AE1700">
        <w:t>:</w:t>
      </w:r>
      <w:r w:rsidRPr="005B6DAC">
        <w:t>innen</w:t>
      </w:r>
      <w:proofErr w:type="spellEnd"/>
      <w:proofErr w:type="gramEnd"/>
      <w:r w:rsidRPr="005B6DAC">
        <w:t xml:space="preserve"> ihrer eigenen Lebensrealität. </w:t>
      </w:r>
    </w:p>
    <w:p w14:paraId="36F8888C" w14:textId="37360EE6" w:rsidR="004D75E8" w:rsidRPr="00865EA7" w:rsidRDefault="00D8434D" w:rsidP="00865EA7">
      <w:pPr>
        <w:pStyle w:val="Textkrper"/>
      </w:pPr>
      <w:r>
        <w:t xml:space="preserve">Bislang wurde </w:t>
      </w:r>
      <w:r w:rsidR="004D75E8" w:rsidRPr="00865EA7">
        <w:t xml:space="preserve">Inklusion oft </w:t>
      </w:r>
      <w:proofErr w:type="gramStart"/>
      <w:r w:rsidR="00C43E2D">
        <w:t>mittels</w:t>
      </w:r>
      <w:r w:rsidR="004D75E8" w:rsidRPr="00865EA7">
        <w:t xml:space="preserve"> einzelner messbare</w:t>
      </w:r>
      <w:r>
        <w:t>r</w:t>
      </w:r>
      <w:r w:rsidR="004D75E8" w:rsidRPr="00865EA7">
        <w:t xml:space="preserve"> Aspekte</w:t>
      </w:r>
      <w:proofErr w:type="gramEnd"/>
      <w:r w:rsidR="004D75E8" w:rsidRPr="00865EA7">
        <w:t xml:space="preserve"> beurteilt, etwa </w:t>
      </w:r>
      <w:r>
        <w:t xml:space="preserve">anhand </w:t>
      </w:r>
      <w:r w:rsidR="004D75E8" w:rsidRPr="00865EA7">
        <w:t>der Anzahl barrierefreier Gebäude oder gewählte</w:t>
      </w:r>
      <w:r w:rsidR="00E03B8A">
        <w:t>r</w:t>
      </w:r>
      <w:r w:rsidR="004D75E8" w:rsidRPr="00865EA7">
        <w:t xml:space="preserve"> </w:t>
      </w:r>
      <w:proofErr w:type="spellStart"/>
      <w:proofErr w:type="gramStart"/>
      <w:r w:rsidR="004D75E8" w:rsidRPr="00865EA7">
        <w:t>Politiker</w:t>
      </w:r>
      <w:r w:rsidR="00E03B8A">
        <w:t>:</w:t>
      </w:r>
      <w:r w:rsidR="004D75E8" w:rsidRPr="00865EA7">
        <w:t>innen</w:t>
      </w:r>
      <w:proofErr w:type="spellEnd"/>
      <w:proofErr w:type="gramEnd"/>
      <w:r w:rsidR="004D75E8" w:rsidRPr="00865EA7">
        <w:t xml:space="preserve"> mit Behinderungen im National- und Ständerat.</w:t>
      </w:r>
      <w:r w:rsidR="00865EA7" w:rsidRPr="00865EA7">
        <w:t xml:space="preserve"> </w:t>
      </w:r>
      <w:r w:rsidR="004D75E8" w:rsidRPr="00865EA7">
        <w:t>Doch Inklusion ist komplex und betrifft alle Lebensbereiche</w:t>
      </w:r>
      <w:r w:rsidR="00E03B8A">
        <w:t xml:space="preserve"> – </w:t>
      </w:r>
      <w:r w:rsidR="004D75E8" w:rsidRPr="00865EA7">
        <w:t>von Bildung und Arbeit bis hin zu Freizeit und Politik. Der Inklusionsindex zeigt deutlich</w:t>
      </w:r>
      <w:r w:rsidR="00E03B8A">
        <w:t>, dass b</w:t>
      </w:r>
      <w:r w:rsidR="004D75E8" w:rsidRPr="00865EA7">
        <w:t xml:space="preserve">esonders im politischen Bereich </w:t>
      </w:r>
      <w:r w:rsidR="00E03B8A">
        <w:t xml:space="preserve">die </w:t>
      </w:r>
      <w:r w:rsidR="004D75E8" w:rsidRPr="00865EA7">
        <w:t>Diskriminierung stark wahrgenommen</w:t>
      </w:r>
      <w:r w:rsidR="00E03B8A">
        <w:t xml:space="preserve"> wird</w:t>
      </w:r>
      <w:r w:rsidR="004D75E8" w:rsidRPr="00865EA7">
        <w:t>.</w:t>
      </w:r>
    </w:p>
    <w:p w14:paraId="779B22EC" w14:textId="36223923" w:rsidR="004D75E8" w:rsidRPr="005B6DAC" w:rsidRDefault="004D75E8" w:rsidP="004D75E8">
      <w:pPr>
        <w:pStyle w:val="Textkrper"/>
      </w:pPr>
      <w:r w:rsidRPr="00ED09F1">
        <w:t>Der zweite, im Sommer 2026 erschienene Inklusionsindex</w:t>
      </w:r>
      <w:r>
        <w:t>,</w:t>
      </w:r>
      <w:r w:rsidRPr="00ED09F1">
        <w:t xml:space="preserve"> bestätigt diese Zahl</w:t>
      </w:r>
      <w:r>
        <w:t xml:space="preserve"> </w:t>
      </w:r>
      <w:r w:rsidR="00C02F6D" w:rsidRPr="007F09A3">
        <w:rPr>
          <w:noProof/>
        </w:rPr>
        <w:t>(Grünenfelder</w:t>
      </w:r>
      <w:r w:rsidR="00C02F6D">
        <w:rPr>
          <w:noProof/>
        </w:rPr>
        <w:t xml:space="preserve"> et al.</w:t>
      </w:r>
      <w:r w:rsidR="00C02F6D" w:rsidRPr="007F09A3">
        <w:rPr>
          <w:noProof/>
        </w:rPr>
        <w:t>, 2026)</w:t>
      </w:r>
      <w:r>
        <w:t xml:space="preserve">. </w:t>
      </w:r>
      <w:r w:rsidRPr="00ED09F1">
        <w:t xml:space="preserve">Trotz </w:t>
      </w:r>
      <w:r>
        <w:t xml:space="preserve">der </w:t>
      </w:r>
      <w:r w:rsidRPr="00ED09F1">
        <w:t>Bemühungen von Pro Infirmis</w:t>
      </w:r>
      <w:r>
        <w:t>, der Behindertensession, dem Forum22</w:t>
      </w:r>
      <w:r w:rsidR="00A63E8D">
        <w:t xml:space="preserve">, </w:t>
      </w:r>
      <w:r>
        <w:t xml:space="preserve">der Inklusionsinitiative und dem </w:t>
      </w:r>
      <w:r w:rsidRPr="00ED09F1">
        <w:t xml:space="preserve">Verein Tatkraft hat sich die Situation noch nicht massgeblich verbessert. Die Gründe für die mangelnde Repräsentation von Menschen </w:t>
      </w:r>
      <w:r w:rsidRPr="00ED09F1">
        <w:lastRenderedPageBreak/>
        <w:t xml:space="preserve">mit Behinderungen in </w:t>
      </w:r>
      <w:r>
        <w:t xml:space="preserve">der </w:t>
      </w:r>
      <w:r w:rsidRPr="00ED09F1">
        <w:t>Politik sind vielfältig</w:t>
      </w:r>
      <w:r w:rsidR="00C142B7">
        <w:t>.</w:t>
      </w:r>
      <w:r w:rsidR="004D3B80">
        <w:t xml:space="preserve"> </w:t>
      </w:r>
      <w:r w:rsidR="00C142B7">
        <w:t>Sie</w:t>
      </w:r>
      <w:r w:rsidR="004D3B80">
        <w:t xml:space="preserve"> werden</w:t>
      </w:r>
      <w:r w:rsidR="0054263A" w:rsidRPr="0054263A">
        <w:t xml:space="preserve"> im Folgenden näher beleuchtet. Zunächst ist jedoch eine Unterscheidung zwischen aktivem und passivem Wahlrecht sinnvoll, da </w:t>
      </w:r>
      <w:r w:rsidR="00C142B7">
        <w:t>diese</w:t>
      </w:r>
      <w:r w:rsidR="0054263A" w:rsidRPr="0054263A">
        <w:t xml:space="preserve"> für das Verständnis politischer Teilhabe zentral ist.</w:t>
      </w:r>
    </w:p>
    <w:p w14:paraId="15979D31" w14:textId="77777777" w:rsidR="004D75E8" w:rsidRPr="008D588B" w:rsidRDefault="004D75E8" w:rsidP="008D588B">
      <w:pPr>
        <w:pStyle w:val="berschrift1"/>
      </w:pPr>
      <w:r w:rsidRPr="008D588B">
        <w:t>Aktives und passives Wahlrecht</w:t>
      </w:r>
    </w:p>
    <w:p w14:paraId="7476122D" w14:textId="2D49A8C5" w:rsidR="004D75E8" w:rsidRPr="005B6DAC" w:rsidRDefault="004D75E8" w:rsidP="00FE2AA4">
      <w:pPr>
        <w:pStyle w:val="Textkrper"/>
        <w:ind w:firstLine="0"/>
      </w:pPr>
      <w:r w:rsidRPr="16E82170">
        <w:t xml:space="preserve">Politische Teilhabe umfasst vor allem zwei Ebenen: das aktive und </w:t>
      </w:r>
      <w:r w:rsidR="006F5F12">
        <w:t xml:space="preserve">das </w:t>
      </w:r>
      <w:r w:rsidRPr="16E82170">
        <w:t>passive Wahlrecht. Zu</w:t>
      </w:r>
      <w:r>
        <w:t xml:space="preserve">m aktiven Wahlrecht </w:t>
      </w:r>
      <w:r w:rsidRPr="16E82170">
        <w:t>gehört das Recht</w:t>
      </w:r>
      <w:r w:rsidR="006F5F12">
        <w:t>,</w:t>
      </w:r>
      <w:r w:rsidRPr="16E82170">
        <w:t xml:space="preserve"> zu wählen und abzustimmen. </w:t>
      </w:r>
      <w:r w:rsidR="008521B2">
        <w:t xml:space="preserve">Zum passiven Wahlrecht gehört, dass </w:t>
      </w:r>
      <w:r w:rsidR="001F57EC">
        <w:t xml:space="preserve">sich Personen selbst zur Wahl stellen, um beispielsweise in das Parlament gewählt werden zu können. </w:t>
      </w:r>
      <w:r w:rsidRPr="16E82170">
        <w:t>I</w:t>
      </w:r>
      <w:r w:rsidR="00CE64AF">
        <w:t xml:space="preserve">m </w:t>
      </w:r>
      <w:r w:rsidRPr="16E82170">
        <w:t>Bereich</w:t>
      </w:r>
      <w:r w:rsidR="00CE64AF">
        <w:t xml:space="preserve"> des aktiven Wahlrechts</w:t>
      </w:r>
      <w:r w:rsidRPr="16E82170">
        <w:t xml:space="preserve"> gab es in den letzten Jahren Fortschritte</w:t>
      </w:r>
      <w:r w:rsidR="00FD41D0">
        <w:t>, die im Folgenden diskutiert werden</w:t>
      </w:r>
      <w:r w:rsidRPr="16E82170">
        <w:t xml:space="preserve">. </w:t>
      </w:r>
    </w:p>
    <w:p w14:paraId="70A43D15" w14:textId="317CB947" w:rsidR="004D75E8" w:rsidRPr="00FE2AA4" w:rsidRDefault="004D75E8" w:rsidP="00FE2AA4">
      <w:pPr>
        <w:pStyle w:val="berschrift2"/>
      </w:pPr>
      <w:r w:rsidRPr="00FE2AA4">
        <w:t>Stimmrecht für alle Menschen mit Behinderungen</w:t>
      </w:r>
    </w:p>
    <w:p w14:paraId="67C84ED4" w14:textId="6B230141" w:rsidR="004D75E8" w:rsidRPr="005B6DAC" w:rsidRDefault="004D75E8" w:rsidP="00180DD5">
      <w:pPr>
        <w:pStyle w:val="Textkrper"/>
        <w:ind w:firstLine="0"/>
      </w:pPr>
      <w:r w:rsidRPr="005B6DAC">
        <w:t xml:space="preserve">Bisher </w:t>
      </w:r>
      <w:r w:rsidRPr="16E82170">
        <w:t>werden Menschen aufgrund ihrer Behinderungen vom Wahl- und Stimmrecht ausgeschlossen</w:t>
      </w:r>
      <w:r w:rsidR="00FD41D0">
        <w:t>.</w:t>
      </w:r>
      <w:r w:rsidRPr="16E82170">
        <w:t xml:space="preserve"> Laut Art. 136 der Bundesverfassung dürfen Menschen nicht abstimmen, die «wegen Geisteskrankheit oder Geistesschwäche entmündigt sind» </w:t>
      </w:r>
      <w:r w:rsidR="00F5342B" w:rsidRPr="007F09A3">
        <w:rPr>
          <w:noProof/>
        </w:rPr>
        <w:t>(Bundesverfassung der Schweizerischen Eidgenossenschaft, 1999)</w:t>
      </w:r>
      <w:r w:rsidRPr="16E82170">
        <w:t>. Dies betrifft in der Schweiz rund 16</w:t>
      </w:r>
      <w:r w:rsidR="00FD667E">
        <w:t> </w:t>
      </w:r>
      <w:r w:rsidRPr="16E82170">
        <w:t xml:space="preserve">000 Menschen, die unter umfassender Beistandschaft stehen oder durch eine vorsorgebeauftragte Person vertreten werden. </w:t>
      </w:r>
      <w:r w:rsidR="005566AA">
        <w:t>E</w:t>
      </w:r>
      <w:r w:rsidRPr="16E82170">
        <w:t>ine wichtige Forderung der ersten nationalen Behindertensession vom 24. März 2023</w:t>
      </w:r>
      <w:r w:rsidR="007044EA">
        <w:t xml:space="preserve"> war deshalb</w:t>
      </w:r>
      <w:r w:rsidRPr="16E82170">
        <w:t>, diese Ungerechtigkeit aufzuheben. Nachdem einige Kantone eine Vorreiterrolle eingenommen h</w:t>
      </w:r>
      <w:r w:rsidR="00D965E2" w:rsidRPr="16E82170">
        <w:t>a</w:t>
      </w:r>
      <w:r w:rsidR="00D965E2">
        <w:t>tt</w:t>
      </w:r>
      <w:r w:rsidR="00D965E2" w:rsidRPr="16E82170">
        <w:t>en</w:t>
      </w:r>
      <w:r w:rsidR="007044EA">
        <w:t>,</w:t>
      </w:r>
      <w:r w:rsidRPr="16E82170">
        <w:t xml:space="preserve"> wie zum Beispiel der Kanton Genf, Appenzell Innerrhoden und Glarus, haben sich 2025 auch der </w:t>
      </w:r>
      <w:r w:rsidR="00AB7386" w:rsidRPr="16E82170">
        <w:t>National</w:t>
      </w:r>
      <w:r w:rsidR="00AB7386">
        <w:t>-</w:t>
      </w:r>
      <w:r w:rsidR="00AB7386" w:rsidRPr="16E82170">
        <w:t> </w:t>
      </w:r>
      <w:r w:rsidRPr="16E82170">
        <w:t xml:space="preserve">und der Ständerat dafür ausgesprochen, den diskriminierenden Artikel in der Verfassung zu ändern. Der Bundesrat wird </w:t>
      </w:r>
      <w:r w:rsidR="00A32246">
        <w:t xml:space="preserve">dem Stimmvolk </w:t>
      </w:r>
      <w:r w:rsidRPr="16E82170">
        <w:t>eine entsprechende Vorlage</w:t>
      </w:r>
      <w:r w:rsidR="00A32246">
        <w:t xml:space="preserve"> unterbreiten</w:t>
      </w:r>
      <w:r w:rsidR="006A33C6">
        <w:rPr>
          <w:noProof/>
        </w:rPr>
        <w:t xml:space="preserve"> </w:t>
      </w:r>
      <w:r w:rsidR="006A33C6" w:rsidRPr="007F09A3">
        <w:rPr>
          <w:noProof/>
        </w:rPr>
        <w:t>(Pro Infirmis, 2026)</w:t>
      </w:r>
      <w:r w:rsidRPr="16E82170">
        <w:t>.</w:t>
      </w:r>
    </w:p>
    <w:p w14:paraId="0A851321" w14:textId="01A9B835" w:rsidR="004D75E8" w:rsidRPr="00FE2AA4" w:rsidRDefault="004D75E8" w:rsidP="00FE2AA4">
      <w:pPr>
        <w:pStyle w:val="berschrift2"/>
      </w:pPr>
      <w:r w:rsidRPr="00FE2AA4">
        <w:t>Abstimmungsschablone für Menschen mit Sehbehinderungen</w:t>
      </w:r>
    </w:p>
    <w:p w14:paraId="3E8297A7" w14:textId="698BD5FC" w:rsidR="004D75E8" w:rsidRPr="005B6DAC" w:rsidRDefault="004D75E8" w:rsidP="000563F2">
      <w:pPr>
        <w:pStyle w:val="Textkrper"/>
        <w:ind w:firstLine="0"/>
      </w:pPr>
      <w:r w:rsidRPr="005B6DAC">
        <w:t xml:space="preserve">Auch praktische Verbesserungen wurden angestossen: </w:t>
      </w:r>
      <w:r w:rsidR="00440447">
        <w:t xml:space="preserve">So benötigen </w:t>
      </w:r>
      <w:r w:rsidRPr="005B6DAC">
        <w:t xml:space="preserve">Menschen mit einer starken Sehbehinderung oder Blindheit beim Ausfüllen ihrer Stimmzettel </w:t>
      </w:r>
      <w:r w:rsidR="00440447">
        <w:t xml:space="preserve">beispielsweise </w:t>
      </w:r>
      <w:r w:rsidRPr="005B6DAC">
        <w:t xml:space="preserve">Hilfe von anderen Personen, </w:t>
      </w:r>
      <w:r w:rsidR="00E84DB3">
        <w:t>wodurch ihnen das</w:t>
      </w:r>
      <w:r w:rsidRPr="005B6DAC">
        <w:t xml:space="preserve"> Stimmgeheimnis verwehrt</w:t>
      </w:r>
      <w:r w:rsidR="00E84DB3">
        <w:t xml:space="preserve"> bleibt</w:t>
      </w:r>
      <w:r w:rsidRPr="005B6DAC">
        <w:t xml:space="preserve">. </w:t>
      </w:r>
      <w:r w:rsidR="00E84DB3">
        <w:t xml:space="preserve">Dank eines </w:t>
      </w:r>
      <w:r w:rsidRPr="005B6DAC">
        <w:t>Pilotprojekt</w:t>
      </w:r>
      <w:r w:rsidR="00E84DB3">
        <w:t>s</w:t>
      </w:r>
      <w:r w:rsidRPr="005B6DAC">
        <w:t xml:space="preserve"> im Kanton Zürich können stimmberechtigte Personen mit Sehbehinderung und blinde Menschen seit 2025 ihre Stimmzettel für eidgenössische Vorlagen künftig selbstständig und geheim ausfüllen. Möglich macht das eine neue Abstimmungsschablone, die von der Bundeskanzlei entwickelt wurde.</w:t>
      </w:r>
      <w:r w:rsidR="00474112">
        <w:t xml:space="preserve"> Nun bleibt zu hoffen</w:t>
      </w:r>
      <w:r w:rsidRPr="005B6DAC">
        <w:t xml:space="preserve">, dass </w:t>
      </w:r>
      <w:r w:rsidR="00474112">
        <w:t xml:space="preserve">auch weitere Kantone </w:t>
      </w:r>
      <w:r w:rsidRPr="005B6DAC">
        <w:t>die Abstimmungsschablone einführ</w:t>
      </w:r>
      <w:r w:rsidR="00474112">
        <w:t>en</w:t>
      </w:r>
      <w:r w:rsidRPr="005B6DAC">
        <w:t>.</w:t>
      </w:r>
    </w:p>
    <w:p w14:paraId="3300ADCC" w14:textId="1E6E7613" w:rsidR="004D75E8" w:rsidRPr="00FE2AA4" w:rsidRDefault="004D75E8" w:rsidP="004D75E8">
      <w:pPr>
        <w:pStyle w:val="berschrift2"/>
      </w:pPr>
      <w:r w:rsidRPr="00FE2AA4">
        <w:t>Abstimmungsunterlagen in Leichter Sprache</w:t>
      </w:r>
    </w:p>
    <w:p w14:paraId="3C183391" w14:textId="55D3AB15" w:rsidR="004D75E8" w:rsidRPr="005B6DAC" w:rsidRDefault="004D75E8" w:rsidP="00180DD5">
      <w:pPr>
        <w:pStyle w:val="Textkrper"/>
        <w:ind w:firstLine="0"/>
      </w:pPr>
      <w:r w:rsidRPr="005B6DAC">
        <w:t>Das Behindertengleichstellungsgesetz fordert, dass Behörden barrierefrei</w:t>
      </w:r>
      <w:r>
        <w:t xml:space="preserve"> </w:t>
      </w:r>
      <w:r w:rsidRPr="005B6DAC">
        <w:t xml:space="preserve">kommunizieren müssen. Leichte Sprache folgt klaren Regeln: kurze Sätze, einfache Wörter, keine Fremdwörter. Sie richtet sich an Menschen mit kognitiven oder psychischen </w:t>
      </w:r>
      <w:r>
        <w:t>Behinderungen</w:t>
      </w:r>
      <w:r w:rsidRPr="005B6DAC">
        <w:t xml:space="preserve">, mit Leseschwächen oder auch </w:t>
      </w:r>
      <w:r w:rsidR="001F5D7A">
        <w:t xml:space="preserve">mit </w:t>
      </w:r>
      <w:r w:rsidRPr="005B6DAC">
        <w:t>geringen Deutschkenntnissen</w:t>
      </w:r>
      <w:r w:rsidR="00BF079C">
        <w:t>. 20</w:t>
      </w:r>
      <w:r w:rsidRPr="005B6DAC">
        <w:t>25 stellte der Kanton Zürich Informationen zu den kantonalen Abstimmungen vom 28. September 2025 in Leichter Sprache zur Verfügung</w:t>
      </w:r>
      <w:r>
        <w:t>.</w:t>
      </w:r>
      <w:r w:rsidRPr="16E82170">
        <w:t xml:space="preserve"> </w:t>
      </w:r>
      <w:r>
        <w:t xml:space="preserve">Der Kanton Thurgau integriert </w:t>
      </w:r>
      <w:r w:rsidR="00FC238F">
        <w:t>bereits</w:t>
      </w:r>
      <w:r>
        <w:t xml:space="preserve"> seit 2023 in den Abstimmungsbotschaften Texte in Leichter Sprache </w:t>
      </w:r>
      <w:r w:rsidR="00C51A52" w:rsidRPr="007F09A3">
        <w:rPr>
          <w:noProof/>
        </w:rPr>
        <w:t>(Thurgau, 2026)</w:t>
      </w:r>
      <w:r>
        <w:t xml:space="preserve">. </w:t>
      </w:r>
    </w:p>
    <w:p w14:paraId="33A4BD4E" w14:textId="55C98F1A" w:rsidR="004D75E8" w:rsidRPr="008D588B" w:rsidRDefault="004D75E8" w:rsidP="00F81075">
      <w:pPr>
        <w:pStyle w:val="berschrift2"/>
      </w:pPr>
      <w:r w:rsidRPr="008D588B">
        <w:t>Fehlende Repräsentation in der Politik</w:t>
      </w:r>
    </w:p>
    <w:p w14:paraId="05C662A9" w14:textId="77777777" w:rsidR="008E2428" w:rsidRDefault="00CE64AF" w:rsidP="00E65FAC">
      <w:pPr>
        <w:pStyle w:val="Textkrper"/>
        <w:ind w:firstLine="0"/>
      </w:pPr>
      <w:r w:rsidRPr="005B6DAC">
        <w:t>Die</w:t>
      </w:r>
      <w:r>
        <w:t xml:space="preserve"> aufgeführten</w:t>
      </w:r>
      <w:r w:rsidRPr="005B6DAC">
        <w:t xml:space="preserve"> Entwicklungen sind</w:t>
      </w:r>
      <w:r>
        <w:t xml:space="preserve"> wichtig.</w:t>
      </w:r>
      <w:r w:rsidRPr="005B6DAC">
        <w:t xml:space="preserve"> </w:t>
      </w:r>
      <w:r w:rsidR="005576F5">
        <w:t xml:space="preserve">Sie reichen aber nicht aus, wie </w:t>
      </w:r>
      <w:r w:rsidRPr="005B6DAC">
        <w:t>die Ergebnisse des Inklusionsindex</w:t>
      </w:r>
      <w:r w:rsidR="00B74DC9">
        <w:t xml:space="preserve"> zeigen</w:t>
      </w:r>
      <w:r w:rsidRPr="005B6DAC">
        <w:t>.</w:t>
      </w:r>
      <w:r>
        <w:t xml:space="preserve"> </w:t>
      </w:r>
      <w:r w:rsidR="000B3BDA">
        <w:t xml:space="preserve">Für viele Menschen mit Behinderungen ist es schwierig, Politik aktiv mitzugestalten </w:t>
      </w:r>
      <w:r w:rsidR="00690DCF">
        <w:t>(passives Wahlrecht)</w:t>
      </w:r>
      <w:r w:rsidRPr="16E82170">
        <w:t>, also sich politisch zu engagieren, zu kandidieren oder ein Amt auszuüben</w:t>
      </w:r>
      <w:r w:rsidR="000B3BDA">
        <w:t>.</w:t>
      </w:r>
    </w:p>
    <w:p w14:paraId="45F39BAD" w14:textId="41A22DDE" w:rsidR="004D75E8" w:rsidRPr="008E2428" w:rsidRDefault="004D75E8" w:rsidP="008E2428">
      <w:pPr>
        <w:pStyle w:val="Textkrper"/>
      </w:pPr>
      <w:r w:rsidRPr="008E2428">
        <w:t>In der Schweiz leben rund 1,8 Millionen Menschen mit Behinderungen, was etwa einem Fünftel der Bevölkerung entspricht. Dieses Potenzial spiegelt sich in der Politik jedoch kaum wider. Menschen mit Behinderungen sind auf allen politischen Ebenen unterrepräsentiert.</w:t>
      </w:r>
      <w:r w:rsidR="00C51A52" w:rsidRPr="008E2428">
        <w:t xml:space="preserve"> </w:t>
      </w:r>
      <w:r w:rsidRPr="008E2428">
        <w:t>Das hat Folgen: Wenn Betroffene nicht mitentscheiden, fehlen ihre Perspektiven in politischen Prozessen. Entscheidungen werden dann häufig ohne ihre Erfahrungen getroffen.</w:t>
      </w:r>
    </w:p>
    <w:p w14:paraId="2DA81025" w14:textId="133606BF" w:rsidR="004D75E8" w:rsidRPr="005B6DAC" w:rsidRDefault="009A3661" w:rsidP="008E2428">
      <w:pPr>
        <w:pStyle w:val="Textkrper"/>
        <w:ind w:firstLine="0"/>
      </w:pPr>
      <w:r w:rsidRPr="00E80F7C">
        <w:rPr>
          <w:noProof/>
        </w:rPr>
        <w:lastRenderedPageBreak/>
        <mc:AlternateContent>
          <mc:Choice Requires="wps">
            <w:drawing>
              <wp:anchor distT="45720" distB="45720" distL="46990" distR="46990" simplePos="0" relativeHeight="251658240" behindDoc="0" locked="0" layoutInCell="1" allowOverlap="0" wp14:anchorId="353CF936" wp14:editId="1AAD7613">
                <wp:simplePos x="0" y="0"/>
                <wp:positionH relativeFrom="page">
                  <wp:align>left</wp:align>
                </wp:positionH>
                <wp:positionV relativeFrom="paragraph">
                  <wp:posOffset>1613455</wp:posOffset>
                </wp:positionV>
                <wp:extent cx="5156200" cy="481330"/>
                <wp:effectExtent l="0" t="0" r="0" b="0"/>
                <wp:wrapTopAndBottom/>
                <wp:docPr id="1304594315" name="Textfeld 13045943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6200" cy="481330"/>
                        </a:xfrm>
                        <a:prstGeom prst="rect">
                          <a:avLst/>
                        </a:prstGeom>
                        <a:noFill/>
                        <a:ln w="9525">
                          <a:noFill/>
                          <a:miter lim="800000"/>
                          <a:headEnd/>
                          <a:tailEnd/>
                        </a:ln>
                      </wps:spPr>
                      <wps:txbx>
                        <w:txbxContent>
                          <w:p w14:paraId="575CF383" w14:textId="084275EB" w:rsidR="007E16CA" w:rsidRPr="004B0AE6" w:rsidRDefault="005D5723" w:rsidP="007E16CA">
                            <w:pPr>
                              <w:pStyle w:val="Hervorhebung1"/>
                            </w:pPr>
                            <w:r>
                              <w:t xml:space="preserve">Menschen mit Behinderungen sind auf allen politischen Ebenen </w:t>
                            </w:r>
                            <w:r w:rsidR="001F1D47">
                              <w:br/>
                            </w:r>
                            <w:r>
                              <w:t xml:space="preserve">unterrepräsentiert. </w:t>
                            </w:r>
                          </w:p>
                        </w:txbxContent>
                      </wps:txbx>
                      <wps:bodyPr rot="0" vert="horz" wrap="square" lIns="1044000" tIns="45720" rIns="9000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3CF936" id="_x0000_t202" coordsize="21600,21600" o:spt="202" path="m,l,21600r21600,l21600,xe">
                <v:stroke joinstyle="miter"/>
                <v:path gradientshapeok="t" o:connecttype="rect"/>
              </v:shapetype>
              <v:shape id="Textfeld 1304594315" o:spid="_x0000_s1026" type="#_x0000_t202" alt="&quot;&quot;" style="position:absolute;left:0;text-align:left;margin-left:0;margin-top:127.05pt;width:406pt;height:37.9pt;z-index:251658240;visibility:visible;mso-wrap-style:square;mso-width-percent:0;mso-height-percent:0;mso-wrap-distance-left:3.7pt;mso-wrap-distance-top:3.6pt;mso-wrap-distance-right:3.7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" o:allowoverlap="f" filled="f" stroked="f">
                <v:textbox inset="29mm,,2.5mm">
                  <w:txbxContent>
                    <w:p w14:paraId="575CF383" w14:textId="084275EB" w:rsidR="007E16CA" w:rsidRPr="004B0AE6" w:rsidRDefault="005D5723" w:rsidP="007E16CA">
                      <w:pPr>
                        <w:pStyle w:val="Hervorhebung1"/>
                      </w:pPr>
                      <w:r>
                        <w:t xml:space="preserve">Menschen mit Behinderungen sind auf allen politischen Ebenen </w:t>
                      </w:r>
                      <w:r w:rsidR="001F1D47">
                        <w:br/>
                      </w:r>
                      <w:r>
                        <w:t xml:space="preserve">unterrepräsentiert. </w:t>
                      </w:r>
                    </w:p>
                  </w:txbxContent>
                </v:textbox>
                <w10:wrap type="topAndBottom" anchorx="page"/>
              </v:shape>
            </w:pict>
          </mc:Fallback>
        </mc:AlternateContent>
      </w:r>
      <w:r w:rsidR="000E2D46">
        <w:t xml:space="preserve">Es </w:t>
      </w:r>
      <w:r w:rsidR="004D75E8" w:rsidRPr="005B6DAC">
        <w:t>gibt rechtliche Grundlagen zur Gleichstellung, etwa durch internationale Verpflichtungen wie d</w:t>
      </w:r>
      <w:r w:rsidR="00D54DAD">
        <w:t>ie</w:t>
      </w:r>
      <w:r w:rsidR="004D75E8" w:rsidRPr="005B6DAC">
        <w:t xml:space="preserve"> Behindertenrechtskonvention</w:t>
      </w:r>
      <w:r w:rsidR="00511855">
        <w:t xml:space="preserve"> (BRK)</w:t>
      </w:r>
      <w:r w:rsidR="004D75E8" w:rsidRPr="005B6DAC">
        <w:t>, welche die Schweiz 2014 ratifiziert hat. Diese fordert, Menschen mit Behinderungen vor Diskriminierung zu schützen, deren Inklusion und Gleichstellung in der Gesellschaft zu fördern sowie Hindernisse abzubauen</w:t>
      </w:r>
      <w:r w:rsidR="00C51A52">
        <w:rPr>
          <w:noProof/>
        </w:rPr>
        <w:t xml:space="preserve"> </w:t>
      </w:r>
      <w:r w:rsidR="00C51A52" w:rsidRPr="007F09A3">
        <w:rPr>
          <w:noProof/>
        </w:rPr>
        <w:t>(EDI, 2026)</w:t>
      </w:r>
      <w:r w:rsidR="004D75E8" w:rsidRPr="005B6DAC">
        <w:t xml:space="preserve">. Insbesondere Art. 29 </w:t>
      </w:r>
      <w:r w:rsidR="009E03A7">
        <w:t xml:space="preserve">der </w:t>
      </w:r>
      <w:r w:rsidR="004D75E8" w:rsidRPr="005B6DAC">
        <w:t>BRK</w:t>
      </w:r>
      <w:r w:rsidR="009103BB">
        <w:t xml:space="preserve"> (2006)</w:t>
      </w:r>
      <w:r w:rsidR="004D75E8" w:rsidRPr="005B6DAC">
        <w:t xml:space="preserve"> spricht über die Verpflichtungen der Vertragsstaaten</w:t>
      </w:r>
      <w:r w:rsidR="005720A7">
        <w:t xml:space="preserve"> in Bezug auf</w:t>
      </w:r>
      <w:r w:rsidR="004D75E8" w:rsidRPr="005B6DAC">
        <w:t xml:space="preserve"> die Teilhabe am politischen und öffentlichen Leben. Unter anderem werden in diesem Artikel auch das aktive und passive Wahlrecht geregelt. Menschen mit Behinderungen sollen auch bei politischen Prozessen mitreden können</w:t>
      </w:r>
      <w:r w:rsidR="00C3014D">
        <w:t>. D</w:t>
      </w:r>
      <w:r w:rsidR="004D75E8" w:rsidRPr="005B6DAC">
        <w:t>ies bedeutet, dass sie in alle Phasen der Gesetzgebung miteinbezogen werden müssen</w:t>
      </w:r>
      <w:r w:rsidR="00C51A52">
        <w:rPr>
          <w:noProof/>
        </w:rPr>
        <w:t xml:space="preserve"> </w:t>
      </w:r>
      <w:r w:rsidR="00C51A52" w:rsidRPr="007F09A3">
        <w:rPr>
          <w:noProof/>
        </w:rPr>
        <w:t>(</w:t>
      </w:r>
      <w:r w:rsidR="00B16E6C">
        <w:rPr>
          <w:noProof/>
        </w:rPr>
        <w:t>BRK</w:t>
      </w:r>
      <w:r w:rsidR="00C51A52" w:rsidRPr="007F09A3">
        <w:rPr>
          <w:noProof/>
        </w:rPr>
        <w:t>, 20</w:t>
      </w:r>
      <w:r w:rsidR="00B16E6C">
        <w:rPr>
          <w:noProof/>
        </w:rPr>
        <w:t>0</w:t>
      </w:r>
      <w:r w:rsidR="00C51A52" w:rsidRPr="007F09A3">
        <w:rPr>
          <w:noProof/>
        </w:rPr>
        <w:t>6)</w:t>
      </w:r>
      <w:r w:rsidR="004D75E8" w:rsidRPr="005B6DAC">
        <w:t xml:space="preserve">. Wie eine Kurzstudie zeigt, ist die Umsetzung jedoch lückenhaft </w:t>
      </w:r>
      <w:r w:rsidR="00C51A52" w:rsidRPr="007F09A3">
        <w:rPr>
          <w:noProof/>
        </w:rPr>
        <w:t>(Frei, 2019)</w:t>
      </w:r>
      <w:r w:rsidR="004D75E8" w:rsidRPr="005B6DAC">
        <w:t xml:space="preserve">. </w:t>
      </w:r>
    </w:p>
    <w:p w14:paraId="04C5E828" w14:textId="180E5EDC" w:rsidR="004D75E8" w:rsidRPr="00FE2AA4" w:rsidRDefault="004D75E8" w:rsidP="00FE2AA4">
      <w:pPr>
        <w:pStyle w:val="berschrift1"/>
      </w:pPr>
      <w:r w:rsidRPr="00FE2AA4">
        <w:t>Ursachen für die Unterrepräsentation</w:t>
      </w:r>
    </w:p>
    <w:p w14:paraId="3AE5B6BD" w14:textId="26A598CB" w:rsidR="004026BC" w:rsidRPr="005B6DAC" w:rsidRDefault="00DE06C6" w:rsidP="004026BC">
      <w:pPr>
        <w:pStyle w:val="Textkrper"/>
        <w:ind w:firstLine="0"/>
      </w:pPr>
      <w:r>
        <w:t>E</w:t>
      </w:r>
      <w:r w:rsidRPr="005B6DAC">
        <w:t xml:space="preserve">s </w:t>
      </w:r>
      <w:r>
        <w:t xml:space="preserve">ist </w:t>
      </w:r>
      <w:r w:rsidRPr="005B6DAC">
        <w:t xml:space="preserve">essenziell, </w:t>
      </w:r>
      <w:r>
        <w:t xml:space="preserve">die </w:t>
      </w:r>
      <w:r w:rsidRPr="005B6DAC">
        <w:t xml:space="preserve">Ursachen für die Unterrepräsentation und die erschwerte Teilnahme </w:t>
      </w:r>
      <w:r w:rsidR="00A33D5F">
        <w:t>sichtbar zu machen</w:t>
      </w:r>
      <w:r w:rsidRPr="005B6DAC">
        <w:t>, denn nur so können Veränderungen herbeigeführt werden</w:t>
      </w:r>
      <w:r w:rsidR="00EF0A13">
        <w:t>.</w:t>
      </w:r>
      <w:r w:rsidRPr="005B6DAC">
        <w:t xml:space="preserve"> </w:t>
      </w:r>
      <w:r w:rsidR="008664D0">
        <w:t>Wie die folgenden Beispiele zeigen</w:t>
      </w:r>
      <w:r w:rsidR="00601C4C">
        <w:t>, sind die</w:t>
      </w:r>
      <w:r w:rsidR="004D75E8" w:rsidRPr="005B6DAC">
        <w:t xml:space="preserve"> Gründe vielfältig und beginnen oft im Alltag</w:t>
      </w:r>
      <w:r w:rsidR="007848B0">
        <w:t>,</w:t>
      </w:r>
    </w:p>
    <w:p w14:paraId="54EE0A1D" w14:textId="35BBD8DB" w:rsidR="00180DD5" w:rsidRDefault="004D75E8" w:rsidP="00F81075">
      <w:pPr>
        <w:pStyle w:val="berschrift2"/>
      </w:pPr>
      <w:r w:rsidRPr="00FE2AA4">
        <w:t>Bildung und Arbeit</w:t>
      </w:r>
    </w:p>
    <w:p w14:paraId="2AC99215" w14:textId="23AEFC26" w:rsidR="004D75E8" w:rsidRPr="00180DD5" w:rsidRDefault="004D75E8" w:rsidP="00F81075">
      <w:pPr>
        <w:pStyle w:val="Textkrper"/>
        <w:ind w:firstLine="0"/>
        <w:rPr>
          <w:rFonts w:eastAsiaTheme="majorEastAsia" w:cs="Open Sans SemiCondensed"/>
          <w:b/>
          <w:bCs/>
          <w:szCs w:val="24"/>
        </w:rPr>
      </w:pPr>
      <w:r w:rsidRPr="00180DD5">
        <w:rPr>
          <w:rStyle w:val="TextkrperZchn"/>
        </w:rPr>
        <w:t xml:space="preserve">Kinder mit Behinderungen haben ein höheres Risiko, eine schlechte Bildung zu erhalten </w:t>
      </w:r>
      <w:r w:rsidR="00950C5E" w:rsidRPr="00180DD5">
        <w:rPr>
          <w:rStyle w:val="TextkrperZchn"/>
        </w:rPr>
        <w:t>(WHO,</w:t>
      </w:r>
      <w:r w:rsidR="00BA6494">
        <w:rPr>
          <w:rStyle w:val="TextkrperZchn"/>
        </w:rPr>
        <w:t xml:space="preserve"> </w:t>
      </w:r>
      <w:r w:rsidR="00950C5E" w:rsidRPr="00180DD5">
        <w:rPr>
          <w:rStyle w:val="TextkrperZchn"/>
        </w:rPr>
        <w:t>2011)</w:t>
      </w:r>
      <w:r w:rsidRPr="00180DD5">
        <w:rPr>
          <w:rStyle w:val="TextkrperZchn"/>
        </w:rPr>
        <w:t>. Daraus ergeben sich schlechtere Arbeitsmarktchancen und geringere Einkommen. Diese Faktoren beeinflussen auch die politische Teilhabe, da politische Aktivitäten Zeit und Ressourcen erfordern.</w:t>
      </w:r>
    </w:p>
    <w:p w14:paraId="32238A7D" w14:textId="2EFA10C0" w:rsidR="00180DD5" w:rsidRPr="00F71CA6" w:rsidRDefault="004D75E8" w:rsidP="00F71CA6">
      <w:pPr>
        <w:pStyle w:val="berschrift2"/>
      </w:pPr>
      <w:r w:rsidRPr="00F71CA6">
        <w:t>Armut und fehlendes Vertrauen</w:t>
      </w:r>
    </w:p>
    <w:p w14:paraId="11F5F1DE" w14:textId="5A18FBD5" w:rsidR="004D75E8" w:rsidRPr="00180DD5" w:rsidRDefault="004D75E8" w:rsidP="00F81075">
      <w:pPr>
        <w:pStyle w:val="Textkrper"/>
        <w:ind w:firstLine="0"/>
        <w:rPr>
          <w:rStyle w:val="TextkrperZchn"/>
        </w:rPr>
      </w:pPr>
      <w:r w:rsidRPr="00180DD5">
        <w:rPr>
          <w:rStyle w:val="TextkrperZchn"/>
        </w:rPr>
        <w:t xml:space="preserve">Aus dem erschwerten oder nicht entsprechenden Zugang zu Bildung </w:t>
      </w:r>
      <w:r w:rsidR="00186FAC">
        <w:rPr>
          <w:rStyle w:val="TextkrperZchn"/>
        </w:rPr>
        <w:t>entsteht</w:t>
      </w:r>
      <w:r w:rsidR="00186FAC" w:rsidRPr="00180DD5">
        <w:rPr>
          <w:rStyle w:val="TextkrperZchn"/>
        </w:rPr>
        <w:t xml:space="preserve"> </w:t>
      </w:r>
      <w:r w:rsidRPr="00180DD5">
        <w:rPr>
          <w:rStyle w:val="TextkrperZchn"/>
        </w:rPr>
        <w:t xml:space="preserve">ebenfalls ein höheres Risiko </w:t>
      </w:r>
      <w:r w:rsidR="00FE3EFE">
        <w:rPr>
          <w:rStyle w:val="TextkrperZchn"/>
        </w:rPr>
        <w:t>für</w:t>
      </w:r>
      <w:r w:rsidR="00FE3EFE" w:rsidRPr="00180DD5">
        <w:rPr>
          <w:rStyle w:val="TextkrperZchn"/>
        </w:rPr>
        <w:t xml:space="preserve"> </w:t>
      </w:r>
      <w:r w:rsidRPr="00180DD5">
        <w:rPr>
          <w:rStyle w:val="TextkrperZchn"/>
        </w:rPr>
        <w:t xml:space="preserve">Arbeitslosigkeit </w:t>
      </w:r>
      <w:r w:rsidR="004C7A43" w:rsidRPr="00180DD5">
        <w:rPr>
          <w:rStyle w:val="TextkrperZchn"/>
        </w:rPr>
        <w:t>(WHO, 2011)</w:t>
      </w:r>
      <w:r w:rsidRPr="00180DD5">
        <w:rPr>
          <w:rStyle w:val="TextkrperZchn"/>
        </w:rPr>
        <w:t xml:space="preserve">. Behinderungen können mit zusätzlichen Kosten verbunden sein, beispielsweise </w:t>
      </w:r>
      <w:r w:rsidR="006B0186">
        <w:rPr>
          <w:rStyle w:val="TextkrperZchn"/>
        </w:rPr>
        <w:t xml:space="preserve">für </w:t>
      </w:r>
      <w:r w:rsidRPr="00180DD5">
        <w:rPr>
          <w:rStyle w:val="TextkrperZchn"/>
        </w:rPr>
        <w:t xml:space="preserve">zusätzliche Unterstützungsleistungen oder Medikamente. Gleichzeitig ist das Einkommen von Menschen mit Behinderungen häufig </w:t>
      </w:r>
      <w:r w:rsidR="00D03879">
        <w:rPr>
          <w:rStyle w:val="TextkrperZchn"/>
        </w:rPr>
        <w:t>geringer</w:t>
      </w:r>
      <w:r w:rsidRPr="00180DD5">
        <w:rPr>
          <w:rStyle w:val="TextkrperZchn"/>
        </w:rPr>
        <w:t xml:space="preserve">, </w:t>
      </w:r>
      <w:r w:rsidR="00D03879">
        <w:rPr>
          <w:rStyle w:val="TextkrperZchn"/>
        </w:rPr>
        <w:t xml:space="preserve">weshalb </w:t>
      </w:r>
      <w:r w:rsidR="001818C0">
        <w:rPr>
          <w:rStyle w:val="TextkrperZchn"/>
        </w:rPr>
        <w:t xml:space="preserve">sie </w:t>
      </w:r>
      <w:r w:rsidRPr="00180DD5">
        <w:rPr>
          <w:rStyle w:val="TextkrperZchn"/>
        </w:rPr>
        <w:t>höhere Hürden</w:t>
      </w:r>
      <w:r w:rsidR="00D03879">
        <w:rPr>
          <w:rStyle w:val="TextkrperZchn"/>
        </w:rPr>
        <w:t xml:space="preserve"> überwinden müssen, um </w:t>
      </w:r>
      <w:r w:rsidRPr="00180DD5">
        <w:rPr>
          <w:rStyle w:val="TextkrperZchn"/>
        </w:rPr>
        <w:t xml:space="preserve">der Armut zu entkommen </w:t>
      </w:r>
      <w:r w:rsidR="00950C5E" w:rsidRPr="00180DD5">
        <w:rPr>
          <w:rStyle w:val="TextkrperZchn"/>
        </w:rPr>
        <w:t>(WHO, 2011)</w:t>
      </w:r>
      <w:r w:rsidRPr="00180DD5">
        <w:rPr>
          <w:rStyle w:val="TextkrperZchn"/>
        </w:rPr>
        <w:t xml:space="preserve">. </w:t>
      </w:r>
    </w:p>
    <w:p w14:paraId="341E31BA" w14:textId="29A00C96" w:rsidR="00180DD5" w:rsidRPr="00F71CA6" w:rsidRDefault="004D75E8" w:rsidP="00F71CA6">
      <w:pPr>
        <w:pStyle w:val="berschrift2"/>
      </w:pPr>
      <w:r w:rsidRPr="00F71CA6">
        <w:t>Physische und strukturelle Barrieren</w:t>
      </w:r>
    </w:p>
    <w:p w14:paraId="234C9B01" w14:textId="60493689" w:rsidR="004D75E8" w:rsidRPr="005B6DAC" w:rsidRDefault="004D75E8" w:rsidP="004026BC">
      <w:pPr>
        <w:pStyle w:val="Textkrper"/>
        <w:ind w:firstLine="0"/>
      </w:pPr>
      <w:r w:rsidRPr="005B6DAC">
        <w:t xml:space="preserve">Nicht barrierefreie Gebäude, fehlende Zugänglichkeit </w:t>
      </w:r>
      <w:r w:rsidR="001F1BA3">
        <w:t>zu</w:t>
      </w:r>
      <w:r w:rsidR="001F1BA3" w:rsidRPr="005B6DAC">
        <w:t xml:space="preserve"> </w:t>
      </w:r>
      <w:r w:rsidRPr="005B6DAC">
        <w:t>Veranstaltungen oder unzureichende Information</w:t>
      </w:r>
      <w:r>
        <w:t xml:space="preserve">en </w:t>
      </w:r>
      <w:r w:rsidRPr="005B6DAC">
        <w:t xml:space="preserve">erschweren politisches Engagement. Auch Wahlkampagnen oder Parteiarbeit sind oft mit Hürden verbunden. </w:t>
      </w:r>
      <w:r w:rsidR="001818C0">
        <w:t xml:space="preserve">Von Tür zu Tür auf </w:t>
      </w:r>
      <w:r w:rsidRPr="005B6DAC">
        <w:t>Stimmenfang zu gehen,</w:t>
      </w:r>
      <w:r w:rsidR="001818C0">
        <w:t xml:space="preserve"> </w:t>
      </w:r>
      <w:r w:rsidR="00B32FE3">
        <w:t>ist</w:t>
      </w:r>
      <w:r w:rsidRPr="005B6DAC">
        <w:t xml:space="preserve"> für viele </w:t>
      </w:r>
      <w:r w:rsidR="00B32FE3">
        <w:t>Menschen mit Behinderungen</w:t>
      </w:r>
      <w:r w:rsidR="003267B8">
        <w:t xml:space="preserve"> </w:t>
      </w:r>
      <w:r w:rsidR="00B32FE3">
        <w:t>h</w:t>
      </w:r>
      <w:r w:rsidRPr="005B6DAC">
        <w:t>erausford</w:t>
      </w:r>
      <w:r w:rsidR="00E65272">
        <w:t>e</w:t>
      </w:r>
      <w:r w:rsidRPr="005B6DAC">
        <w:t>r</w:t>
      </w:r>
      <w:r w:rsidR="00E65272">
        <w:t>nd</w:t>
      </w:r>
      <w:r w:rsidRPr="005B6DAC">
        <w:t xml:space="preserve">. </w:t>
      </w:r>
      <w:r w:rsidR="003B22E3">
        <w:t>An</w:t>
      </w:r>
      <w:r w:rsidRPr="005B6DAC">
        <w:t xml:space="preserve"> Parteiversammlungen</w:t>
      </w:r>
      <w:r w:rsidR="003B22E3">
        <w:t xml:space="preserve"> zu reisen</w:t>
      </w:r>
      <w:r w:rsidRPr="005B6DAC">
        <w:t xml:space="preserve"> und der Zugang zu den Lokalitäten ist gerade für Personen, die </w:t>
      </w:r>
      <w:r w:rsidR="003267B8">
        <w:t>auf einen</w:t>
      </w:r>
      <w:r>
        <w:t xml:space="preserve"> </w:t>
      </w:r>
      <w:r w:rsidRPr="005B6DAC">
        <w:t xml:space="preserve">Rollstuhl </w:t>
      </w:r>
      <w:r w:rsidR="003267B8">
        <w:t xml:space="preserve">angewiesen </w:t>
      </w:r>
      <w:r w:rsidRPr="005B6DAC">
        <w:t xml:space="preserve">sind, eine grössere Hürde </w:t>
      </w:r>
      <w:r w:rsidR="003267B8" w:rsidRPr="007F09A3">
        <w:rPr>
          <w:noProof/>
        </w:rPr>
        <w:t>(Evans &amp; Reher, 2020)</w:t>
      </w:r>
      <w:r w:rsidRPr="005B6DAC">
        <w:t xml:space="preserve">. </w:t>
      </w:r>
      <w:r>
        <w:t xml:space="preserve">Menschen mit Hör- oder Sehbehinderungen </w:t>
      </w:r>
      <w:r w:rsidRPr="005B6DAC">
        <w:t xml:space="preserve">haben </w:t>
      </w:r>
      <w:r w:rsidR="003267B8">
        <w:t xml:space="preserve">Schwierigkeiten, </w:t>
      </w:r>
      <w:r w:rsidRPr="005B6DAC">
        <w:t xml:space="preserve">mit </w:t>
      </w:r>
      <w:proofErr w:type="spellStart"/>
      <w:proofErr w:type="gramStart"/>
      <w:r w:rsidRPr="005B6DAC">
        <w:t>Wähler</w:t>
      </w:r>
      <w:r w:rsidR="003267B8">
        <w:t>:</w:t>
      </w:r>
      <w:r>
        <w:t>inne</w:t>
      </w:r>
      <w:r w:rsidRPr="005B6DAC">
        <w:t>n</w:t>
      </w:r>
      <w:proofErr w:type="spellEnd"/>
      <w:proofErr w:type="gramEnd"/>
      <w:r w:rsidRPr="005B6DAC">
        <w:t xml:space="preserve"> zu interagieren oder aktiv an Veranstaltungen teilzunehmen </w:t>
      </w:r>
      <w:r w:rsidR="003267B8" w:rsidRPr="007F09A3">
        <w:rPr>
          <w:noProof/>
        </w:rPr>
        <w:t>(Sackey, 2015)</w:t>
      </w:r>
      <w:r w:rsidRPr="005B6DAC">
        <w:t>.</w:t>
      </w:r>
    </w:p>
    <w:p w14:paraId="4CE34889" w14:textId="7AF6D402" w:rsidR="004D75E8" w:rsidRPr="005B6DAC" w:rsidRDefault="004D75E8" w:rsidP="004026BC">
      <w:pPr>
        <w:pStyle w:val="Textkrper"/>
      </w:pPr>
      <w:r w:rsidRPr="005B6DAC">
        <w:t xml:space="preserve">Für betroffene Personen </w:t>
      </w:r>
      <w:r w:rsidR="00A92F93">
        <w:t>sind</w:t>
      </w:r>
      <w:r w:rsidRPr="005B6DAC">
        <w:t xml:space="preserve"> der Zugang zu Informationen oder die Teilnahme an Parteitreffen oft grosse Hindernis</w:t>
      </w:r>
      <w:r w:rsidR="00A92F93">
        <w:t>se</w:t>
      </w:r>
      <w:r w:rsidRPr="005B6DAC">
        <w:t xml:space="preserve">, da sie Assistenztechnologien und </w:t>
      </w:r>
      <w:proofErr w:type="spellStart"/>
      <w:proofErr w:type="gramStart"/>
      <w:r w:rsidRPr="005B6DAC">
        <w:t>Dolmetscher</w:t>
      </w:r>
      <w:r w:rsidR="00135F2A">
        <w:t>:</w:t>
      </w:r>
      <w:r w:rsidRPr="005B6DAC">
        <w:t>innen</w:t>
      </w:r>
      <w:proofErr w:type="spellEnd"/>
      <w:proofErr w:type="gramEnd"/>
      <w:r w:rsidRPr="005B6DAC">
        <w:t xml:space="preserve"> für Gebärdensprache oder Blindenschrift benötigen</w:t>
      </w:r>
      <w:r w:rsidR="003267B8">
        <w:rPr>
          <w:noProof/>
        </w:rPr>
        <w:t xml:space="preserve"> </w:t>
      </w:r>
      <w:r w:rsidR="003267B8" w:rsidRPr="007F09A3">
        <w:rPr>
          <w:noProof/>
        </w:rPr>
        <w:t>(Sackey, 2015)</w:t>
      </w:r>
      <w:r w:rsidRPr="005B6DAC">
        <w:t xml:space="preserve">. </w:t>
      </w:r>
      <w:r w:rsidR="00135F2A">
        <w:t>Laut</w:t>
      </w:r>
      <w:r w:rsidRPr="005B6DAC">
        <w:t xml:space="preserve"> </w:t>
      </w:r>
      <w:r w:rsidR="003267B8" w:rsidRPr="007F09A3">
        <w:rPr>
          <w:noProof/>
        </w:rPr>
        <w:t xml:space="preserve">Evans </w:t>
      </w:r>
      <w:r w:rsidR="00135F2A">
        <w:rPr>
          <w:noProof/>
        </w:rPr>
        <w:t xml:space="preserve">und </w:t>
      </w:r>
      <w:r w:rsidR="003267B8" w:rsidRPr="007F09A3">
        <w:rPr>
          <w:noProof/>
        </w:rPr>
        <w:t>Reher</w:t>
      </w:r>
      <w:r w:rsidR="000A632D">
        <w:rPr>
          <w:noProof/>
        </w:rPr>
        <w:t xml:space="preserve"> (</w:t>
      </w:r>
      <w:r w:rsidR="003267B8" w:rsidRPr="007F09A3">
        <w:rPr>
          <w:noProof/>
        </w:rPr>
        <w:t>2020</w:t>
      </w:r>
      <w:r w:rsidR="000A632D">
        <w:rPr>
          <w:noProof/>
        </w:rPr>
        <w:t>)</w:t>
      </w:r>
      <w:r w:rsidRPr="005B6DAC">
        <w:t xml:space="preserve"> ist </w:t>
      </w:r>
      <w:r w:rsidR="00135F2A">
        <w:t xml:space="preserve">das Material </w:t>
      </w:r>
      <w:r w:rsidRPr="005B6DAC">
        <w:t xml:space="preserve">für Menschen mit Seh- oder Lernbehinderungen </w:t>
      </w:r>
      <w:r w:rsidR="00754812">
        <w:t>häufig</w:t>
      </w:r>
      <w:r w:rsidRPr="005B6DAC">
        <w:t xml:space="preserve"> nicht in </w:t>
      </w:r>
      <w:r w:rsidR="00EE2C38">
        <w:t xml:space="preserve">einem </w:t>
      </w:r>
      <w:r w:rsidRPr="005B6DAC">
        <w:t>geeignete</w:t>
      </w:r>
      <w:r w:rsidR="00EE2C38">
        <w:t>n</w:t>
      </w:r>
      <w:r w:rsidRPr="005B6DAC">
        <w:t xml:space="preserve"> Format zugänglich</w:t>
      </w:r>
      <w:r w:rsidR="00E2729A">
        <w:t>.</w:t>
      </w:r>
    </w:p>
    <w:p w14:paraId="630E2D1C" w14:textId="4DB257D1" w:rsidR="00180DD5" w:rsidRPr="00F71CA6" w:rsidRDefault="004D75E8" w:rsidP="00F71CA6">
      <w:pPr>
        <w:pStyle w:val="berschrift2"/>
      </w:pPr>
      <w:r w:rsidRPr="00F71CA6">
        <w:t>Finanzielle Belastungen</w:t>
      </w:r>
    </w:p>
    <w:p w14:paraId="46627B13" w14:textId="2D0A1D0E" w:rsidR="004D75E8" w:rsidRPr="00180DD5" w:rsidRDefault="004D75E8" w:rsidP="004026BC">
      <w:pPr>
        <w:pStyle w:val="Textkrper"/>
        <w:ind w:firstLine="0"/>
        <w:rPr>
          <w:rFonts w:eastAsiaTheme="majorEastAsia" w:cs="Open Sans SemiCondensed"/>
          <w:b/>
          <w:bCs/>
          <w:szCs w:val="24"/>
        </w:rPr>
      </w:pPr>
      <w:r w:rsidRPr="005B6DAC">
        <w:t xml:space="preserve">Für Menschen mit Behinderungen entstehen zusätzliche Kosten, etwa für Assistenz, Transport oder </w:t>
      </w:r>
      <w:r>
        <w:t>Übersetzungen</w:t>
      </w:r>
      <w:r w:rsidRPr="005B6DAC">
        <w:t>. Diese werden nicht immer</w:t>
      </w:r>
      <w:r w:rsidR="008A622C">
        <w:t xml:space="preserve"> von Versicherungen</w:t>
      </w:r>
      <w:r w:rsidRPr="005B6DAC">
        <w:t xml:space="preserve"> übernommen und erschweren ein politisches Engagement zusätzlich. </w:t>
      </w:r>
      <w:r w:rsidR="00EE2C38">
        <w:t xml:space="preserve">Laut </w:t>
      </w:r>
      <w:r w:rsidR="00EE2C38" w:rsidRPr="007F09A3">
        <w:rPr>
          <w:noProof/>
        </w:rPr>
        <w:t xml:space="preserve">Evans </w:t>
      </w:r>
      <w:r w:rsidR="00EE2C38">
        <w:rPr>
          <w:noProof/>
        </w:rPr>
        <w:t>und</w:t>
      </w:r>
      <w:r w:rsidR="00EE2C38" w:rsidRPr="007F09A3">
        <w:rPr>
          <w:noProof/>
        </w:rPr>
        <w:t xml:space="preserve"> Reher </w:t>
      </w:r>
      <w:r w:rsidR="00EE2C38">
        <w:rPr>
          <w:noProof/>
        </w:rPr>
        <w:t>(</w:t>
      </w:r>
      <w:r w:rsidR="00EE2C38" w:rsidRPr="007F09A3">
        <w:rPr>
          <w:noProof/>
        </w:rPr>
        <w:t>2020)</w:t>
      </w:r>
      <w:r w:rsidRPr="005B6DAC">
        <w:t xml:space="preserve"> </w:t>
      </w:r>
      <w:r w:rsidR="00EE2C38">
        <w:t xml:space="preserve">können sich </w:t>
      </w:r>
      <w:r w:rsidRPr="005B6DAC">
        <w:t xml:space="preserve">viele betroffene Personen nur durch eine Reduzierung des Arbeitspensums </w:t>
      </w:r>
      <w:r w:rsidR="00EE2C38">
        <w:t>in einem Wahlkampf engagieren</w:t>
      </w:r>
      <w:r w:rsidRPr="005B6DAC">
        <w:t xml:space="preserve">. Personen mit Behinderungen benötigen manchmal </w:t>
      </w:r>
      <w:r w:rsidR="00503DC4">
        <w:t>mehr Zeit und Energie</w:t>
      </w:r>
      <w:r w:rsidRPr="005B6DAC">
        <w:t xml:space="preserve"> für eine </w:t>
      </w:r>
      <w:r w:rsidRPr="005B6DAC">
        <w:lastRenderedPageBreak/>
        <w:t xml:space="preserve">Aufgabe. Teilzeit-Arbeitsverträge sind deshalb ein Instrument, um diesem Umstand Rechnung zu tragen </w:t>
      </w:r>
      <w:r w:rsidR="00EE2C38" w:rsidRPr="007F09A3">
        <w:rPr>
          <w:noProof/>
        </w:rPr>
        <w:t>(Waltz &amp; Schippers, 2020)</w:t>
      </w:r>
      <w:r w:rsidRPr="005B6DAC">
        <w:t xml:space="preserve">. Dies ist </w:t>
      </w:r>
      <w:r w:rsidR="00F2279B">
        <w:t xml:space="preserve">jedoch </w:t>
      </w:r>
      <w:r w:rsidRPr="005B6DAC">
        <w:t xml:space="preserve">problematisch, da </w:t>
      </w:r>
      <w:r w:rsidR="00F2279B">
        <w:t>sich</w:t>
      </w:r>
      <w:r w:rsidRPr="005B6DAC">
        <w:t xml:space="preserve"> das ohnehin schon geringe Einkommen </w:t>
      </w:r>
      <w:r w:rsidR="00F2279B">
        <w:t xml:space="preserve">dadurch </w:t>
      </w:r>
      <w:r w:rsidRPr="005B6DAC">
        <w:t xml:space="preserve">noch </w:t>
      </w:r>
      <w:r w:rsidR="00F2279B">
        <w:t>weiter</w:t>
      </w:r>
      <w:r w:rsidRPr="005B6DAC">
        <w:t xml:space="preserve"> ver</w:t>
      </w:r>
      <w:r w:rsidR="00F2279B">
        <w:t>ringert</w:t>
      </w:r>
      <w:r w:rsidRPr="005B6DAC">
        <w:t xml:space="preserve"> </w:t>
      </w:r>
      <w:r w:rsidR="00F2279B" w:rsidRPr="007F09A3">
        <w:rPr>
          <w:noProof/>
        </w:rPr>
        <w:t>(Evans &amp; Reher, 2020)</w:t>
      </w:r>
      <w:r w:rsidRPr="005B6DAC">
        <w:t>. Gelingt der Sprung in die Politik und es entsteht ein Arbeitsverhältnis, kann dies dazu führen, dass die finanzielle</w:t>
      </w:r>
      <w:r>
        <w:t xml:space="preserve"> Unterstützung</w:t>
      </w:r>
      <w:r w:rsidRPr="005B6DAC">
        <w:t xml:space="preserve"> des </w:t>
      </w:r>
      <w:r w:rsidR="00392908">
        <w:rPr>
          <w:rFonts w:cs="Open Sans SemiCondensed"/>
        </w:rPr>
        <w:t>‹</w:t>
      </w:r>
      <w:r w:rsidRPr="005B6DAC">
        <w:t>Invalidenstatus</w:t>
      </w:r>
      <w:r w:rsidR="00392908">
        <w:rPr>
          <w:rFonts w:cs="Open Sans SemiCondensed"/>
        </w:rPr>
        <w:t>›</w:t>
      </w:r>
      <w:r w:rsidRPr="005B6DAC">
        <w:t xml:space="preserve"> verloren geh</w:t>
      </w:r>
      <w:r w:rsidR="00C07C41">
        <w:t>t</w:t>
      </w:r>
      <w:r w:rsidRPr="005B6DAC">
        <w:t xml:space="preserve">, auch wenn </w:t>
      </w:r>
      <w:r w:rsidR="00D45E42">
        <w:t>sich dies</w:t>
      </w:r>
      <w:r w:rsidRPr="005B6DAC">
        <w:t xml:space="preserve"> nicht mit totaler Arbeitsfähigkeit gleichsetzen </w:t>
      </w:r>
      <w:r w:rsidR="00D45E42">
        <w:t>lässt</w:t>
      </w:r>
      <w:r w:rsidRPr="005B6DAC">
        <w:t xml:space="preserve"> </w:t>
      </w:r>
      <w:r w:rsidR="00EE2C38" w:rsidRPr="007F09A3">
        <w:rPr>
          <w:noProof/>
        </w:rPr>
        <w:t>(Evans &amp; Reher, 2020)</w:t>
      </w:r>
      <w:r w:rsidRPr="005B6DAC">
        <w:t>. Staatlich</w:t>
      </w:r>
      <w:r w:rsidR="001E0C79">
        <w:t>e</w:t>
      </w:r>
      <w:r w:rsidRPr="005B6DAC">
        <w:t xml:space="preserve"> finanzielle Mittel können beim Abbau der oben beschriebenen physischen Barrieren Abhilfe schaffen </w:t>
      </w:r>
      <w:r w:rsidR="00EE2C38" w:rsidRPr="007F09A3">
        <w:rPr>
          <w:noProof/>
        </w:rPr>
        <w:t>(Waltz &amp; Schippers, 2020)</w:t>
      </w:r>
      <w:r w:rsidR="001E0C79">
        <w:t>.</w:t>
      </w:r>
      <w:r w:rsidRPr="005B6DAC">
        <w:t xml:space="preserve"> </w:t>
      </w:r>
      <w:r w:rsidR="001E0C79">
        <w:t>Dab</w:t>
      </w:r>
      <w:r w:rsidRPr="005B6DAC">
        <w:t xml:space="preserve">ei </w:t>
      </w:r>
      <w:r w:rsidR="001E0C79">
        <w:t xml:space="preserve">ist </w:t>
      </w:r>
      <w:r w:rsidRPr="005B6DAC">
        <w:t>es wichtig, dass diese</w:t>
      </w:r>
      <w:r w:rsidR="008104AF">
        <w:t>r</w:t>
      </w:r>
      <w:r w:rsidRPr="005B6DAC">
        <w:t xml:space="preserve"> </w:t>
      </w:r>
      <w:r w:rsidR="00E16D59">
        <w:t xml:space="preserve">die </w:t>
      </w:r>
      <w:r w:rsidRPr="005B6DAC">
        <w:t xml:space="preserve">Autonomie </w:t>
      </w:r>
      <w:r w:rsidR="00E16D59">
        <w:t>von Personen mit Behinderungen fördert</w:t>
      </w:r>
      <w:r w:rsidRPr="005B6DAC">
        <w:t xml:space="preserve"> und nicht zu neuerlichen Abhängigkeitsverhältnissen führt.</w:t>
      </w:r>
    </w:p>
    <w:p w14:paraId="7BE1D336" w14:textId="5F5C3C18" w:rsidR="00180DD5" w:rsidRPr="00F71CA6" w:rsidRDefault="004D75E8" w:rsidP="00D16351">
      <w:pPr>
        <w:pStyle w:val="berschrift2"/>
        <w:rPr>
          <w:b w:val="0"/>
          <w:bCs w:val="0"/>
        </w:rPr>
      </w:pPr>
      <w:r w:rsidRPr="00F71CA6">
        <w:t>Vorurteile und fehlende Vorbilder</w:t>
      </w:r>
    </w:p>
    <w:p w14:paraId="4B18506F" w14:textId="1CD34EDD" w:rsidR="004D75E8" w:rsidRPr="005B6DAC" w:rsidRDefault="004D75E8" w:rsidP="004026BC">
      <w:pPr>
        <w:pStyle w:val="Textkrper"/>
        <w:ind w:firstLine="0"/>
      </w:pPr>
      <w:r w:rsidRPr="005B6DAC">
        <w:t xml:space="preserve">Gesellschaftliche Vorurteile führen dazu, dass Menschen mit Behinderungen weniger zugetraut </w:t>
      </w:r>
      <w:proofErr w:type="gramStart"/>
      <w:r w:rsidRPr="16E82170">
        <w:t>wird</w:t>
      </w:r>
      <w:proofErr w:type="gramEnd"/>
      <w:r w:rsidRPr="16E82170">
        <w:t xml:space="preserve">. Gleichzeitig fehlen oft sichtbare Vorbilder, die zeigen, dass politische Teilhabe möglich ist. Das wirkt sich </w:t>
      </w:r>
      <w:r w:rsidR="002115F9">
        <w:t>wiederum</w:t>
      </w:r>
      <w:r w:rsidRPr="16E82170">
        <w:t xml:space="preserve"> auf das Selbstvertrauen d</w:t>
      </w:r>
      <w:r w:rsidR="002115F9">
        <w:t xml:space="preserve">ieser </w:t>
      </w:r>
      <w:r w:rsidRPr="16E82170">
        <w:t>Menschen aus. Vorurteile hemmen dem</w:t>
      </w:r>
      <w:r w:rsidR="002115F9">
        <w:t>nach</w:t>
      </w:r>
      <w:r w:rsidRPr="16E82170">
        <w:t xml:space="preserve"> das Selbstbewusstsein, beeinflussen aber auch den </w:t>
      </w:r>
      <w:r w:rsidR="00E1236C">
        <w:t xml:space="preserve">gesellschaftlichen </w:t>
      </w:r>
      <w:r w:rsidRPr="16E82170">
        <w:t xml:space="preserve">Umgang mit dem Thema Behinderung </w:t>
      </w:r>
      <w:r w:rsidR="0069153A" w:rsidRPr="007F09A3">
        <w:rPr>
          <w:noProof/>
        </w:rPr>
        <w:t>(Lovenduski, 2016)</w:t>
      </w:r>
      <w:r w:rsidRPr="16E82170">
        <w:t xml:space="preserve">. </w:t>
      </w:r>
      <w:r w:rsidR="00E1236C">
        <w:t xml:space="preserve">Sowohl bei </w:t>
      </w:r>
      <w:r w:rsidRPr="16E82170">
        <w:t>de</w:t>
      </w:r>
      <w:r w:rsidR="00E1236C">
        <w:t>n</w:t>
      </w:r>
      <w:r w:rsidRPr="16E82170">
        <w:t xml:space="preserve"> Parteien </w:t>
      </w:r>
      <w:r w:rsidR="00A4417C">
        <w:t xml:space="preserve">als auch in der </w:t>
      </w:r>
      <w:r w:rsidRPr="16E82170">
        <w:t xml:space="preserve">Gesellschaft bestehen Vorurteile und Hürden, </w:t>
      </w:r>
      <w:r w:rsidR="00EB1A55">
        <w:t>die</w:t>
      </w:r>
      <w:r w:rsidRPr="16E82170">
        <w:t xml:space="preserve"> es den Kandidierenden mit Behinderungen erschweren, in der Politik aktiv zu sein</w:t>
      </w:r>
      <w:r w:rsidR="0069153A">
        <w:rPr>
          <w:noProof/>
        </w:rPr>
        <w:t xml:space="preserve"> </w:t>
      </w:r>
      <w:r w:rsidR="0069153A" w:rsidRPr="007F09A3">
        <w:rPr>
          <w:noProof/>
        </w:rPr>
        <w:t>(Sackey, 2015)</w:t>
      </w:r>
      <w:r w:rsidRPr="16E82170">
        <w:t xml:space="preserve">. Gemäss </w:t>
      </w:r>
      <w:r w:rsidR="00EB1A55">
        <w:t xml:space="preserve">dem </w:t>
      </w:r>
      <w:r w:rsidRPr="16E82170">
        <w:t>Inklusionsindex 202</w:t>
      </w:r>
      <w:r>
        <w:t>6</w:t>
      </w:r>
      <w:r w:rsidRPr="16E82170">
        <w:t xml:space="preserve"> denken</w:t>
      </w:r>
      <w:r>
        <w:t xml:space="preserve"> viele Betroffene</w:t>
      </w:r>
      <w:r w:rsidRPr="16E82170">
        <w:t>, dass sie kaum Chancen haben, in ein öffentliches Amt gewählt zu werden</w:t>
      </w:r>
      <w:r w:rsidR="0069153A">
        <w:rPr>
          <w:noProof/>
        </w:rPr>
        <w:t xml:space="preserve"> </w:t>
      </w:r>
      <w:r w:rsidR="0069153A" w:rsidRPr="007F09A3">
        <w:rPr>
          <w:noProof/>
        </w:rPr>
        <w:t>(Grünenfelder</w:t>
      </w:r>
      <w:r w:rsidR="00EB1A55">
        <w:rPr>
          <w:noProof/>
        </w:rPr>
        <w:t xml:space="preserve"> et al.</w:t>
      </w:r>
      <w:r w:rsidR="0069153A" w:rsidRPr="007F09A3">
        <w:rPr>
          <w:noProof/>
        </w:rPr>
        <w:t>, 2026)</w:t>
      </w:r>
      <w:r w:rsidRPr="16E82170">
        <w:t>.</w:t>
      </w:r>
    </w:p>
    <w:p w14:paraId="7ED28591" w14:textId="6B66B3F2" w:rsidR="004D75E8" w:rsidRPr="005B6DAC" w:rsidRDefault="00C31290" w:rsidP="004026BC">
      <w:pPr>
        <w:pStyle w:val="Textkrper"/>
      </w:pPr>
      <w:r w:rsidRPr="00E80F7C">
        <w:rPr>
          <w:noProof/>
        </w:rPr>
        <mc:AlternateContent>
          <mc:Choice Requires="wps">
            <w:drawing>
              <wp:anchor distT="45720" distB="45720" distL="46990" distR="46990" simplePos="0" relativeHeight="251658241" behindDoc="0" locked="0" layoutInCell="1" allowOverlap="0" wp14:anchorId="2BEDC475" wp14:editId="5E124C2A">
                <wp:simplePos x="0" y="0"/>
                <wp:positionH relativeFrom="page">
                  <wp:align>left</wp:align>
                </wp:positionH>
                <wp:positionV relativeFrom="paragraph">
                  <wp:posOffset>625372</wp:posOffset>
                </wp:positionV>
                <wp:extent cx="5156200" cy="481330"/>
                <wp:effectExtent l="0" t="0" r="0" b="0"/>
                <wp:wrapTopAndBottom/>
                <wp:docPr id="1938145464" name="Textfeld 193814546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6200" cy="481330"/>
                        </a:xfrm>
                        <a:prstGeom prst="rect">
                          <a:avLst/>
                        </a:prstGeom>
                        <a:noFill/>
                        <a:ln w="9525">
                          <a:noFill/>
                          <a:miter lim="800000"/>
                          <a:headEnd/>
                          <a:tailEnd/>
                        </a:ln>
                      </wps:spPr>
                      <wps:txbx>
                        <w:txbxContent>
                          <w:p w14:paraId="7EC5735B" w14:textId="24301299" w:rsidR="007E16CA" w:rsidRPr="008D76CE" w:rsidRDefault="008D76CE" w:rsidP="007E16CA">
                            <w:pPr>
                              <w:pStyle w:val="Hervorhebung1"/>
                              <w:rPr>
                                <w:lang w:val="de-DE"/>
                              </w:rPr>
                            </w:pPr>
                            <w:r>
                              <w:rPr>
                                <w:lang w:val="de-DE"/>
                              </w:rPr>
                              <w:t xml:space="preserve">Viele Betroffene denken, dass sie kaum Chancen haben, in ein </w:t>
                            </w:r>
                            <w:r>
                              <w:rPr>
                                <w:lang w:val="de-DE"/>
                              </w:rPr>
                              <w:br/>
                              <w:t>öffentliches Amt gewählt zu werden.</w:t>
                            </w:r>
                          </w:p>
                        </w:txbxContent>
                      </wps:txbx>
                      <wps:bodyPr rot="0" vert="horz" wrap="square" lIns="1044000" tIns="45720" rIns="9000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EDC475" id="Textfeld 1938145464" o:spid="_x0000_s1027" type="#_x0000_t202" alt="&quot;&quot;" style="position:absolute;left:0;text-align:left;margin-left:0;margin-top:49.25pt;width:406pt;height:37.9pt;z-index:251658241;visibility:visible;mso-wrap-style:square;mso-width-percent:0;mso-height-percent:0;mso-wrap-distance-left:3.7pt;mso-wrap-distance-top:3.6pt;mso-wrap-distance-right:3.7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" o:allowoverlap="f" filled="f" stroked="f">
                <v:textbox inset="29mm,,2.5mm">
                  <w:txbxContent>
                    <w:p w14:paraId="7EC5735B" w14:textId="24301299" w:rsidR="007E16CA" w:rsidRPr="008D76CE" w:rsidRDefault="008D76CE" w:rsidP="007E16CA">
                      <w:pPr>
                        <w:pStyle w:val="Hervorhebung1"/>
                        <w:rPr>
                          <w:lang w:val="de-DE"/>
                        </w:rPr>
                      </w:pPr>
                      <w:r>
                        <w:rPr>
                          <w:lang w:val="de-DE"/>
                        </w:rPr>
                        <w:t xml:space="preserve">Viele Betroffene denken, dass sie kaum Chancen haben, in ein </w:t>
                      </w:r>
                      <w:r>
                        <w:rPr>
                          <w:lang w:val="de-DE"/>
                        </w:rPr>
                        <w:br/>
                        <w:t>öffentliches Amt gewählt zu werden.</w:t>
                      </w:r>
                    </w:p>
                  </w:txbxContent>
                </v:textbox>
                <w10:wrap type="topAndBottom" anchorx="page"/>
              </v:shape>
            </w:pict>
          </mc:Fallback>
        </mc:AlternateContent>
      </w:r>
      <w:r w:rsidR="00EB1A55">
        <w:t xml:space="preserve">Um die </w:t>
      </w:r>
      <w:r w:rsidR="004D75E8" w:rsidRPr="16E82170">
        <w:t xml:space="preserve">Situation </w:t>
      </w:r>
      <w:r w:rsidR="00EB1A55">
        <w:t xml:space="preserve">zu verändern, </w:t>
      </w:r>
      <w:r w:rsidR="004D75E8" w:rsidRPr="16E82170">
        <w:t xml:space="preserve">müsste sich </w:t>
      </w:r>
      <w:r w:rsidR="00EB1A55">
        <w:t>demnach</w:t>
      </w:r>
      <w:r w:rsidR="004D75E8" w:rsidRPr="16E82170">
        <w:t xml:space="preserve"> das gesellschaftliche Bild von Behinderung verändern</w:t>
      </w:r>
      <w:r w:rsidR="00FD1A2E">
        <w:t xml:space="preserve"> –</w:t>
      </w:r>
      <w:r w:rsidR="004D75E8" w:rsidRPr="16E82170">
        <w:t xml:space="preserve"> hin zu </w:t>
      </w:r>
      <w:r w:rsidR="00EB1A55">
        <w:t>dem</w:t>
      </w:r>
      <w:r w:rsidR="004D75E8" w:rsidRPr="16E82170">
        <w:t xml:space="preserve"> Bewusstsein, dass Behinderung </w:t>
      </w:r>
      <w:r w:rsidR="004D75E8" w:rsidRPr="00AF7D56">
        <w:t>durch Hindernisse in der Gesellschaft entsteht</w:t>
      </w:r>
      <w:r w:rsidR="004D75E8" w:rsidRPr="16E82170">
        <w:t>. Zudem soll</w:t>
      </w:r>
      <w:r w:rsidR="00EB1A55">
        <w:t>te</w:t>
      </w:r>
      <w:r w:rsidR="004D75E8" w:rsidRPr="16E82170">
        <w:t xml:space="preserve"> ein Bewusstsein für die verschiedenen Formen von Behinderungen und d</w:t>
      </w:r>
      <w:r w:rsidR="00AA6180">
        <w:t>ie</w:t>
      </w:r>
      <w:r w:rsidR="004D75E8" w:rsidRPr="16E82170">
        <w:t xml:space="preserve"> damit verbundenen Hindernisse entstehen.</w:t>
      </w:r>
    </w:p>
    <w:p w14:paraId="6D5B044F" w14:textId="0A5171AD" w:rsidR="004D75E8" w:rsidRPr="00FE2AA4" w:rsidRDefault="004D75E8" w:rsidP="00FE2AA4">
      <w:pPr>
        <w:pStyle w:val="berschrift1"/>
      </w:pPr>
      <w:r w:rsidRPr="00FE2AA4">
        <w:t>Rolle der politischen Parteien</w:t>
      </w:r>
    </w:p>
    <w:p w14:paraId="57C1359F" w14:textId="7FE0BAAE" w:rsidR="004D75E8" w:rsidRPr="005B6DAC" w:rsidRDefault="004D75E8" w:rsidP="00180DD5">
      <w:pPr>
        <w:pStyle w:val="Textkrper"/>
        <w:ind w:firstLine="0"/>
      </w:pPr>
      <w:r>
        <w:t>P</w:t>
      </w:r>
      <w:r w:rsidRPr="005B6DAC">
        <w:t xml:space="preserve">olitische Parteien spielen eine zentrale Rolle. </w:t>
      </w:r>
      <w:r w:rsidR="00925812">
        <w:t xml:space="preserve">Derzeit </w:t>
      </w:r>
      <w:r w:rsidRPr="005B6DAC">
        <w:t xml:space="preserve">fehlt </w:t>
      </w:r>
      <w:r w:rsidR="00925812">
        <w:t xml:space="preserve">es </w:t>
      </w:r>
      <w:r w:rsidRPr="005B6DAC">
        <w:t>de</w:t>
      </w:r>
      <w:r w:rsidR="00925812">
        <w:t>n</w:t>
      </w:r>
      <w:r w:rsidRPr="005B6DAC">
        <w:t xml:space="preserve"> Parteien </w:t>
      </w:r>
      <w:r w:rsidR="00925812">
        <w:t>jedoch</w:t>
      </w:r>
      <w:r w:rsidRPr="005B6DAC">
        <w:t xml:space="preserve"> </w:t>
      </w:r>
      <w:r w:rsidRPr="16E82170">
        <w:t xml:space="preserve">oft </w:t>
      </w:r>
      <w:proofErr w:type="gramStart"/>
      <w:r w:rsidR="00925812">
        <w:t>an</w:t>
      </w:r>
      <w:r w:rsidRPr="16E82170">
        <w:t xml:space="preserve"> Wille</w:t>
      </w:r>
      <w:proofErr w:type="gramEnd"/>
      <w:r w:rsidRPr="16E82170">
        <w:t xml:space="preserve">, Wissen </w:t>
      </w:r>
      <w:r w:rsidR="00B55AB3">
        <w:t>und</w:t>
      </w:r>
      <w:r w:rsidRPr="16E82170">
        <w:t xml:space="preserve"> Möglichkeit</w:t>
      </w:r>
      <w:r w:rsidR="00B55AB3">
        <w:t>en, um</w:t>
      </w:r>
      <w:r w:rsidRPr="16E82170">
        <w:t xml:space="preserve"> einfache Hindernisse abzubauen </w:t>
      </w:r>
      <w:r w:rsidR="00925812" w:rsidRPr="007F09A3">
        <w:rPr>
          <w:noProof/>
        </w:rPr>
        <w:t>(Evans &amp; Reher, 2020)</w:t>
      </w:r>
      <w:r w:rsidR="00B55AB3">
        <w:rPr>
          <w:noProof/>
        </w:rPr>
        <w:t>.</w:t>
      </w:r>
      <w:r w:rsidRPr="16E82170">
        <w:t xml:space="preserve"> </w:t>
      </w:r>
      <w:r w:rsidR="00B55AB3">
        <w:t>E</w:t>
      </w:r>
      <w:r w:rsidRPr="16E82170">
        <w:t xml:space="preserve">s gibt </w:t>
      </w:r>
      <w:r w:rsidR="00B55AB3">
        <w:t xml:space="preserve">auch nur </w:t>
      </w:r>
      <w:r w:rsidRPr="16E82170">
        <w:t>wenig</w:t>
      </w:r>
      <w:r w:rsidR="00B55AB3">
        <w:t>e</w:t>
      </w:r>
      <w:r w:rsidRPr="16E82170">
        <w:t xml:space="preserve"> explizite Strukturen für Mitglieder oder Kandidierende mit Behinderungen </w:t>
      </w:r>
      <w:r w:rsidR="00925812" w:rsidRPr="007F09A3">
        <w:rPr>
          <w:noProof/>
        </w:rPr>
        <w:t>(Levesque, 2018)</w:t>
      </w:r>
      <w:r w:rsidRPr="16E82170">
        <w:t>. Oft fehlen gezielte Massnahmen, um Menschen mit Behinderungen zu fördern und einzubinden. Dabei könnten Parteien viel bewirken</w:t>
      </w:r>
      <w:r w:rsidR="00B55AB3">
        <w:t>, beispielsweise</w:t>
      </w:r>
      <w:r w:rsidRPr="16E82170">
        <w:t xml:space="preserve"> durch barrierefreie Veranstaltungen, Informationen in </w:t>
      </w:r>
      <w:r w:rsidR="00B55AB3">
        <w:t>L</w:t>
      </w:r>
      <w:r w:rsidRPr="16E82170">
        <w:t>eichter Sprache und Übersetzungen in Gebärdensprache. Generell können grosse Verbesserung</w:t>
      </w:r>
      <w:r w:rsidR="006455D0">
        <w:t>en</w:t>
      </w:r>
      <w:r w:rsidRPr="16E82170">
        <w:t xml:space="preserve"> erzielt werden, wenn die betroffenen Personen in die Diskussion und Planung von Massnahmen miteinbezogen werden. </w:t>
      </w:r>
      <w:r w:rsidR="004354D7">
        <w:t xml:space="preserve">Die </w:t>
      </w:r>
      <w:r w:rsidRPr="16E82170">
        <w:t>Parteien k</w:t>
      </w:r>
      <w:r w:rsidR="004354D7">
        <w:t>ö</w:t>
      </w:r>
      <w:r w:rsidRPr="16E82170">
        <w:t>nn</w:t>
      </w:r>
      <w:r w:rsidR="004354D7">
        <w:t>en</w:t>
      </w:r>
      <w:r w:rsidRPr="16E82170">
        <w:t xml:space="preserve"> viel bewirk</w:t>
      </w:r>
      <w:r w:rsidR="004354D7">
        <w:t>en</w:t>
      </w:r>
      <w:r w:rsidRPr="16E82170">
        <w:t xml:space="preserve">, indem </w:t>
      </w:r>
      <w:r w:rsidR="00253BCD">
        <w:t xml:space="preserve">sie </w:t>
      </w:r>
      <w:r w:rsidRPr="16E82170">
        <w:t xml:space="preserve">Menschen mit Behinderungen aktiv rekrutieren, auf sie zugehen und </w:t>
      </w:r>
      <w:r w:rsidR="004354D7">
        <w:t>sie</w:t>
      </w:r>
      <w:r w:rsidRPr="16E82170">
        <w:t xml:space="preserve"> unterstützen. Denn so können durch erfolgreiche </w:t>
      </w:r>
      <w:proofErr w:type="spellStart"/>
      <w:proofErr w:type="gramStart"/>
      <w:r w:rsidRPr="16E82170">
        <w:t>Politiker</w:t>
      </w:r>
      <w:r w:rsidR="004354D7">
        <w:t>:</w:t>
      </w:r>
      <w:r w:rsidRPr="16E82170">
        <w:t>innen</w:t>
      </w:r>
      <w:proofErr w:type="spellEnd"/>
      <w:proofErr w:type="gramEnd"/>
      <w:r w:rsidRPr="16E82170">
        <w:t xml:space="preserve"> mit </w:t>
      </w:r>
      <w:r>
        <w:t>B</w:t>
      </w:r>
      <w:r w:rsidRPr="16E82170">
        <w:t xml:space="preserve">ehinderungen auch Vorbilder entstehen, was sich zudem positiv auf andere Personen mit Behinderungen auswirkt. </w:t>
      </w:r>
    </w:p>
    <w:p w14:paraId="2A32F665" w14:textId="77777777" w:rsidR="004D75E8" w:rsidRPr="00FE2AA4" w:rsidRDefault="004D75E8" w:rsidP="00FE2AA4">
      <w:pPr>
        <w:pStyle w:val="berschrift1"/>
      </w:pPr>
      <w:r w:rsidRPr="00FE2AA4">
        <w:t>Selbstvertretung als Schlüssel</w:t>
      </w:r>
    </w:p>
    <w:p w14:paraId="657A9A6A" w14:textId="4B18E937" w:rsidR="004D75E8" w:rsidRPr="005B6DAC" w:rsidRDefault="004D75E8" w:rsidP="007F2395">
      <w:pPr>
        <w:pStyle w:val="Textkrper"/>
        <w:ind w:firstLine="0"/>
      </w:pPr>
      <w:r w:rsidRPr="16E82170">
        <w:t xml:space="preserve">Ein zentraler Ansatz für mehr politische Teilhabe ist die direkte Mitsprache von Menschen mit Behinderungen als </w:t>
      </w:r>
      <w:proofErr w:type="spellStart"/>
      <w:proofErr w:type="gramStart"/>
      <w:r w:rsidRPr="16E82170">
        <w:t>Politiker</w:t>
      </w:r>
      <w:r w:rsidR="004A5225">
        <w:t>:</w:t>
      </w:r>
      <w:r w:rsidRPr="16E82170">
        <w:t>innen</w:t>
      </w:r>
      <w:proofErr w:type="spellEnd"/>
      <w:proofErr w:type="gramEnd"/>
      <w:r w:rsidRPr="16E82170">
        <w:t>. Menschen mit Behinderungen sollen ihre Anliegen selbst formulieren und in politische Prozesse einbringen.</w:t>
      </w:r>
      <w:r>
        <w:t xml:space="preserve"> </w:t>
      </w:r>
      <w:r w:rsidR="00E573E8">
        <w:t xml:space="preserve">Eine solche </w:t>
      </w:r>
      <w:r w:rsidRPr="16E82170">
        <w:t>Repräsentation stärkt die Demokratie, weil sie neue Perspektiven einbringt und bestehende Strukturen hinterfragt. Gleichzeitig braucht sie geeignete Rahmenbedingungen: barrierefreie Zugänge, finanzielle Unterstützung und echte Mitbestimmungsmöglichkeiten.</w:t>
      </w:r>
    </w:p>
    <w:p w14:paraId="2B82C9B3" w14:textId="77777777" w:rsidR="004D75E8" w:rsidRPr="00FE2AA4" w:rsidRDefault="004D75E8" w:rsidP="007F2395">
      <w:pPr>
        <w:pStyle w:val="berschrift2"/>
      </w:pPr>
      <w:r w:rsidRPr="00FE2AA4">
        <w:t>Fortschritte und politische Entwicklungen</w:t>
      </w:r>
    </w:p>
    <w:p w14:paraId="081B0705" w14:textId="5D46D2AF" w:rsidR="004D75E8" w:rsidRPr="005B6DAC" w:rsidRDefault="004D75E8" w:rsidP="007F2395">
      <w:pPr>
        <w:pStyle w:val="Textkrper"/>
        <w:ind w:firstLine="0"/>
      </w:pPr>
      <w:r w:rsidRPr="16E82170">
        <w:t xml:space="preserve">Die Wahlen 2023 markierten einen wichtigen Moment: Noch nie kandidierten so viele Menschen mit Behinderungen für das nationale Parlament, und noch nie wurden so viele gewählt. Dies zeigt, dass Veränderungen möglich sind. Pro </w:t>
      </w:r>
      <w:r w:rsidRPr="16E82170">
        <w:lastRenderedPageBreak/>
        <w:t>Infirmis hat dies mit der ersten nationalen Behindertensession</w:t>
      </w:r>
      <w:r w:rsidR="00E573E8">
        <w:t>,</w:t>
      </w:r>
      <w:r>
        <w:t xml:space="preserve"> der</w:t>
      </w:r>
      <w:r w:rsidRPr="16E82170">
        <w:t xml:space="preserve"> </w:t>
      </w:r>
      <w:r w:rsidRPr="007F2395">
        <w:t>«</w:t>
      </w:r>
      <w:r w:rsidRPr="00E573E8">
        <w:t>Behindertenliste</w:t>
      </w:r>
      <w:r w:rsidRPr="007F2395">
        <w:t>»</w:t>
      </w:r>
      <w:r w:rsidRPr="00E573E8">
        <w:t xml:space="preserve"> sowie der</w:t>
      </w:r>
      <w:r w:rsidRPr="16E82170">
        <w:t xml:space="preserve"> </w:t>
      </w:r>
      <w:r w:rsidRPr="00E573E8">
        <w:t xml:space="preserve">Kampagne </w:t>
      </w:r>
      <w:r w:rsidRPr="007F2395">
        <w:t>«</w:t>
      </w:r>
      <w:r w:rsidRPr="00E573E8">
        <w:t>Gewöhn dich dran</w:t>
      </w:r>
      <w:r w:rsidRPr="007F2395">
        <w:t>»</w:t>
      </w:r>
      <w:r w:rsidRPr="00E573E8">
        <w:t xml:space="preserve"> aktiv gefördert und unterstützt. Das wichtigste Element war aber das Engagement der vielen </w:t>
      </w:r>
      <w:proofErr w:type="spellStart"/>
      <w:proofErr w:type="gramStart"/>
      <w:r w:rsidRPr="00E573E8">
        <w:t>Politiker</w:t>
      </w:r>
      <w:r w:rsidR="00E573E8">
        <w:t>:</w:t>
      </w:r>
      <w:r w:rsidRPr="00E573E8">
        <w:t>innen</w:t>
      </w:r>
      <w:proofErr w:type="spellEnd"/>
      <w:proofErr w:type="gramEnd"/>
      <w:r w:rsidRPr="00E573E8">
        <w:t xml:space="preserve"> mit Behinderungen, die diese Repräsentation</w:t>
      </w:r>
      <w:r w:rsidRPr="16E82170">
        <w:t xml:space="preserve"> verstärken wollten.</w:t>
      </w:r>
      <w:r w:rsidR="004D7360">
        <w:t xml:space="preserve"> </w:t>
      </w:r>
      <w:r w:rsidRPr="005B6DAC">
        <w:t xml:space="preserve">Gleichzeitig macht der Inklusionsindex </w:t>
      </w:r>
      <w:r>
        <w:t xml:space="preserve">2026 </w:t>
      </w:r>
      <w:r w:rsidRPr="005B6DAC">
        <w:t>deutlich, dass weiterhin grosser Handlungsbedarf besteht. Viele Menschen mit Behinderungen fühlen sich nach wie vor ausgeschlossen.</w:t>
      </w:r>
    </w:p>
    <w:p w14:paraId="0FE8F05C" w14:textId="77777777" w:rsidR="004D75E8" w:rsidRPr="00FE2AA4" w:rsidRDefault="004D75E8" w:rsidP="007F2395">
      <w:pPr>
        <w:pStyle w:val="berschrift2"/>
      </w:pPr>
      <w:r w:rsidRPr="00FE2AA4">
        <w:t>Forum22 und die Behindertensession</w:t>
      </w:r>
    </w:p>
    <w:p w14:paraId="7659ACF8" w14:textId="77777777" w:rsidR="004D75E8" w:rsidRPr="005B6DAC" w:rsidRDefault="004D75E8" w:rsidP="007F2395">
      <w:pPr>
        <w:pStyle w:val="Textkrper"/>
        <w:ind w:firstLine="0"/>
      </w:pPr>
      <w:r w:rsidRPr="005B6DAC">
        <w:t xml:space="preserve">Mit dem Projekt </w:t>
      </w:r>
      <w:r w:rsidRPr="00F25410">
        <w:t>Forum22</w:t>
      </w:r>
      <w:r w:rsidRPr="005B6DAC">
        <w:t xml:space="preserve"> schafft Pro Infirmis ein Netzwerk für politisch interessierte Menschen mit Behinderungen. Ziel ist es, Austausch, Vernetzung und politisches Engagement zu fördern.</w:t>
      </w:r>
    </w:p>
    <w:p w14:paraId="62C3856C" w14:textId="7C89D0D7" w:rsidR="004D75E8" w:rsidRPr="007206C2" w:rsidRDefault="004D75E8" w:rsidP="007206C2">
      <w:pPr>
        <w:pStyle w:val="Textkrper"/>
      </w:pPr>
      <w:r w:rsidRPr="007206C2">
        <w:t>Ein zentrales Element ist die Behindertensession, die erstmals 2023 stattfand und 2026 erneut durchgeführt wird. Dabei nehmen Menschen mit Behinderungen im Nationalratssaal Platz und diskutieren ihre politischen Forderungen.</w:t>
      </w:r>
      <w:r w:rsidR="007206C2" w:rsidRPr="007206C2">
        <w:t xml:space="preserve"> </w:t>
      </w:r>
      <w:r w:rsidRPr="007206C2">
        <w:t>Die Session soll sichtbar machen, was in der politischen Realität oft fehlt</w:t>
      </w:r>
      <w:r w:rsidR="000D2161">
        <w:t>:</w:t>
      </w:r>
      <w:r w:rsidRPr="007206C2">
        <w:t xml:space="preserve"> zum Beispiel echte Mitsprache. Gleichzeitig formulieren die Teilnehmenden konkrete Forderungen</w:t>
      </w:r>
      <w:r w:rsidR="000D2161">
        <w:t>, beispielsweise</w:t>
      </w:r>
      <w:r w:rsidR="00E543D6">
        <w:t xml:space="preserve"> zu folgenden Themen</w:t>
      </w:r>
      <w:r w:rsidRPr="007206C2">
        <w:t>:</w:t>
      </w:r>
    </w:p>
    <w:p w14:paraId="01E27C2B" w14:textId="77777777" w:rsidR="004D75E8" w:rsidRPr="00B549A7" w:rsidRDefault="004D75E8" w:rsidP="007F2395">
      <w:pPr>
        <w:pStyle w:val="Liste"/>
      </w:pPr>
      <w:r w:rsidRPr="00B549A7">
        <w:t>Zugänglichkeit, Information und Mobilität</w:t>
      </w:r>
    </w:p>
    <w:p w14:paraId="68C241BB" w14:textId="77777777" w:rsidR="004D75E8" w:rsidRPr="00B549A7" w:rsidRDefault="004D75E8" w:rsidP="007F2395">
      <w:pPr>
        <w:pStyle w:val="Liste"/>
      </w:pPr>
      <w:r w:rsidRPr="00B549A7">
        <w:t>Bildung, Ausbildung und Arbeit</w:t>
      </w:r>
    </w:p>
    <w:p w14:paraId="7F60810B" w14:textId="77777777" w:rsidR="004D75E8" w:rsidRPr="00B549A7" w:rsidRDefault="004D75E8" w:rsidP="007F2395">
      <w:pPr>
        <w:pStyle w:val="Liste"/>
      </w:pPr>
      <w:r w:rsidRPr="00B549A7">
        <w:t>Wohnen, Freizeit und Kultur</w:t>
      </w:r>
    </w:p>
    <w:p w14:paraId="3443793C" w14:textId="77777777" w:rsidR="004D75E8" w:rsidRPr="00B549A7" w:rsidRDefault="004D75E8" w:rsidP="007F2395">
      <w:pPr>
        <w:pStyle w:val="Liste"/>
      </w:pPr>
      <w:r w:rsidRPr="00B549A7">
        <w:t>Recht, Gesundheit und politische Teilhabe</w:t>
      </w:r>
    </w:p>
    <w:p w14:paraId="1B8EBE8D" w14:textId="77777777" w:rsidR="004D75E8" w:rsidRPr="005B6DAC" w:rsidRDefault="004D75E8" w:rsidP="00180DD5">
      <w:pPr>
        <w:pStyle w:val="Textkrper"/>
        <w:ind w:firstLine="0"/>
      </w:pPr>
      <w:r w:rsidRPr="005B6DAC">
        <w:t>Die zentrale Botschaft lautet: Politik muss mit Menschen mit Behinderungen gemacht werden</w:t>
      </w:r>
      <w:r>
        <w:t xml:space="preserve">, </w:t>
      </w:r>
      <w:r w:rsidRPr="005B6DAC">
        <w:t>nicht für sie und nicht ohne sie.</w:t>
      </w:r>
    </w:p>
    <w:p w14:paraId="4E30F333" w14:textId="77777777" w:rsidR="004D75E8" w:rsidRPr="00FE2AA4" w:rsidRDefault="004D75E8" w:rsidP="00180DD5">
      <w:pPr>
        <w:pStyle w:val="berschrift1"/>
      </w:pPr>
      <w:r w:rsidRPr="00FE2AA4">
        <w:t>Fazit</w:t>
      </w:r>
    </w:p>
    <w:p w14:paraId="5224ACAA" w14:textId="3D1C2D87" w:rsidR="004D75E8" w:rsidRPr="005B6DAC" w:rsidRDefault="004D75E8" w:rsidP="007F2395">
      <w:pPr>
        <w:pStyle w:val="Textkrper"/>
        <w:ind w:firstLine="0"/>
      </w:pPr>
      <w:r w:rsidRPr="005B6DAC">
        <w:t>Die Schweiz hat Fortschritte im Bereich der politischen Teilhabe gemacht</w:t>
      </w:r>
      <w:r w:rsidR="00F2475C">
        <w:t xml:space="preserve">. </w:t>
      </w:r>
      <w:r w:rsidR="00DC0580">
        <w:t>Menschen mit Behinderungen haben bessere Möglichkeiten, um ihr</w:t>
      </w:r>
      <w:r w:rsidRPr="005B6DAC">
        <w:t xml:space="preserve"> Stimm- und Wahlrecht</w:t>
      </w:r>
      <w:r w:rsidR="00DC0580">
        <w:t xml:space="preserve"> auszuüben</w:t>
      </w:r>
      <w:r w:rsidRPr="005B6DAC">
        <w:t>. Doch echte Inklusion geht weiter.</w:t>
      </w:r>
      <w:r w:rsidR="00DC0580">
        <w:t xml:space="preserve"> </w:t>
      </w:r>
      <w:r w:rsidRPr="005B6DAC">
        <w:t>Menschen mit Behinderungen müssen nicht nur abstimmen können, sondern auch die Möglichkeit haben, Politik aktiv mitzugestalten. Dafür braucht es den Abbau von Barrieren, mehr Ressourcen und ein Umdenken in Politik und Gesellschaft.</w:t>
      </w:r>
    </w:p>
    <w:p w14:paraId="756C525E" w14:textId="53105070" w:rsidR="006A01FF" w:rsidRPr="004D75E8" w:rsidRDefault="004D75E8" w:rsidP="00DC0580">
      <w:pPr>
        <w:pStyle w:val="Textkrper"/>
        <w:rPr>
          <w:rFonts w:eastAsiaTheme="minorEastAsia"/>
          <w:lang w:val="de-DE"/>
        </w:rPr>
      </w:pPr>
      <w:r w:rsidRPr="005B6DAC">
        <w:t xml:space="preserve">Der Inklusionsindex zeigt klar, wo Handlungsbedarf besteht. Initiativen wie </w:t>
      </w:r>
      <w:r>
        <w:t xml:space="preserve">das </w:t>
      </w:r>
      <w:r w:rsidRPr="005B6DAC">
        <w:t>Forum22 und die Behindertensession zeigen gleichzeitig, wie Veränderung konkret aussehen kann.</w:t>
      </w:r>
      <w:r w:rsidR="00DC0580">
        <w:t xml:space="preserve"> </w:t>
      </w:r>
      <w:r w:rsidRPr="16E82170">
        <w:t>Politische Teilhabe bedingt alle Formen der politischen Rechte</w:t>
      </w:r>
      <w:r w:rsidR="00D84E58">
        <w:t>:</w:t>
      </w:r>
      <w:r w:rsidRPr="16E82170">
        <w:t xml:space="preserve"> </w:t>
      </w:r>
      <w:r w:rsidR="00B908E1">
        <w:t>A</w:t>
      </w:r>
      <w:r w:rsidRPr="16E82170">
        <w:t xml:space="preserve">bstimmen, </w:t>
      </w:r>
      <w:r w:rsidR="00BD6209">
        <w:t>w</w:t>
      </w:r>
      <w:r w:rsidRPr="16E82170">
        <w:t>ählen und vor allem auch gewählt werden. Nur so geling</w:t>
      </w:r>
      <w:r w:rsidR="00BD6209">
        <w:t>en</w:t>
      </w:r>
      <w:r>
        <w:t xml:space="preserve"> </w:t>
      </w:r>
      <w:r w:rsidRPr="16E82170">
        <w:t>Mitbestimmung, Sichtbarkeit und echte Repräsentation.</w:t>
      </w:r>
    </w:p>
    <w:tbl>
      <w:tblPr>
        <w:tblStyle w:val="Tabellenraster"/>
        <w:tblW w:w="430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08"/>
        <w:gridCol w:w="3904"/>
      </w:tblGrid>
      <w:tr w:rsidR="004D75E8" w:rsidRPr="00153133" w14:paraId="6BA7F325" w14:textId="77777777" w:rsidTr="0015543F">
        <w:trPr>
          <w:trHeight w:val="1861"/>
        </w:trPr>
        <w:tc>
          <w:tcPr>
            <w:tcW w:w="2501" w:type="pct"/>
            <w:vAlign w:val="center"/>
          </w:tcPr>
          <w:p w14:paraId="270AE244" w14:textId="77777777" w:rsidR="004D75E8" w:rsidRPr="00153133" w:rsidRDefault="004D75E8" w:rsidP="004E5834">
            <w:pPr>
              <w:pStyle w:val="Textkrper"/>
              <w:ind w:firstLine="0"/>
              <w:rPr>
                <w:lang w:val="fr-CH"/>
              </w:rPr>
            </w:pPr>
            <w:r w:rsidRPr="00153133">
              <w:rPr>
                <w:noProof/>
                <w:lang w:val="fr-CH"/>
              </w:rPr>
              <w:drawing>
                <wp:inline distT="0" distB="0" distL="0" distR="0" wp14:anchorId="3E4BBBB8" wp14:editId="4B0EE44E">
                  <wp:extent cx="1036320" cy="1036320"/>
                  <wp:effectExtent l="0" t="0" r="0" b="0"/>
                  <wp:docPr id="5" name="Graphiqu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que 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36320" cy="1036320"/>
                          </a:xfrm>
                          <a:prstGeom prst="rect">
                            <a:avLst/>
                          </a:prstGeom>
                        </pic:spPr>
                      </pic:pic>
                    </a:graphicData>
                  </a:graphic>
                </wp:inline>
              </w:drawing>
            </w:r>
          </w:p>
        </w:tc>
        <w:tc>
          <w:tcPr>
            <w:tcW w:w="2499" w:type="pct"/>
            <w:vAlign w:val="center"/>
          </w:tcPr>
          <w:p w14:paraId="2B22A886" w14:textId="70ED1A66" w:rsidR="004D75E8" w:rsidRPr="00153133" w:rsidRDefault="004D75E8" w:rsidP="004D75E8">
            <w:pPr>
              <w:pStyle w:val="Textkrper"/>
              <w:ind w:firstLine="0"/>
              <w:rPr>
                <w:noProof/>
                <w:lang w:val="fr-CH"/>
              </w:rPr>
            </w:pPr>
          </w:p>
        </w:tc>
      </w:tr>
      <w:tr w:rsidR="004D75E8" w:rsidRPr="00790847" w14:paraId="0F75228D" w14:textId="77777777" w:rsidTr="0015543F">
        <w:trPr>
          <w:trHeight w:val="998"/>
        </w:trPr>
        <w:tc>
          <w:tcPr>
            <w:tcW w:w="2501" w:type="pct"/>
          </w:tcPr>
          <w:p w14:paraId="2527C3CF" w14:textId="786F0ABE" w:rsidR="004D75E8" w:rsidRPr="00153133" w:rsidRDefault="004D75E8" w:rsidP="007B4390">
            <w:pPr>
              <w:pStyle w:val="Textkrper3"/>
            </w:pPr>
            <w:r>
              <w:t>Jasmin Bärtschi</w:t>
            </w:r>
            <w:r w:rsidRPr="00153133">
              <w:br/>
            </w:r>
            <w:r>
              <w:t>Verantwortliche politische Kommunikation</w:t>
            </w:r>
          </w:p>
          <w:p w14:paraId="018FAF4D" w14:textId="032180FD" w:rsidR="004D75E8" w:rsidRPr="00153133" w:rsidRDefault="004D75E8" w:rsidP="007B4390">
            <w:pPr>
              <w:pStyle w:val="Textkrper3"/>
            </w:pPr>
            <w:r>
              <w:t>Pro Infirmis</w:t>
            </w:r>
            <w:r w:rsidRPr="00153133">
              <w:t xml:space="preserve"> </w:t>
            </w:r>
          </w:p>
          <w:p w14:paraId="0044BAF3" w14:textId="7088704C" w:rsidR="004D75E8" w:rsidRPr="00153133" w:rsidRDefault="004D75E8" w:rsidP="007B4390">
            <w:pPr>
              <w:pStyle w:val="Textkrper3"/>
            </w:pPr>
            <w:hyperlink r:id="rId15" w:history="1">
              <w:r w:rsidRPr="006E1639">
                <w:rPr>
                  <w:rStyle w:val="Hyperlink"/>
                </w:rPr>
                <w:t>jasmin.baertschi@proinfirmis.ch</w:t>
              </w:r>
            </w:hyperlink>
          </w:p>
        </w:tc>
        <w:tc>
          <w:tcPr>
            <w:tcW w:w="2499" w:type="pct"/>
          </w:tcPr>
          <w:p w14:paraId="534B6BD8" w14:textId="40080D55" w:rsidR="004D75E8" w:rsidRPr="00153133" w:rsidRDefault="004D75E8" w:rsidP="007B4390">
            <w:pPr>
              <w:pStyle w:val="Textkrper3"/>
            </w:pPr>
          </w:p>
        </w:tc>
      </w:tr>
    </w:tbl>
    <w:p w14:paraId="482B340F" w14:textId="77777777" w:rsidR="0015543F" w:rsidRDefault="0015543F">
      <w:pPr>
        <w:spacing w:after="200" w:line="240" w:lineRule="auto"/>
        <w:rPr>
          <w:rFonts w:eastAsiaTheme="majorEastAsia" w:cs="Open Sans SemiCondensed"/>
          <w:b/>
          <w:bCs/>
          <w:color w:val="000000" w:themeColor="text1"/>
          <w:sz w:val="24"/>
          <w:szCs w:val="32"/>
        </w:rPr>
      </w:pPr>
      <w:r>
        <w:br w:type="page"/>
      </w:r>
    </w:p>
    <w:p w14:paraId="1BBB2FFA" w14:textId="4E024559" w:rsidR="00D232F1" w:rsidRPr="00D232F1" w:rsidRDefault="00D232F1" w:rsidP="007B4390">
      <w:pPr>
        <w:pStyle w:val="berschrift1"/>
      </w:pPr>
      <w:r w:rsidRPr="00D232F1">
        <w:lastRenderedPageBreak/>
        <w:t xml:space="preserve">Literatur </w:t>
      </w:r>
    </w:p>
    <w:sdt>
      <w:sdtPr>
        <w:id w:val="111145805"/>
        <w:bibliography/>
      </w:sdtPr>
      <w:sdtEndPr/>
      <w:sdtContent>
        <w:p w14:paraId="6A0DB169" w14:textId="39ECB08E" w:rsidR="00450031" w:rsidRPr="00355206" w:rsidRDefault="00450031" w:rsidP="00450031">
          <w:pPr>
            <w:pStyle w:val="Literaturverzeichnis"/>
          </w:pPr>
          <w:r w:rsidRPr="004B0192">
            <w:t xml:space="preserve">Bundesgesetz über die Beseitigung von Benachteiligungen von Menschen mit Behinderungen (Behindertengleichstellungsgesetz, </w:t>
          </w:r>
          <w:proofErr w:type="spellStart"/>
          <w:r w:rsidRPr="004B0192">
            <w:t>BehiG</w:t>
          </w:r>
          <w:proofErr w:type="spellEnd"/>
          <w:r w:rsidRPr="004B0192">
            <w:t xml:space="preserve">) vom 13. </w:t>
          </w:r>
          <w:r w:rsidRPr="00355206">
            <w:t xml:space="preserve">Dezember 2002, </w:t>
          </w:r>
          <w:r>
            <w:t xml:space="preserve">in Kraft seit dem 01. Januar 2004, </w:t>
          </w:r>
          <w:r w:rsidRPr="00355206">
            <w:t>SR 151.3.</w:t>
          </w:r>
        </w:p>
        <w:p w14:paraId="5380B389" w14:textId="56BEA005" w:rsidR="00702301" w:rsidRPr="00355206" w:rsidRDefault="00FE54F1" w:rsidP="00702301">
          <w:pPr>
            <w:pStyle w:val="Literaturverzeichnis"/>
            <w:rPr>
              <w:lang w:val="en-US"/>
            </w:rPr>
          </w:pPr>
          <w:r w:rsidRPr="00702301">
            <w:t xml:space="preserve">Bundesverfassung der Schweizerischen Eidgenossenschaft (BV) vom 18. </w:t>
          </w:r>
          <w:r w:rsidRPr="00355206">
            <w:rPr>
              <w:lang w:val="en-US"/>
            </w:rPr>
            <w:t xml:space="preserve">April 1999, SR 101. </w:t>
          </w:r>
        </w:p>
      </w:sdtContent>
    </w:sdt>
    <w:p w14:paraId="02722C84" w14:textId="0BE629C9" w:rsidR="001D5243" w:rsidRPr="00702301" w:rsidRDefault="001D5243" w:rsidP="00450031">
      <w:pPr>
        <w:pStyle w:val="Literaturverzeichnis"/>
        <w:ind w:left="0" w:firstLine="0"/>
      </w:pPr>
      <w:r w:rsidRPr="00DD1320">
        <w:rPr>
          <w:lang w:val="en-US"/>
        </w:rPr>
        <w:t xml:space="preserve">Evans, E. &amp; Reher, S. (2020). Disability and political representation: </w:t>
      </w:r>
      <w:proofErr w:type="spellStart"/>
      <w:r w:rsidRPr="00DD1320">
        <w:rPr>
          <w:lang w:val="en-US"/>
        </w:rPr>
        <w:t>Analysing</w:t>
      </w:r>
      <w:proofErr w:type="spellEnd"/>
      <w:r w:rsidRPr="00DD1320">
        <w:rPr>
          <w:lang w:val="en-US"/>
        </w:rPr>
        <w:t xml:space="preserve"> the obstacles to elected office in the UK. </w:t>
      </w:r>
      <w:r w:rsidRPr="00D261E9">
        <w:rPr>
          <w:i/>
          <w:iCs/>
        </w:rPr>
        <w:t>International Political Science Review</w:t>
      </w:r>
      <w:r w:rsidR="00D62B3E" w:rsidRPr="00D261E9">
        <w:rPr>
          <w:i/>
          <w:iCs/>
        </w:rPr>
        <w:t xml:space="preserve">, </w:t>
      </w:r>
      <w:r w:rsidR="00233182" w:rsidRPr="00D261E9">
        <w:rPr>
          <w:i/>
          <w:iCs/>
        </w:rPr>
        <w:t>43 </w:t>
      </w:r>
      <w:r w:rsidR="00233182" w:rsidRPr="00CD66CD">
        <w:t>(5),</w:t>
      </w:r>
      <w:r w:rsidR="00233182" w:rsidRPr="00702301">
        <w:t xml:space="preserve"> 697–712</w:t>
      </w:r>
      <w:r w:rsidRPr="00702301">
        <w:t>.</w:t>
      </w:r>
      <w:r w:rsidR="005C07BE" w:rsidRPr="00702301">
        <w:t xml:space="preserve"> </w:t>
      </w:r>
    </w:p>
    <w:p w14:paraId="71226C73" w14:textId="3D114409" w:rsidR="001D5243" w:rsidRPr="00702301" w:rsidRDefault="001D5243" w:rsidP="00702301">
      <w:pPr>
        <w:pStyle w:val="Literaturverzeichnis"/>
      </w:pPr>
      <w:r w:rsidRPr="00702301">
        <w:t xml:space="preserve">Frei, N. (2019). </w:t>
      </w:r>
      <w:r w:rsidRPr="00D261E9">
        <w:rPr>
          <w:i/>
          <w:iCs/>
        </w:rPr>
        <w:t>Mitsprache von Menschen mit Behinderungen in politischen Prozessen</w:t>
      </w:r>
      <w:r w:rsidR="008D5F8C" w:rsidRPr="00D261E9">
        <w:rPr>
          <w:i/>
          <w:iCs/>
        </w:rPr>
        <w:t>. Vorgaben und Umsetzung der Behindertenrechtskonvention.</w:t>
      </w:r>
      <w:r w:rsidRPr="00702301">
        <w:t xml:space="preserve"> Schweizerisches Kompetenzzentrum für Menschenrechte (SKMR).</w:t>
      </w:r>
    </w:p>
    <w:p w14:paraId="41D70660" w14:textId="6B24E9C8" w:rsidR="001D5243" w:rsidRPr="00304A37" w:rsidRDefault="001D5243" w:rsidP="00702301">
      <w:pPr>
        <w:pStyle w:val="Literaturverzeichnis"/>
      </w:pPr>
      <w:r w:rsidRPr="00B36295">
        <w:t xml:space="preserve">Grünenfelder, R., Palanza, A. &amp; Zumbach, D. (2023). </w:t>
      </w:r>
      <w:r w:rsidRPr="00D261E9">
        <w:rPr>
          <w:i/>
          <w:iCs/>
        </w:rPr>
        <w:t>Inklusionsindex</w:t>
      </w:r>
      <w:r w:rsidRPr="00B36295">
        <w:t xml:space="preserve">. Pro Infirmis. </w:t>
      </w:r>
      <w:hyperlink r:id="rId16" w:history="1">
        <w:r w:rsidR="00E20F95" w:rsidRPr="008F3D64">
          <w:rPr>
            <w:rStyle w:val="Hyperlink"/>
          </w:rPr>
          <w:t>https://www.proinfirmis.ch/ueber-uns/inklusionsindex/inklusionsindex-2023.html</w:t>
        </w:r>
      </w:hyperlink>
      <w:r w:rsidR="00E20F95">
        <w:t xml:space="preserve"> </w:t>
      </w:r>
    </w:p>
    <w:p w14:paraId="711C6325" w14:textId="6FDCDCF7" w:rsidR="001D5243" w:rsidRPr="00304A37" w:rsidRDefault="001D5243" w:rsidP="001D5243">
      <w:pPr>
        <w:pStyle w:val="Literaturverzeichnis"/>
        <w:rPr>
          <w:lang w:val="fr-CH"/>
        </w:rPr>
      </w:pPr>
      <w:r w:rsidRPr="007F2395">
        <w:t xml:space="preserve">Grünenfelder, R., Palanza, A. &amp; Zumbach, D. (2026). </w:t>
      </w:r>
      <w:r w:rsidRPr="00304A37">
        <w:rPr>
          <w:i/>
          <w:iCs/>
          <w:lang w:val="fr-CH"/>
        </w:rPr>
        <w:t>Inklusionsindex</w:t>
      </w:r>
      <w:r w:rsidRPr="00304A37">
        <w:rPr>
          <w:lang w:val="fr-CH"/>
        </w:rPr>
        <w:t>.</w:t>
      </w:r>
      <w:r w:rsidR="00464BD1" w:rsidRPr="00304A37">
        <w:rPr>
          <w:lang w:val="fr-CH"/>
        </w:rPr>
        <w:t xml:space="preserve"> </w:t>
      </w:r>
      <w:r w:rsidRPr="00304A37">
        <w:rPr>
          <w:lang w:val="fr-CH"/>
        </w:rPr>
        <w:t xml:space="preserve">Pro Infirmis. </w:t>
      </w:r>
      <w:hyperlink r:id="rId17" w:history="1">
        <w:r w:rsidR="00711858" w:rsidRPr="00304A37">
          <w:rPr>
            <w:rStyle w:val="Hyperlink"/>
            <w:lang w:val="fr-CH"/>
          </w:rPr>
          <w:t>https://www.proinfirmis.ch/ueber-uns/inklusionsindex.html</w:t>
        </w:r>
      </w:hyperlink>
      <w:r w:rsidR="00711858" w:rsidRPr="00304A37">
        <w:rPr>
          <w:lang w:val="fr-CH"/>
        </w:rPr>
        <w:t xml:space="preserve"> </w:t>
      </w:r>
    </w:p>
    <w:p w14:paraId="69146D36" w14:textId="6ACC86AF" w:rsidR="001D5243" w:rsidRPr="001D5243" w:rsidRDefault="001D5243" w:rsidP="001D5243">
      <w:pPr>
        <w:pStyle w:val="Literaturverzeichnis"/>
        <w:rPr>
          <w:lang w:val="en-GB"/>
        </w:rPr>
      </w:pPr>
      <w:r w:rsidRPr="00304A37">
        <w:rPr>
          <w:lang w:val="fr-CH"/>
        </w:rPr>
        <w:t xml:space="preserve">Levesque, M. (2018). </w:t>
      </w:r>
      <w:r w:rsidRPr="001D5243">
        <w:rPr>
          <w:lang w:val="en-GB"/>
        </w:rPr>
        <w:t xml:space="preserve">Searching for persons with disabilities in Canadian provincial office. </w:t>
      </w:r>
      <w:r w:rsidRPr="007F2395">
        <w:rPr>
          <w:i/>
          <w:iCs/>
          <w:lang w:val="en-GB"/>
        </w:rPr>
        <w:t xml:space="preserve">Canadian Journal of Disability Studies, </w:t>
      </w:r>
      <w:r w:rsidR="00D16436" w:rsidRPr="007F2395">
        <w:rPr>
          <w:i/>
          <w:iCs/>
          <w:lang w:val="en-GB"/>
        </w:rPr>
        <w:t>5</w:t>
      </w:r>
      <w:r w:rsidR="00D16436">
        <w:rPr>
          <w:lang w:val="en-GB"/>
        </w:rPr>
        <w:t> </w:t>
      </w:r>
      <w:r w:rsidR="00D16436" w:rsidRPr="003213E4">
        <w:rPr>
          <w:lang w:val="en-GB"/>
        </w:rPr>
        <w:t xml:space="preserve">(1), </w:t>
      </w:r>
      <w:r w:rsidR="00D16436">
        <w:rPr>
          <w:lang w:val="en-GB"/>
        </w:rPr>
        <w:t>73</w:t>
      </w:r>
      <w:r w:rsidR="00D16436" w:rsidRPr="007F2395">
        <w:rPr>
          <w:lang w:val="en-US"/>
        </w:rPr>
        <w:t>–</w:t>
      </w:r>
      <w:r w:rsidR="00D16436">
        <w:rPr>
          <w:lang w:val="en-GB"/>
        </w:rPr>
        <w:t>106</w:t>
      </w:r>
      <w:r w:rsidRPr="001D5243">
        <w:rPr>
          <w:lang w:val="en-GB"/>
        </w:rPr>
        <w:t>.</w:t>
      </w:r>
    </w:p>
    <w:p w14:paraId="4FAEAAAD" w14:textId="4357E155" w:rsidR="001D5243" w:rsidRPr="001D5243" w:rsidRDefault="001D5243" w:rsidP="001D5243">
      <w:pPr>
        <w:pStyle w:val="Literaturverzeichnis"/>
        <w:rPr>
          <w:lang w:val="en-GB"/>
        </w:rPr>
      </w:pPr>
      <w:r w:rsidRPr="001D5243">
        <w:rPr>
          <w:lang w:val="en-GB"/>
        </w:rPr>
        <w:t xml:space="preserve">Lovenduski, J. (2016). The supply and demand model of candidate selection: some reflections. </w:t>
      </w:r>
      <w:r w:rsidRPr="007F2395">
        <w:rPr>
          <w:i/>
          <w:iCs/>
          <w:lang w:val="en-GB"/>
        </w:rPr>
        <w:t xml:space="preserve">Government and Opposition, </w:t>
      </w:r>
      <w:r w:rsidR="00700311" w:rsidRPr="003213E4">
        <w:rPr>
          <w:i/>
          <w:iCs/>
          <w:lang w:val="en-GB"/>
        </w:rPr>
        <w:t>51</w:t>
      </w:r>
      <w:r w:rsidR="00700311" w:rsidRPr="003213E4">
        <w:rPr>
          <w:lang w:val="en-GB"/>
        </w:rPr>
        <w:t> (3)</w:t>
      </w:r>
      <w:r w:rsidR="00700311">
        <w:rPr>
          <w:lang w:val="en-GB"/>
        </w:rPr>
        <w:t xml:space="preserve">, </w:t>
      </w:r>
      <w:r w:rsidRPr="001D5243">
        <w:rPr>
          <w:lang w:val="en-GB"/>
        </w:rPr>
        <w:t>513</w:t>
      </w:r>
      <w:r w:rsidR="00700311" w:rsidRPr="007F2395">
        <w:rPr>
          <w:lang w:val="en-US"/>
        </w:rPr>
        <w:t>–528</w:t>
      </w:r>
      <w:r w:rsidRPr="001D5243">
        <w:rPr>
          <w:lang w:val="en-GB"/>
        </w:rPr>
        <w:t>.</w:t>
      </w:r>
    </w:p>
    <w:p w14:paraId="7AD68490" w14:textId="2105963E" w:rsidR="001D5243" w:rsidRPr="001D5243" w:rsidRDefault="001D5243" w:rsidP="001D5243">
      <w:pPr>
        <w:pStyle w:val="Literaturverzeichnis"/>
        <w:rPr>
          <w:lang w:val="en-GB"/>
        </w:rPr>
      </w:pPr>
      <w:r w:rsidRPr="001D5243">
        <w:rPr>
          <w:lang w:val="en-GB"/>
        </w:rPr>
        <w:t xml:space="preserve">Pro </w:t>
      </w:r>
      <w:proofErr w:type="spellStart"/>
      <w:r w:rsidRPr="001D5243">
        <w:rPr>
          <w:lang w:val="en-GB"/>
        </w:rPr>
        <w:t>Infirmis</w:t>
      </w:r>
      <w:proofErr w:type="spellEnd"/>
      <w:r w:rsidRPr="001D5243">
        <w:rPr>
          <w:lang w:val="en-GB"/>
        </w:rPr>
        <w:t xml:space="preserve"> (2026). </w:t>
      </w:r>
      <w:proofErr w:type="spellStart"/>
      <w:r w:rsidRPr="007F2395">
        <w:rPr>
          <w:i/>
          <w:iCs/>
          <w:lang w:val="en-GB"/>
        </w:rPr>
        <w:t>Stimmrecht</w:t>
      </w:r>
      <w:proofErr w:type="spellEnd"/>
      <w:r w:rsidRPr="007F2395">
        <w:rPr>
          <w:i/>
          <w:iCs/>
          <w:lang w:val="en-GB"/>
        </w:rPr>
        <w:t xml:space="preserve"> für alle</w:t>
      </w:r>
      <w:r w:rsidRPr="001D5243">
        <w:rPr>
          <w:lang w:val="en-GB"/>
        </w:rPr>
        <w:t xml:space="preserve">. </w:t>
      </w:r>
      <w:hyperlink r:id="rId18" w:history="1">
        <w:r w:rsidR="00D16436" w:rsidRPr="00582235">
          <w:rPr>
            <w:rStyle w:val="Hyperlink"/>
            <w:lang w:val="en-GB"/>
          </w:rPr>
          <w:t>https://www.proinfirmis.ch/inklusion/stimmrecht-fuer-alle.html</w:t>
        </w:r>
      </w:hyperlink>
      <w:r w:rsidR="00D16436">
        <w:rPr>
          <w:lang w:val="en-GB"/>
        </w:rPr>
        <w:t xml:space="preserve"> </w:t>
      </w:r>
    </w:p>
    <w:p w14:paraId="12A880BA" w14:textId="4AB7FCE0" w:rsidR="001D5243" w:rsidRPr="007F2395" w:rsidRDefault="001D5243" w:rsidP="001D5243">
      <w:pPr>
        <w:pStyle w:val="Literaturverzeichnis"/>
      </w:pPr>
      <w:r w:rsidRPr="001D5243">
        <w:rPr>
          <w:lang w:val="en-GB"/>
        </w:rPr>
        <w:t xml:space="preserve">Sackey, E. (2015). Disability and political participation in Ghana: an alternative perspective. </w:t>
      </w:r>
      <w:r w:rsidRPr="007F2395">
        <w:rPr>
          <w:i/>
          <w:iCs/>
        </w:rPr>
        <w:t>Scandinavian Journal of Disability Research,</w:t>
      </w:r>
      <w:r w:rsidR="00E0799C" w:rsidRPr="007F2395">
        <w:rPr>
          <w:i/>
          <w:iCs/>
        </w:rPr>
        <w:t xml:space="preserve"> </w:t>
      </w:r>
      <w:r w:rsidR="00324ACA" w:rsidRPr="007F2395">
        <w:rPr>
          <w:i/>
          <w:iCs/>
        </w:rPr>
        <w:t>17</w:t>
      </w:r>
      <w:r w:rsidR="00324ACA" w:rsidRPr="007F2395">
        <w:t> </w:t>
      </w:r>
      <w:r w:rsidR="00324ACA" w:rsidRPr="003213E4">
        <w:t>(4),</w:t>
      </w:r>
      <w:r w:rsidRPr="007F2395">
        <w:t xml:space="preserve"> 366</w:t>
      </w:r>
      <w:r w:rsidR="006A3A28" w:rsidRPr="00233182">
        <w:t>–</w:t>
      </w:r>
      <w:r w:rsidRPr="007F2395">
        <w:t>381.</w:t>
      </w:r>
    </w:p>
    <w:p w14:paraId="0AD50BC2" w14:textId="18A53288" w:rsidR="001D5243" w:rsidRPr="007F2395" w:rsidRDefault="00823C7F" w:rsidP="001D5243">
      <w:pPr>
        <w:pStyle w:val="Literaturverzeichnis"/>
      </w:pPr>
      <w:r w:rsidRPr="007F2395">
        <w:t xml:space="preserve">Kanton </w:t>
      </w:r>
      <w:r w:rsidR="001D5243" w:rsidRPr="007F2395">
        <w:t>Thurgau (2026</w:t>
      </w:r>
      <w:r w:rsidR="001D5243" w:rsidRPr="00D261E9">
        <w:t>)</w:t>
      </w:r>
      <w:r w:rsidR="001D5243" w:rsidRPr="007F2395">
        <w:rPr>
          <w:i/>
          <w:iCs/>
        </w:rPr>
        <w:t>.</w:t>
      </w:r>
      <w:r w:rsidRPr="007F2395">
        <w:rPr>
          <w:i/>
          <w:iCs/>
        </w:rPr>
        <w:t xml:space="preserve"> Abstimmungen in Kurzvideos erklärt</w:t>
      </w:r>
      <w:r w:rsidR="001D5243" w:rsidRPr="007F2395">
        <w:rPr>
          <w:i/>
          <w:iCs/>
        </w:rPr>
        <w:t>.</w:t>
      </w:r>
      <w:r w:rsidR="001D5243" w:rsidRPr="007F2395">
        <w:t xml:space="preserve"> </w:t>
      </w:r>
      <w:hyperlink r:id="rId19" w:history="1">
        <w:r w:rsidR="00700311" w:rsidRPr="007F2395">
          <w:rPr>
            <w:rStyle w:val="Hyperlink"/>
          </w:rPr>
          <w:t>https://www.tg.ch/news.html/485/news/64147</w:t>
        </w:r>
      </w:hyperlink>
      <w:r w:rsidR="00700311" w:rsidRPr="007F2395">
        <w:t xml:space="preserve"> </w:t>
      </w:r>
    </w:p>
    <w:p w14:paraId="1BDB2C71" w14:textId="7DBA5058" w:rsidR="00EA6FF6" w:rsidRPr="00355206" w:rsidRDefault="00EA6FF6" w:rsidP="00EA6FF6">
      <w:pPr>
        <w:pStyle w:val="Literaturverzeichnis"/>
        <w:rPr>
          <w:lang w:val="en-US"/>
        </w:rPr>
      </w:pPr>
      <w:r w:rsidRPr="00EA6FF6">
        <w:t>Übereinkommen über die Rechte von Menschen mit Behinderungen (Behindertenrechtskonvention, BRK) vom 13. Dezember 2006, durch die Schweiz ratifiziert am 15. April 2014, in Kraft seit dem 15. </w:t>
      </w:r>
      <w:r w:rsidRPr="00D261E9">
        <w:rPr>
          <w:lang w:val="en-US"/>
        </w:rPr>
        <w:t>Mai 2014, SR 0.109.</w:t>
      </w:r>
    </w:p>
    <w:p w14:paraId="2A30DAFC" w14:textId="6E618FA1" w:rsidR="001D5243" w:rsidRPr="007F2395" w:rsidRDefault="001D5243" w:rsidP="00EA6FF6">
      <w:pPr>
        <w:pStyle w:val="Literaturverzeichnis"/>
        <w:rPr>
          <w:lang w:val="en-US"/>
        </w:rPr>
      </w:pPr>
      <w:r w:rsidRPr="007F2395">
        <w:rPr>
          <w:lang w:val="en-US"/>
        </w:rPr>
        <w:t xml:space="preserve">Waltz, M. &amp; Schippers, A. (2020). Politically disabled: Barriers and facilitating factors affecting people with disabilities in political life within the European Union. </w:t>
      </w:r>
      <w:r w:rsidRPr="007F2395">
        <w:rPr>
          <w:i/>
          <w:iCs/>
          <w:lang w:val="en-US"/>
        </w:rPr>
        <w:t xml:space="preserve">Disability &amp; Society, </w:t>
      </w:r>
      <w:r w:rsidR="00324ACA" w:rsidRPr="007F2395">
        <w:rPr>
          <w:i/>
          <w:iCs/>
          <w:lang w:val="en-US"/>
        </w:rPr>
        <w:t>36 </w:t>
      </w:r>
      <w:r w:rsidR="00324ACA" w:rsidRPr="007F2395">
        <w:rPr>
          <w:lang w:val="en-US"/>
        </w:rPr>
        <w:t>(4),</w:t>
      </w:r>
      <w:r w:rsidRPr="007F2395">
        <w:rPr>
          <w:lang w:val="en-US"/>
        </w:rPr>
        <w:t>1</w:t>
      </w:r>
      <w:r w:rsidR="006A3A28" w:rsidRPr="007F2395">
        <w:rPr>
          <w:lang w:val="en-US"/>
        </w:rPr>
        <w:t>–</w:t>
      </w:r>
      <w:r w:rsidRPr="007F2395">
        <w:rPr>
          <w:lang w:val="en-US"/>
        </w:rPr>
        <w:t>24.</w:t>
      </w:r>
    </w:p>
    <w:p w14:paraId="2F4DB04B" w14:textId="47895F97" w:rsidR="001D5243" w:rsidRPr="007F2395" w:rsidRDefault="001D5243" w:rsidP="00EA6FF6">
      <w:pPr>
        <w:pStyle w:val="Literaturverzeichnis"/>
      </w:pPr>
      <w:r w:rsidRPr="007F2395">
        <w:rPr>
          <w:lang w:val="en-US"/>
        </w:rPr>
        <w:t xml:space="preserve">World Health Organization (WHO) (2011). </w:t>
      </w:r>
      <w:r w:rsidRPr="007F2395">
        <w:rPr>
          <w:i/>
          <w:iCs/>
          <w:lang w:val="en-US"/>
        </w:rPr>
        <w:t>World report on disability</w:t>
      </w:r>
      <w:r w:rsidRPr="007F2395">
        <w:rPr>
          <w:lang w:val="en-US"/>
        </w:rPr>
        <w:t xml:space="preserve">. </w:t>
      </w:r>
      <w:r w:rsidRPr="007F2395">
        <w:t>W</w:t>
      </w:r>
      <w:r w:rsidR="000D246A">
        <w:t>orld B</w:t>
      </w:r>
      <w:r w:rsidRPr="007F2395">
        <w:t>ank.</w:t>
      </w:r>
    </w:p>
    <w:p w14:paraId="772C387F" w14:textId="1FC8D10C" w:rsidR="006111D5" w:rsidRPr="00C678D9" w:rsidRDefault="006111D5" w:rsidP="001D5243">
      <w:pPr>
        <w:pStyle w:val="Literaturverzeichnis"/>
        <w:ind w:left="0" w:firstLine="0"/>
        <w:rPr>
          <w:lang w:val="en-GB"/>
        </w:rPr>
      </w:pPr>
    </w:p>
    <w:sectPr w:rsidR="006111D5" w:rsidRPr="00C678D9" w:rsidSect="004D7785">
      <w:headerReference w:type="default" r:id="rId20"/>
      <w:footerReference w:type="default" r:id="rId21"/>
      <w:pgSz w:w="11907" w:h="16840" w:code="9"/>
      <w:pgMar w:top="1418" w:right="1418" w:bottom="1134" w:left="1418" w:header="720" w:footer="567" w:gutter="0"/>
      <w:pgNumType w:start="3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556BD" w14:textId="77777777" w:rsidR="00C343C0" w:rsidRDefault="00C343C0">
      <w:pPr>
        <w:spacing w:line="240" w:lineRule="auto"/>
      </w:pPr>
      <w:r>
        <w:separator/>
      </w:r>
    </w:p>
  </w:endnote>
  <w:endnote w:type="continuationSeparator" w:id="0">
    <w:p w14:paraId="475008D7" w14:textId="77777777" w:rsidR="00C343C0" w:rsidRDefault="00C343C0">
      <w:pPr>
        <w:spacing w:line="240" w:lineRule="auto"/>
      </w:pPr>
      <w:r>
        <w:continuationSeparator/>
      </w:r>
    </w:p>
  </w:endnote>
  <w:endnote w:type="continuationNotice" w:id="1">
    <w:p w14:paraId="3772A379" w14:textId="77777777" w:rsidR="00C343C0" w:rsidRDefault="00C343C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SemiCondensed">
    <w:panose1 w:val="00000000000000000000"/>
    <w:charset w:val="00"/>
    <w:family w:val="auto"/>
    <w:pitch w:val="variable"/>
    <w:sig w:usb0="E00002FF" w:usb1="4000201B" w:usb2="00000028" w:usb3="00000000" w:csb0="0000019F" w:csb1="00000000"/>
    <w:embedRegular r:id="rId1" w:fontKey="{AFE5B9AD-EC93-456D-A08E-86512C9DA290}"/>
    <w:embedBold r:id="rId2" w:fontKey="{4CE9065D-9DCD-45F5-947B-E4A81C1AD946}"/>
    <w:embedItalic r:id="rId3" w:fontKey="{CF35171F-A2D9-4BAF-B1BC-11F3D9C2832A}"/>
    <w:embedBoldItalic r:id="rId4" w:fontKey="{34660563-C719-41F1-A3D7-920A5FD82E2A}"/>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5" w:fontKey="{A7047B06-145B-4033-BD8F-41B9CCC75F1F}"/>
  </w:font>
  <w:font w:name="+mn-ea">
    <w:panose1 w:val="00000000000000000000"/>
    <w:charset w:val="00"/>
    <w:family w:val="roman"/>
    <w:notTrueType/>
    <w:pitch w:val="default"/>
  </w:font>
  <w:font w:name="Open Sans SemiCondensed SemiCon">
    <w:altName w:val="Segoe UI"/>
    <w:charset w:val="00"/>
    <w:family w:val="auto"/>
    <w:pitch w:val="variable"/>
    <w:sig w:usb0="E00002FF" w:usb1="4000201B" w:usb2="00000028" w:usb3="00000000" w:csb0="0000019F" w:csb1="00000000"/>
  </w:font>
  <w:font w:name="Arial Nova">
    <w:panose1 w:val="020B0504020202020204"/>
    <w:charset w:val="00"/>
    <w:family w:val="swiss"/>
    <w:pitch w:val="variable"/>
    <w:sig w:usb0="2000028F" w:usb1="00000002" w:usb2="00000000" w:usb3="00000000" w:csb0="0000019F" w:csb1="00000000"/>
    <w:embedBold r:id="rId6" w:fontKey="{86C80F79-B426-481A-8790-275C2C3D414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1D241" w14:textId="18A3536B" w:rsidR="004B3A29" w:rsidRPr="007B448B" w:rsidRDefault="00304A37" w:rsidP="001D3BFB">
    <w:pPr>
      <w:pStyle w:val="Fuzeile"/>
      <w:rPr>
        <w:szCs w:val="22"/>
      </w:rPr>
    </w:pPr>
    <w:r>
      <w:rPr>
        <w:noProof/>
      </w:rPr>
      <mc:AlternateContent>
        <mc:Choice Requires="wps">
          <w:drawing>
            <wp:anchor distT="0" distB="0" distL="114300" distR="114300" simplePos="0" relativeHeight="251658241" behindDoc="0" locked="0" layoutInCell="1" allowOverlap="1" wp14:anchorId="4CC3F421" wp14:editId="49A17762">
              <wp:simplePos x="0" y="0"/>
              <wp:positionH relativeFrom="column">
                <wp:posOffset>-1130617</wp:posOffset>
              </wp:positionH>
              <wp:positionV relativeFrom="paragraph">
                <wp:posOffset>-561340</wp:posOffset>
              </wp:positionV>
              <wp:extent cx="1109980" cy="431001"/>
              <wp:effectExtent l="263525" t="0" r="258445" b="0"/>
              <wp:wrapNone/>
              <wp:docPr id="1298899388" name="Rechtec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109980" cy="431001"/>
                      </a:xfrm>
                      <a:prstGeom prst="rect">
                        <a:avLst/>
                      </a:prstGeom>
                      <a:noFill/>
                      <a:ln>
                        <a:noFill/>
                      </a:ln>
                    </wps:spPr>
                    <wps:txbx>
                      <w:txbxContent>
                        <w:p w14:paraId="3E297D45" w14:textId="77777777" w:rsidR="00304A37" w:rsidRPr="00787B6E" w:rsidRDefault="00304A37" w:rsidP="00304A37">
                          <w:pPr>
                            <w:rPr>
                              <w:rFonts w:eastAsia="+mn-ea" w:cs="Open Sans SemiCondensed SemiCon"/>
                              <w:b/>
                              <w:bCs/>
                              <w:color w:val="252B46"/>
                              <w:kern w:val="24"/>
                              <w:sz w:val="28"/>
                              <w:szCs w:val="28"/>
                            </w:rPr>
                          </w:pPr>
                          <w:r w:rsidRPr="00E9575A">
                            <w:rPr>
                              <w:rFonts w:ascii="Arial Nova" w:eastAsia="+mn-ea" w:hAnsi="Arial Nova" w:cs="Open Sans SemiCondensed SemiCon"/>
                              <w:b/>
                              <w:bCs/>
                              <w:color w:val="252B46"/>
                              <w:kern w:val="24"/>
                              <w:sz w:val="28"/>
                              <w:szCs w:val="28"/>
                            </w:rPr>
                            <w:t>:</w:t>
                          </w:r>
                          <w:r w:rsidRPr="00787B6E">
                            <w:rPr>
                              <w:rFonts w:eastAsia="+mn-ea" w:cs="Open Sans SemiCondensed SemiCon"/>
                              <w:b/>
                              <w:bCs/>
                              <w:color w:val="D31932"/>
                              <w:kern w:val="24"/>
                              <w:sz w:val="21"/>
                              <w:szCs w:val="21"/>
                            </w:rPr>
                            <w:t>C</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S</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P</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 xml:space="preserve">S </w:t>
                          </w:r>
                          <w:r>
                            <w:rPr>
                              <w:rFonts w:eastAsia="+mn-ea" w:cs="Open Sans SemiCondensed SemiCon"/>
                              <w:b/>
                              <w:bCs/>
                              <w:color w:val="D31932"/>
                              <w:kern w:val="24"/>
                              <w:sz w:val="21"/>
                              <w:szCs w:val="21"/>
                            </w:rPr>
                            <w:t xml:space="preserve">  </w:t>
                          </w:r>
                          <w:r w:rsidRPr="00E9575A">
                            <w:rPr>
                              <w:rFonts w:ascii="Arial Nova" w:eastAsia="+mn-ea" w:hAnsi="Arial Nova" w:cs="Open Sans SemiCondensed SemiCon"/>
                              <w:b/>
                              <w:bCs/>
                              <w:color w:val="252B46"/>
                              <w:kern w:val="24"/>
                              <w:sz w:val="28"/>
                              <w:szCs w:val="28"/>
                            </w:rPr>
                            <w:t>:</w:t>
                          </w:r>
                          <w:r w:rsidRPr="00787B6E">
                            <w:rPr>
                              <w:rFonts w:eastAsia="+mn-ea" w:cs="Open Sans SemiCondensed SemiCon"/>
                              <w:b/>
                              <w:bCs/>
                              <w:color w:val="D31932"/>
                              <w:kern w:val="24"/>
                              <w:sz w:val="21"/>
                              <w:szCs w:val="21"/>
                            </w:rPr>
                            <w:t>S</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Z</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H</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C3F421" id="Rechteck 1" o:spid="_x0000_s1028" style="position:absolute;margin-left:-89pt;margin-top:-44.2pt;width:87.4pt;height:33.95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" filled="f" stroked="f">
              <v:textbox style="layout-flow:vertical;mso-layout-flow-alt:bottom-to-top">
                <w:txbxContent>
                  <w:p w14:paraId="3E297D45" w14:textId="77777777" w:rsidR="00304A37" w:rsidRPr="00787B6E" w:rsidRDefault="00304A37" w:rsidP="00304A37">
                    <w:pPr>
                      <w:rPr>
                        <w:rFonts w:eastAsia="+mn-ea" w:cs="Open Sans SemiCondensed SemiCon"/>
                        <w:b/>
                        <w:bCs/>
                        <w:color w:val="252B46"/>
                        <w:kern w:val="24"/>
                        <w:sz w:val="28"/>
                        <w:szCs w:val="28"/>
                      </w:rPr>
                    </w:pPr>
                    <w:r w:rsidRPr="00E9575A">
                      <w:rPr>
                        <w:rFonts w:ascii="Arial Nova" w:eastAsia="+mn-ea" w:hAnsi="Arial Nova" w:cs="Open Sans SemiCondensed SemiCon"/>
                        <w:b/>
                        <w:bCs/>
                        <w:color w:val="252B46"/>
                        <w:kern w:val="24"/>
                        <w:sz w:val="28"/>
                        <w:szCs w:val="28"/>
                      </w:rPr>
                      <w:t>:</w:t>
                    </w:r>
                    <w:r w:rsidRPr="00787B6E">
                      <w:rPr>
                        <w:rFonts w:eastAsia="+mn-ea" w:cs="Open Sans SemiCondensed SemiCon"/>
                        <w:b/>
                        <w:bCs/>
                        <w:color w:val="D31932"/>
                        <w:kern w:val="24"/>
                        <w:sz w:val="21"/>
                        <w:szCs w:val="21"/>
                      </w:rPr>
                      <w:t>C</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S</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P</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 xml:space="preserve">S </w:t>
                    </w:r>
                    <w:r>
                      <w:rPr>
                        <w:rFonts w:eastAsia="+mn-ea" w:cs="Open Sans SemiCondensed SemiCon"/>
                        <w:b/>
                        <w:bCs/>
                        <w:color w:val="D31932"/>
                        <w:kern w:val="24"/>
                        <w:sz w:val="21"/>
                        <w:szCs w:val="21"/>
                      </w:rPr>
                      <w:t xml:space="preserve">  </w:t>
                    </w:r>
                    <w:r w:rsidRPr="00E9575A">
                      <w:rPr>
                        <w:rFonts w:ascii="Arial Nova" w:eastAsia="+mn-ea" w:hAnsi="Arial Nova" w:cs="Open Sans SemiCondensed SemiCon"/>
                        <w:b/>
                        <w:bCs/>
                        <w:color w:val="252B46"/>
                        <w:kern w:val="24"/>
                        <w:sz w:val="28"/>
                        <w:szCs w:val="28"/>
                      </w:rPr>
                      <w:t>:</w:t>
                    </w:r>
                    <w:r w:rsidRPr="00787B6E">
                      <w:rPr>
                        <w:rFonts w:eastAsia="+mn-ea" w:cs="Open Sans SemiCondensed SemiCon"/>
                        <w:b/>
                        <w:bCs/>
                        <w:color w:val="D31932"/>
                        <w:kern w:val="24"/>
                        <w:sz w:val="21"/>
                        <w:szCs w:val="21"/>
                      </w:rPr>
                      <w:t>S</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Z</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H</w:t>
                    </w:r>
                  </w:p>
                </w:txbxContent>
              </v:textbox>
            </v:rect>
          </w:pict>
        </mc:Fallback>
      </mc:AlternateContent>
    </w:r>
    <w:r w:rsidR="001D3BFB">
      <w:tab/>
    </w:r>
    <w:r w:rsidR="001D3BFB">
      <w:tab/>
    </w:r>
    <w:r w:rsidR="001D3BFB" w:rsidRPr="007B448B">
      <w:rPr>
        <w:szCs w:val="22"/>
      </w:rPr>
      <w:fldChar w:fldCharType="begin"/>
    </w:r>
    <w:r w:rsidR="001D3BFB" w:rsidRPr="007B448B">
      <w:rPr>
        <w:szCs w:val="22"/>
      </w:rPr>
      <w:instrText>PAGE  \* Arabic  \* MERGEFORMAT</w:instrText>
    </w:r>
    <w:r w:rsidR="001D3BFB" w:rsidRPr="007B448B">
      <w:rPr>
        <w:szCs w:val="22"/>
      </w:rPr>
      <w:fldChar w:fldCharType="separate"/>
    </w:r>
    <w:r w:rsidR="001D3BFB" w:rsidRPr="007B448B">
      <w:rPr>
        <w:szCs w:val="22"/>
      </w:rPr>
      <w:t>1</w:t>
    </w:r>
    <w:r w:rsidR="001D3BFB" w:rsidRPr="007B448B">
      <w:rPr>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2810F" w14:textId="77777777" w:rsidR="00C343C0" w:rsidRPr="00777A2F" w:rsidRDefault="00C343C0" w:rsidP="002E13B6">
      <w:pPr>
        <w:spacing w:line="240" w:lineRule="auto"/>
        <w:rPr>
          <w:rFonts w:asciiTheme="minorHAnsi" w:hAnsiTheme="minorHAnsi"/>
        </w:rPr>
      </w:pPr>
      <w:r w:rsidRPr="00777A2F">
        <w:rPr>
          <w:rFonts w:asciiTheme="minorHAnsi" w:hAnsiTheme="minorHAnsi"/>
        </w:rPr>
        <w:separator/>
      </w:r>
    </w:p>
  </w:footnote>
  <w:footnote w:type="continuationSeparator" w:id="0">
    <w:p w14:paraId="745E14F7" w14:textId="77777777" w:rsidR="00C343C0" w:rsidRDefault="00C343C0">
      <w:r>
        <w:continuationSeparator/>
      </w:r>
    </w:p>
  </w:footnote>
  <w:footnote w:type="continuationNotice" w:id="1">
    <w:p w14:paraId="26F992F3" w14:textId="77777777" w:rsidR="00C343C0" w:rsidRDefault="00C343C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D4E93" w14:textId="32D5BE3D" w:rsidR="007B448B" w:rsidRPr="005F708C" w:rsidRDefault="00307EC7" w:rsidP="007B448B">
    <w:pPr>
      <w:pStyle w:val="Themenschwerpunkt"/>
      <w:rPr>
        <w:lang w:val="de-CH"/>
      </w:rPr>
    </w:pPr>
    <w:r>
      <mc:AlternateContent>
        <mc:Choice Requires="wps">
          <w:drawing>
            <wp:anchor distT="0" distB="0" distL="114299" distR="114299" simplePos="0" relativeHeight="251658240" behindDoc="0" locked="0" layoutInCell="1" allowOverlap="1" wp14:anchorId="63AA49E0" wp14:editId="16E0F2B1">
              <wp:simplePos x="0" y="0"/>
              <wp:positionH relativeFrom="column">
                <wp:posOffset>-371476</wp:posOffset>
              </wp:positionH>
              <wp:positionV relativeFrom="paragraph">
                <wp:posOffset>-448310</wp:posOffset>
              </wp:positionV>
              <wp:extent cx="0" cy="12460605"/>
              <wp:effectExtent l="0" t="0" r="38100" b="36195"/>
              <wp:wrapNone/>
              <wp:docPr id="3" name="Connecteur droit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12460605"/>
                      </a:xfrm>
                      <a:prstGeom prst="line">
                        <a:avLst/>
                      </a:prstGeom>
                      <a:ln>
                        <a:solidFill>
                          <a:schemeClr val="accent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1F7E4C61" id="Connecteur droit 3" o:spid="_x0000_s1026" alt="&quot;&quot;" style="position:absolute;flip:x;z-index:2516551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29.25pt,-35.3pt" to="-29.25pt,94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" strokecolor="#d31932 [3204]">
              <o:lock v:ext="edit" shapetype="f"/>
            </v:line>
          </w:pict>
        </mc:Fallback>
      </mc:AlternateContent>
    </w:r>
    <w:r w:rsidR="005F708C">
      <w:rPr>
        <w:lang w:val="de-CH"/>
      </w:rPr>
      <w:t>POLITISCHE TEILHABE</w:t>
    </w:r>
    <w:r w:rsidR="007B448B" w:rsidRPr="00237079">
      <w:rPr>
        <w:lang w:val="de-CH"/>
      </w:rPr>
      <w:tab/>
    </w:r>
    <w:r w:rsidR="007B448B" w:rsidRPr="00237079">
      <w:rPr>
        <w:lang w:val="de-CH"/>
      </w:rPr>
      <w:tab/>
    </w:r>
    <w:r w:rsidR="00237079" w:rsidRPr="00237079">
      <w:rPr>
        <w:b w:val="0"/>
        <w:bCs/>
        <w:lang w:val="de-CH"/>
      </w:rPr>
      <w:t xml:space="preserve">Schweizerische Zeitschrift für Heilpädagogik, Jg. </w:t>
    </w:r>
    <w:r w:rsidR="005F708C">
      <w:rPr>
        <w:b w:val="0"/>
        <w:bCs/>
        <w:lang w:val="de-CH"/>
      </w:rPr>
      <w:t>32</w:t>
    </w:r>
    <w:r w:rsidR="00237079" w:rsidRPr="00237079">
      <w:rPr>
        <w:b w:val="0"/>
        <w:bCs/>
        <w:lang w:val="de-CH"/>
      </w:rPr>
      <w:t xml:space="preserve">, </w:t>
    </w:r>
    <w:r w:rsidR="005F708C">
      <w:rPr>
        <w:b w:val="0"/>
        <w:bCs/>
        <w:lang w:val="de-CH"/>
      </w:rPr>
      <w:t>07</w:t>
    </w:r>
    <w:r w:rsidR="00237079" w:rsidRPr="00237079">
      <w:rPr>
        <w:b w:val="0"/>
        <w:bCs/>
        <w:lang w:val="de-CH"/>
      </w:rPr>
      <w:t>/</w:t>
    </w:r>
    <w:r w:rsidR="005F708C">
      <w:rPr>
        <w:b w:val="0"/>
        <w:bCs/>
        <w:lang w:val="de-CH"/>
      </w:rPr>
      <w:t>2026</w:t>
    </w:r>
  </w:p>
  <w:p w14:paraId="51DC463A" w14:textId="14A679A9" w:rsidR="004B3A29" w:rsidRPr="005F708C" w:rsidRDefault="00B7489C" w:rsidP="007B448B">
    <w:pPr>
      <w:pStyle w:val="Themenschwerpunkt"/>
      <w:rPr>
        <w:b w:val="0"/>
        <w:bCs/>
        <w:lang w:val="de-CH"/>
      </w:rPr>
    </w:pPr>
    <w:r w:rsidRPr="005F708C">
      <w:rPr>
        <w:b w:val="0"/>
        <w:bCs/>
        <w:lang w:val="de-CH"/>
      </w:rPr>
      <w:t xml:space="preserve">| </w:t>
    </w:r>
    <w:r w:rsidR="00B71621" w:rsidRPr="005F708C">
      <w:rPr>
        <w:b w:val="0"/>
        <w:bCs/>
        <w:lang w:val="de-CH"/>
      </w:rPr>
      <w:t>ARTI</w:t>
    </w:r>
    <w:r w:rsidR="00237079" w:rsidRPr="005F708C">
      <w:rPr>
        <w:b w:val="0"/>
        <w:bCs/>
        <w:lang w:val="de-CH"/>
      </w:rPr>
      <w:t>KEL</w:t>
    </w:r>
    <w:r w:rsidR="007B448B" w:rsidRPr="005F708C">
      <w:rPr>
        <w:b w:val="0"/>
        <w:bCs/>
        <w:lang w:val="de-CH"/>
      </w:rPr>
      <w:tab/>
    </w:r>
    <w:r w:rsidR="007B448B" w:rsidRPr="005F708C">
      <w:rPr>
        <w:b w:val="0"/>
        <w:bCs/>
        <w:lang w:val="de-CH"/>
      </w:rPr>
      <w:tab/>
    </w:r>
  </w:p>
  <w:p w14:paraId="0A7EFD69" w14:textId="77777777" w:rsidR="00237079" w:rsidRPr="005F708C" w:rsidRDefault="0023707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5B2C2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B10E45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FE2138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26C10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80ED16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6D258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6CF1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69865D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3EC4E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102CCF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214A9E"/>
    <w:multiLevelType w:val="multilevel"/>
    <w:tmpl w:val="08BA4C14"/>
    <w:styleLink w:val="ArtikelAbschnitt"/>
    <w:lvl w:ilvl="0">
      <w:start w:val="1"/>
      <w:numFmt w:val="none"/>
      <w:lvlText w:val=""/>
      <w:lvlJc w:val="left"/>
      <w:pPr>
        <w:ind w:left="0" w:firstLine="0"/>
      </w:pPr>
      <w:rPr>
        <w:rFonts w:ascii="Open Sans SemiCondensed" w:hAnsi="Open Sans SemiCondensed" w:hint="default"/>
      </w:rPr>
    </w:lvl>
    <w:lvl w:ilvl="1">
      <w:start w:val="1"/>
      <w:numFmt w:val="none"/>
      <w:isLgl/>
      <w:lvlText w:val=""/>
      <w:lvlJc w:val="left"/>
      <w:pPr>
        <w:ind w:left="0" w:firstLine="0"/>
      </w:pPr>
      <w:rPr>
        <w:rFonts w:ascii="Open Sans SemiCondensed" w:hAnsi="Open Sans SemiCondensed" w:hint="default"/>
      </w:rPr>
    </w:lvl>
    <w:lvl w:ilvl="2">
      <w:start w:val="1"/>
      <w:numFmt w:val="none"/>
      <w:lvlText w:val=""/>
      <w:lvlJc w:val="left"/>
      <w:pPr>
        <w:ind w:left="0" w:firstLine="0"/>
      </w:pPr>
      <w:rPr>
        <w:rFonts w:ascii="Open Sans SemiCondensed" w:hAnsi="Open Sans SemiCondensed" w:hint="default"/>
      </w:rPr>
    </w:lvl>
    <w:lvl w:ilvl="3">
      <w:start w:val="1"/>
      <w:numFmt w:val="none"/>
      <w:pStyle w:val="berschrift4"/>
      <w:lvlText w:val=""/>
      <w:lvlJc w:val="right"/>
      <w:pPr>
        <w:ind w:left="0" w:firstLine="0"/>
      </w:pPr>
      <w:rPr>
        <w:rFonts w:ascii="Open Sans SemiCondensed" w:hAnsi="Open Sans SemiCondensed" w:hint="default"/>
      </w:rPr>
    </w:lvl>
    <w:lvl w:ilvl="4">
      <w:start w:val="1"/>
      <w:numFmt w:val="none"/>
      <w:pStyle w:val="berschrift5"/>
      <w:lvlText w:val=""/>
      <w:lvlJc w:val="left"/>
      <w:pPr>
        <w:ind w:left="0" w:firstLine="0"/>
      </w:pPr>
      <w:rPr>
        <w:rFonts w:ascii="Open Sans SemiCondensed" w:hAnsi="Open Sans SemiCondensed" w:hint="default"/>
      </w:rPr>
    </w:lvl>
    <w:lvl w:ilvl="5">
      <w:start w:val="1"/>
      <w:numFmt w:val="none"/>
      <w:pStyle w:val="berschrift6"/>
      <w:lvlText w:val=""/>
      <w:lvlJc w:val="left"/>
      <w:pPr>
        <w:ind w:left="0" w:firstLine="0"/>
      </w:pPr>
      <w:rPr>
        <w:rFonts w:ascii="Open Sans SemiCondensed" w:hAnsi="Open Sans SemiCondensed" w:hint="default"/>
      </w:rPr>
    </w:lvl>
    <w:lvl w:ilvl="6">
      <w:start w:val="1"/>
      <w:numFmt w:val="none"/>
      <w:pStyle w:val="berschrift7"/>
      <w:lvlText w:val=""/>
      <w:lvlJc w:val="right"/>
      <w:pPr>
        <w:ind w:left="0" w:firstLine="0"/>
      </w:pPr>
      <w:rPr>
        <w:rFonts w:ascii="Open Sans SemiCondensed" w:hAnsi="Open Sans SemiCondensed" w:hint="default"/>
      </w:rPr>
    </w:lvl>
    <w:lvl w:ilvl="7">
      <w:start w:val="1"/>
      <w:numFmt w:val="none"/>
      <w:pStyle w:val="berschrift8"/>
      <w:lvlText w:val=""/>
      <w:lvlJc w:val="left"/>
      <w:pPr>
        <w:ind w:left="0" w:firstLine="0"/>
      </w:pPr>
      <w:rPr>
        <w:rFonts w:ascii="Open Sans SemiCondensed" w:hAnsi="Open Sans SemiCondensed" w:hint="default"/>
      </w:rPr>
    </w:lvl>
    <w:lvl w:ilvl="8">
      <w:start w:val="1"/>
      <w:numFmt w:val="none"/>
      <w:pStyle w:val="berschrift9"/>
      <w:lvlText w:val=""/>
      <w:lvlJc w:val="right"/>
      <w:pPr>
        <w:ind w:left="0" w:firstLine="0"/>
      </w:pPr>
      <w:rPr>
        <w:rFonts w:ascii="Open Sans SemiCondensed" w:hAnsi="Open Sans SemiCondensed" w:hint="default"/>
      </w:rPr>
    </w:lvl>
  </w:abstractNum>
  <w:abstractNum w:abstractNumId="11" w15:restartNumberingAfterBreak="0">
    <w:nsid w:val="04FD0897"/>
    <w:multiLevelType w:val="hybridMultilevel"/>
    <w:tmpl w:val="2B26DBBA"/>
    <w:lvl w:ilvl="0" w:tplc="F190D854">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05540E0A"/>
    <w:multiLevelType w:val="hybridMultilevel"/>
    <w:tmpl w:val="B02CFEA8"/>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06342E5D"/>
    <w:multiLevelType w:val="multilevel"/>
    <w:tmpl w:val="8DD24444"/>
    <w:lvl w:ilvl="0">
      <w:start w:val="1"/>
      <w:numFmt w:val="bullet"/>
      <w:pStyle w:val="Liste"/>
      <w:lvlText w:val=""/>
      <w:lvlJc w:val="left"/>
      <w:pPr>
        <w:ind w:left="169" w:hanging="227"/>
      </w:pPr>
      <w:rPr>
        <w:rFonts w:ascii="Symbol" w:hAnsi="Symbol" w:hint="default"/>
      </w:rPr>
    </w:lvl>
    <w:lvl w:ilvl="1">
      <w:start w:val="1"/>
      <w:numFmt w:val="bullet"/>
      <w:pStyle w:val="Liste2"/>
      <w:lvlText w:val="o"/>
      <w:lvlJc w:val="left"/>
      <w:pPr>
        <w:ind w:left="339" w:hanging="170"/>
      </w:pPr>
      <w:rPr>
        <w:rFonts w:ascii="Courier New" w:hAnsi="Courier New" w:hint="default"/>
      </w:rPr>
    </w:lvl>
    <w:lvl w:ilvl="2">
      <w:start w:val="1"/>
      <w:numFmt w:val="bullet"/>
      <w:pStyle w:val="Liste3"/>
      <w:lvlText w:val=""/>
      <w:lvlJc w:val="left"/>
      <w:pPr>
        <w:ind w:left="509" w:hanging="170"/>
      </w:pPr>
      <w:rPr>
        <w:rFonts w:ascii="Symbol" w:hAnsi="Symbol" w:hint="default"/>
        <w:color w:val="auto"/>
      </w:rPr>
    </w:lvl>
    <w:lvl w:ilvl="3">
      <w:start w:val="1"/>
      <w:numFmt w:val="decimal"/>
      <w:lvlText w:val="(%4)"/>
      <w:lvlJc w:val="left"/>
      <w:pPr>
        <w:ind w:left="1212" w:hanging="360"/>
      </w:pPr>
      <w:rPr>
        <w:rFonts w:hint="default"/>
      </w:rPr>
    </w:lvl>
    <w:lvl w:ilvl="4">
      <w:start w:val="1"/>
      <w:numFmt w:val="lowerLetter"/>
      <w:lvlText w:val="(%5)"/>
      <w:lvlJc w:val="left"/>
      <w:pPr>
        <w:ind w:left="1572" w:hanging="360"/>
      </w:pPr>
      <w:rPr>
        <w:rFonts w:hint="default"/>
      </w:rPr>
    </w:lvl>
    <w:lvl w:ilvl="5">
      <w:start w:val="1"/>
      <w:numFmt w:val="lowerRoman"/>
      <w:lvlText w:val="(%6)"/>
      <w:lvlJc w:val="left"/>
      <w:pPr>
        <w:ind w:left="1932" w:hanging="360"/>
      </w:pPr>
      <w:rPr>
        <w:rFonts w:hint="default"/>
      </w:rPr>
    </w:lvl>
    <w:lvl w:ilvl="6">
      <w:start w:val="1"/>
      <w:numFmt w:val="decimal"/>
      <w:lvlText w:val="%7."/>
      <w:lvlJc w:val="left"/>
      <w:pPr>
        <w:ind w:left="2292" w:hanging="360"/>
      </w:pPr>
      <w:rPr>
        <w:rFonts w:hint="default"/>
      </w:rPr>
    </w:lvl>
    <w:lvl w:ilvl="7">
      <w:start w:val="1"/>
      <w:numFmt w:val="lowerLetter"/>
      <w:lvlText w:val="%8."/>
      <w:lvlJc w:val="left"/>
      <w:pPr>
        <w:ind w:left="2652" w:hanging="360"/>
      </w:pPr>
      <w:rPr>
        <w:rFonts w:hint="default"/>
      </w:rPr>
    </w:lvl>
    <w:lvl w:ilvl="8">
      <w:start w:val="1"/>
      <w:numFmt w:val="lowerRoman"/>
      <w:lvlText w:val="%9."/>
      <w:lvlJc w:val="left"/>
      <w:pPr>
        <w:ind w:left="3012" w:hanging="360"/>
      </w:pPr>
      <w:rPr>
        <w:rFonts w:hint="default"/>
      </w:rPr>
    </w:lvl>
  </w:abstractNum>
  <w:abstractNum w:abstractNumId="14" w15:restartNumberingAfterBreak="0">
    <w:nsid w:val="0B317AC0"/>
    <w:multiLevelType w:val="multilevel"/>
    <w:tmpl w:val="EF82157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170CD2DE"/>
    <w:multiLevelType w:val="multilevel"/>
    <w:tmpl w:val="E8F6A8CC"/>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6" w15:restartNumberingAfterBreak="0">
    <w:nsid w:val="1A491185"/>
    <w:multiLevelType w:val="multilevel"/>
    <w:tmpl w:val="FF9A5A8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2136581B"/>
    <w:multiLevelType w:val="hybridMultilevel"/>
    <w:tmpl w:val="9D72C920"/>
    <w:lvl w:ilvl="0" w:tplc="37E4B926">
      <w:start w:val="5"/>
      <w:numFmt w:val="bullet"/>
      <w:lvlText w:val="-"/>
      <w:lvlJc w:val="left"/>
      <w:pPr>
        <w:ind w:left="720" w:hanging="360"/>
      </w:pPr>
      <w:rPr>
        <w:rFonts w:ascii="Open Sans SemiCondensed" w:eastAsiaTheme="minorHAnsi" w:hAnsi="Open Sans SemiCondensed" w:cs="Open Sans SemiCondensed"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8" w15:restartNumberingAfterBreak="0">
    <w:nsid w:val="22635DA1"/>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5B34016"/>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376A09E0"/>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385F5572"/>
    <w:multiLevelType w:val="hybridMultilevel"/>
    <w:tmpl w:val="F0A0DE24"/>
    <w:lvl w:ilvl="0" w:tplc="92C661E4">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22" w15:restartNumberingAfterBreak="0">
    <w:nsid w:val="39EB2F1F"/>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C4159FC"/>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3C75C70"/>
    <w:multiLevelType w:val="multilevel"/>
    <w:tmpl w:val="0807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4814E00"/>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779247D"/>
    <w:multiLevelType w:val="multilevel"/>
    <w:tmpl w:val="8654D96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492B3CF3"/>
    <w:multiLevelType w:val="multilevel"/>
    <w:tmpl w:val="D16CDD2E"/>
    <w:lvl w:ilvl="0">
      <w:start w:val="1"/>
      <w:numFmt w:val="decimal"/>
      <w:pStyle w:val="Listennummer"/>
      <w:lvlText w:val="%1."/>
      <w:lvlJc w:val="left"/>
      <w:pPr>
        <w:ind w:left="360" w:hanging="360"/>
      </w:pPr>
    </w:lvl>
    <w:lvl w:ilvl="1">
      <w:start w:val="1"/>
      <w:numFmt w:val="decimal"/>
      <w:pStyle w:val="Listennummer2"/>
      <w:lvlText w:val="%1.%2."/>
      <w:lvlJc w:val="left"/>
      <w:pPr>
        <w:ind w:left="792" w:hanging="432"/>
      </w:pPr>
    </w:lvl>
    <w:lvl w:ilvl="2">
      <w:start w:val="1"/>
      <w:numFmt w:val="decimal"/>
      <w:pStyle w:val="Listennummer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50F75C3"/>
    <w:multiLevelType w:val="hybridMultilevel"/>
    <w:tmpl w:val="34867D26"/>
    <w:lvl w:ilvl="0" w:tplc="92C661E4">
      <w:start w:val="1"/>
      <w:numFmt w:val="bullet"/>
      <w:lvlText w:val=""/>
      <w:lvlJc w:val="left"/>
      <w:pPr>
        <w:ind w:left="1287"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9" w15:restartNumberingAfterBreak="0">
    <w:nsid w:val="58B25AC9"/>
    <w:multiLevelType w:val="multilevel"/>
    <w:tmpl w:val="22A0C26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0" w15:restartNumberingAfterBreak="0">
    <w:nsid w:val="59817A16"/>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5E1B6C41"/>
    <w:multiLevelType w:val="multilevel"/>
    <w:tmpl w:val="5644F8BC"/>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2" w15:restartNumberingAfterBreak="0">
    <w:nsid w:val="5F4B039B"/>
    <w:multiLevelType w:val="multilevel"/>
    <w:tmpl w:val="D26AD44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3" w15:restartNumberingAfterBreak="0">
    <w:nsid w:val="601D057B"/>
    <w:multiLevelType w:val="hybridMultilevel"/>
    <w:tmpl w:val="6CBE37DE"/>
    <w:lvl w:ilvl="0" w:tplc="D54665B0">
      <w:start w:val="1"/>
      <w:numFmt w:val="bullet"/>
      <w:lvlText w:val=""/>
      <w:lvlJc w:val="left"/>
      <w:pPr>
        <w:ind w:left="927" w:hanging="360"/>
      </w:pPr>
      <w:rPr>
        <w:rFonts w:ascii="Symbol" w:eastAsiaTheme="minorHAnsi" w:hAnsi="Symbol" w:cstheme="minorBidi" w:hint="default"/>
      </w:rPr>
    </w:lvl>
    <w:lvl w:ilvl="1" w:tplc="20000003">
      <w:start w:val="1"/>
      <w:numFmt w:val="bullet"/>
      <w:lvlText w:val="o"/>
      <w:lvlJc w:val="left"/>
      <w:pPr>
        <w:ind w:left="1647" w:hanging="360"/>
      </w:pPr>
      <w:rPr>
        <w:rFonts w:ascii="Courier New" w:hAnsi="Courier New" w:cs="Courier New" w:hint="default"/>
      </w:rPr>
    </w:lvl>
    <w:lvl w:ilvl="2" w:tplc="20000005" w:tentative="1">
      <w:start w:val="1"/>
      <w:numFmt w:val="bullet"/>
      <w:lvlText w:val=""/>
      <w:lvlJc w:val="left"/>
      <w:pPr>
        <w:ind w:left="2367" w:hanging="360"/>
      </w:pPr>
      <w:rPr>
        <w:rFonts w:ascii="Wingdings" w:hAnsi="Wingdings" w:hint="default"/>
      </w:rPr>
    </w:lvl>
    <w:lvl w:ilvl="3" w:tplc="20000001" w:tentative="1">
      <w:start w:val="1"/>
      <w:numFmt w:val="bullet"/>
      <w:lvlText w:val=""/>
      <w:lvlJc w:val="left"/>
      <w:pPr>
        <w:ind w:left="3087" w:hanging="360"/>
      </w:pPr>
      <w:rPr>
        <w:rFonts w:ascii="Symbol" w:hAnsi="Symbol" w:hint="default"/>
      </w:rPr>
    </w:lvl>
    <w:lvl w:ilvl="4" w:tplc="20000003" w:tentative="1">
      <w:start w:val="1"/>
      <w:numFmt w:val="bullet"/>
      <w:lvlText w:val="o"/>
      <w:lvlJc w:val="left"/>
      <w:pPr>
        <w:ind w:left="3807" w:hanging="360"/>
      </w:pPr>
      <w:rPr>
        <w:rFonts w:ascii="Courier New" w:hAnsi="Courier New" w:cs="Courier New" w:hint="default"/>
      </w:rPr>
    </w:lvl>
    <w:lvl w:ilvl="5" w:tplc="20000005" w:tentative="1">
      <w:start w:val="1"/>
      <w:numFmt w:val="bullet"/>
      <w:lvlText w:val=""/>
      <w:lvlJc w:val="left"/>
      <w:pPr>
        <w:ind w:left="4527" w:hanging="360"/>
      </w:pPr>
      <w:rPr>
        <w:rFonts w:ascii="Wingdings" w:hAnsi="Wingdings" w:hint="default"/>
      </w:rPr>
    </w:lvl>
    <w:lvl w:ilvl="6" w:tplc="20000001" w:tentative="1">
      <w:start w:val="1"/>
      <w:numFmt w:val="bullet"/>
      <w:lvlText w:val=""/>
      <w:lvlJc w:val="left"/>
      <w:pPr>
        <w:ind w:left="5247" w:hanging="360"/>
      </w:pPr>
      <w:rPr>
        <w:rFonts w:ascii="Symbol" w:hAnsi="Symbol" w:hint="default"/>
      </w:rPr>
    </w:lvl>
    <w:lvl w:ilvl="7" w:tplc="20000003" w:tentative="1">
      <w:start w:val="1"/>
      <w:numFmt w:val="bullet"/>
      <w:lvlText w:val="o"/>
      <w:lvlJc w:val="left"/>
      <w:pPr>
        <w:ind w:left="5967" w:hanging="360"/>
      </w:pPr>
      <w:rPr>
        <w:rFonts w:ascii="Courier New" w:hAnsi="Courier New" w:cs="Courier New" w:hint="default"/>
      </w:rPr>
    </w:lvl>
    <w:lvl w:ilvl="8" w:tplc="20000005" w:tentative="1">
      <w:start w:val="1"/>
      <w:numFmt w:val="bullet"/>
      <w:lvlText w:val=""/>
      <w:lvlJc w:val="left"/>
      <w:pPr>
        <w:ind w:left="6687" w:hanging="360"/>
      </w:pPr>
      <w:rPr>
        <w:rFonts w:ascii="Wingdings" w:hAnsi="Wingdings" w:hint="default"/>
      </w:rPr>
    </w:lvl>
  </w:abstractNum>
  <w:abstractNum w:abstractNumId="34" w15:restartNumberingAfterBreak="0">
    <w:nsid w:val="60ED3FE8"/>
    <w:multiLevelType w:val="multilevel"/>
    <w:tmpl w:val="D20EE98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5" w15:restartNumberingAfterBreak="0">
    <w:nsid w:val="6B58653E"/>
    <w:multiLevelType w:val="multilevel"/>
    <w:tmpl w:val="7036336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6" w15:restartNumberingAfterBreak="0">
    <w:nsid w:val="6B5E4BFB"/>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C610210"/>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6F8B00A5"/>
    <w:multiLevelType w:val="multilevel"/>
    <w:tmpl w:val="8654D96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72C1294B"/>
    <w:multiLevelType w:val="hybridMultilevel"/>
    <w:tmpl w:val="5A562022"/>
    <w:lvl w:ilvl="0" w:tplc="DB4A5C40">
      <w:start w:val="1"/>
      <w:numFmt w:val="bullet"/>
      <w:lvlText w:val=""/>
      <w:lvlJc w:val="left"/>
      <w:pPr>
        <w:ind w:left="720" w:hanging="360"/>
      </w:pPr>
      <w:rPr>
        <w:rFonts w:ascii="Symbol" w:eastAsiaTheme="minorHAnsi" w:hAnsi="Symbol"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0" w15:restartNumberingAfterBreak="0">
    <w:nsid w:val="787C0DBC"/>
    <w:multiLevelType w:val="multilevel"/>
    <w:tmpl w:val="D3283B2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1" w15:restartNumberingAfterBreak="0">
    <w:nsid w:val="7DC36AB4"/>
    <w:multiLevelType w:val="hybridMultilevel"/>
    <w:tmpl w:val="8A54242A"/>
    <w:lvl w:ilvl="0" w:tplc="FBA8F068">
      <w:start w:val="1"/>
      <w:numFmt w:val="bullet"/>
      <w:lvlText w:val=""/>
      <w:lvlJc w:val="left"/>
      <w:pPr>
        <w:ind w:left="405" w:hanging="360"/>
      </w:pPr>
      <w:rPr>
        <w:rFonts w:ascii="Symbol" w:eastAsiaTheme="minorHAnsi" w:hAnsi="Symbol" w:cstheme="minorBidi" w:hint="default"/>
      </w:rPr>
    </w:lvl>
    <w:lvl w:ilvl="1" w:tplc="20000003">
      <w:start w:val="1"/>
      <w:numFmt w:val="bullet"/>
      <w:lvlText w:val="o"/>
      <w:lvlJc w:val="left"/>
      <w:pPr>
        <w:ind w:left="1125" w:hanging="360"/>
      </w:pPr>
      <w:rPr>
        <w:rFonts w:ascii="Courier New" w:hAnsi="Courier New" w:cs="Courier New" w:hint="default"/>
      </w:rPr>
    </w:lvl>
    <w:lvl w:ilvl="2" w:tplc="20000005">
      <w:start w:val="1"/>
      <w:numFmt w:val="bullet"/>
      <w:lvlText w:val=""/>
      <w:lvlJc w:val="left"/>
      <w:pPr>
        <w:ind w:left="1845" w:hanging="360"/>
      </w:pPr>
      <w:rPr>
        <w:rFonts w:ascii="Wingdings" w:hAnsi="Wingdings" w:hint="default"/>
      </w:rPr>
    </w:lvl>
    <w:lvl w:ilvl="3" w:tplc="20000001" w:tentative="1">
      <w:start w:val="1"/>
      <w:numFmt w:val="bullet"/>
      <w:lvlText w:val=""/>
      <w:lvlJc w:val="left"/>
      <w:pPr>
        <w:ind w:left="2565" w:hanging="360"/>
      </w:pPr>
      <w:rPr>
        <w:rFonts w:ascii="Symbol" w:hAnsi="Symbol" w:hint="default"/>
      </w:rPr>
    </w:lvl>
    <w:lvl w:ilvl="4" w:tplc="20000003" w:tentative="1">
      <w:start w:val="1"/>
      <w:numFmt w:val="bullet"/>
      <w:lvlText w:val="o"/>
      <w:lvlJc w:val="left"/>
      <w:pPr>
        <w:ind w:left="3285" w:hanging="360"/>
      </w:pPr>
      <w:rPr>
        <w:rFonts w:ascii="Courier New" w:hAnsi="Courier New" w:cs="Courier New" w:hint="default"/>
      </w:rPr>
    </w:lvl>
    <w:lvl w:ilvl="5" w:tplc="20000005" w:tentative="1">
      <w:start w:val="1"/>
      <w:numFmt w:val="bullet"/>
      <w:lvlText w:val=""/>
      <w:lvlJc w:val="left"/>
      <w:pPr>
        <w:ind w:left="4005" w:hanging="360"/>
      </w:pPr>
      <w:rPr>
        <w:rFonts w:ascii="Wingdings" w:hAnsi="Wingdings" w:hint="default"/>
      </w:rPr>
    </w:lvl>
    <w:lvl w:ilvl="6" w:tplc="20000001" w:tentative="1">
      <w:start w:val="1"/>
      <w:numFmt w:val="bullet"/>
      <w:lvlText w:val=""/>
      <w:lvlJc w:val="left"/>
      <w:pPr>
        <w:ind w:left="4725" w:hanging="360"/>
      </w:pPr>
      <w:rPr>
        <w:rFonts w:ascii="Symbol" w:hAnsi="Symbol" w:hint="default"/>
      </w:rPr>
    </w:lvl>
    <w:lvl w:ilvl="7" w:tplc="20000003" w:tentative="1">
      <w:start w:val="1"/>
      <w:numFmt w:val="bullet"/>
      <w:lvlText w:val="o"/>
      <w:lvlJc w:val="left"/>
      <w:pPr>
        <w:ind w:left="5445" w:hanging="360"/>
      </w:pPr>
      <w:rPr>
        <w:rFonts w:ascii="Courier New" w:hAnsi="Courier New" w:cs="Courier New" w:hint="default"/>
      </w:rPr>
    </w:lvl>
    <w:lvl w:ilvl="8" w:tplc="20000005" w:tentative="1">
      <w:start w:val="1"/>
      <w:numFmt w:val="bullet"/>
      <w:lvlText w:val=""/>
      <w:lvlJc w:val="left"/>
      <w:pPr>
        <w:ind w:left="6165" w:hanging="360"/>
      </w:pPr>
      <w:rPr>
        <w:rFonts w:ascii="Wingdings" w:hAnsi="Wingdings" w:hint="default"/>
      </w:rPr>
    </w:lvl>
  </w:abstractNum>
  <w:num w:numId="1" w16cid:durableId="1606422233">
    <w:abstractNumId w:val="15"/>
  </w:num>
  <w:num w:numId="2" w16cid:durableId="388771211">
    <w:abstractNumId w:val="8"/>
  </w:num>
  <w:num w:numId="3" w16cid:durableId="1875387527">
    <w:abstractNumId w:val="3"/>
  </w:num>
  <w:num w:numId="4" w16cid:durableId="1919709756">
    <w:abstractNumId w:val="2"/>
  </w:num>
  <w:num w:numId="5" w16cid:durableId="923800824">
    <w:abstractNumId w:val="1"/>
  </w:num>
  <w:num w:numId="6" w16cid:durableId="169027347">
    <w:abstractNumId w:val="0"/>
  </w:num>
  <w:num w:numId="7" w16cid:durableId="1881699356">
    <w:abstractNumId w:val="9"/>
  </w:num>
  <w:num w:numId="8" w16cid:durableId="1311136086">
    <w:abstractNumId w:val="7"/>
  </w:num>
  <w:num w:numId="9" w16cid:durableId="1158576326">
    <w:abstractNumId w:val="6"/>
  </w:num>
  <w:num w:numId="10" w16cid:durableId="973825345">
    <w:abstractNumId w:val="5"/>
  </w:num>
  <w:num w:numId="11" w16cid:durableId="1662389442">
    <w:abstractNumId w:val="4"/>
  </w:num>
  <w:num w:numId="12" w16cid:durableId="2049866811">
    <w:abstractNumId w:val="21"/>
  </w:num>
  <w:num w:numId="13" w16cid:durableId="1517846161">
    <w:abstractNumId w:val="28"/>
  </w:num>
  <w:num w:numId="14" w16cid:durableId="1128471426">
    <w:abstractNumId w:val="11"/>
  </w:num>
  <w:num w:numId="15" w16cid:durableId="1886675913">
    <w:abstractNumId w:val="26"/>
  </w:num>
  <w:num w:numId="16" w16cid:durableId="669143170">
    <w:abstractNumId w:val="38"/>
  </w:num>
  <w:num w:numId="17" w16cid:durableId="1816487952">
    <w:abstractNumId w:val="13"/>
  </w:num>
  <w:num w:numId="18" w16cid:durableId="1320425882">
    <w:abstractNumId w:val="33"/>
  </w:num>
  <w:num w:numId="19" w16cid:durableId="574709185">
    <w:abstractNumId w:val="41"/>
  </w:num>
  <w:num w:numId="20" w16cid:durableId="11883124">
    <w:abstractNumId w:val="39"/>
  </w:num>
  <w:num w:numId="21" w16cid:durableId="379716589">
    <w:abstractNumId w:val="27"/>
  </w:num>
  <w:num w:numId="22" w16cid:durableId="2088532560">
    <w:abstractNumId w:val="16"/>
  </w:num>
  <w:num w:numId="23" w16cid:durableId="904416417">
    <w:abstractNumId w:val="31"/>
  </w:num>
  <w:num w:numId="24" w16cid:durableId="1284269733">
    <w:abstractNumId w:val="35"/>
  </w:num>
  <w:num w:numId="25" w16cid:durableId="1202477524">
    <w:abstractNumId w:val="22"/>
  </w:num>
  <w:num w:numId="26" w16cid:durableId="93403316">
    <w:abstractNumId w:val="23"/>
  </w:num>
  <w:num w:numId="27" w16cid:durableId="1629702137">
    <w:abstractNumId w:val="29"/>
  </w:num>
  <w:num w:numId="28" w16cid:durableId="1363939546">
    <w:abstractNumId w:val="24"/>
  </w:num>
  <w:num w:numId="29" w16cid:durableId="1104112459">
    <w:abstractNumId w:val="36"/>
  </w:num>
  <w:num w:numId="30" w16cid:durableId="461922985">
    <w:abstractNumId w:val="37"/>
  </w:num>
  <w:num w:numId="31" w16cid:durableId="1674143091">
    <w:abstractNumId w:val="19"/>
  </w:num>
  <w:num w:numId="32" w16cid:durableId="383021627">
    <w:abstractNumId w:val="18"/>
  </w:num>
  <w:num w:numId="33" w16cid:durableId="930551164">
    <w:abstractNumId w:val="30"/>
  </w:num>
  <w:num w:numId="34" w16cid:durableId="603652748">
    <w:abstractNumId w:val="40"/>
  </w:num>
  <w:num w:numId="35" w16cid:durableId="391268124">
    <w:abstractNumId w:val="34"/>
  </w:num>
  <w:num w:numId="36" w16cid:durableId="139350252">
    <w:abstractNumId w:val="25"/>
  </w:num>
  <w:num w:numId="37" w16cid:durableId="1571379088">
    <w:abstractNumId w:val="20"/>
  </w:num>
  <w:num w:numId="38" w16cid:durableId="1164659798">
    <w:abstractNumId w:val="32"/>
  </w:num>
  <w:num w:numId="39" w16cid:durableId="1291790616">
    <w:abstractNumId w:val="14"/>
  </w:num>
  <w:num w:numId="40" w16cid:durableId="1479614155">
    <w:abstractNumId w:val="10"/>
  </w:num>
  <w:num w:numId="41" w16cid:durableId="1818760894">
    <w:abstractNumId w:val="17"/>
  </w:num>
  <w:num w:numId="42" w16cid:durableId="4685487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stylePaneSortMethod w:val="0002"/>
  <w:defaultTabStop w:val="720"/>
  <w:autoHyphenation/>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1FF"/>
    <w:rsid w:val="00004043"/>
    <w:rsid w:val="00016BFF"/>
    <w:rsid w:val="00024143"/>
    <w:rsid w:val="00024DD5"/>
    <w:rsid w:val="000302CB"/>
    <w:rsid w:val="0003314D"/>
    <w:rsid w:val="000352CE"/>
    <w:rsid w:val="00036AFC"/>
    <w:rsid w:val="00053353"/>
    <w:rsid w:val="000563F2"/>
    <w:rsid w:val="00060954"/>
    <w:rsid w:val="000628D4"/>
    <w:rsid w:val="00066BF3"/>
    <w:rsid w:val="00070E88"/>
    <w:rsid w:val="00072265"/>
    <w:rsid w:val="000759D7"/>
    <w:rsid w:val="000759FC"/>
    <w:rsid w:val="0007721B"/>
    <w:rsid w:val="0009140C"/>
    <w:rsid w:val="00097D4A"/>
    <w:rsid w:val="000A1695"/>
    <w:rsid w:val="000A632D"/>
    <w:rsid w:val="000B3BDA"/>
    <w:rsid w:val="000B5BB8"/>
    <w:rsid w:val="000C1503"/>
    <w:rsid w:val="000D2161"/>
    <w:rsid w:val="000D246A"/>
    <w:rsid w:val="000D3765"/>
    <w:rsid w:val="000D3C1B"/>
    <w:rsid w:val="000E2D46"/>
    <w:rsid w:val="000E3098"/>
    <w:rsid w:val="000E6A66"/>
    <w:rsid w:val="000E732C"/>
    <w:rsid w:val="000F0956"/>
    <w:rsid w:val="000F4B54"/>
    <w:rsid w:val="000F5288"/>
    <w:rsid w:val="00100E55"/>
    <w:rsid w:val="0010234F"/>
    <w:rsid w:val="0010334E"/>
    <w:rsid w:val="00110FC4"/>
    <w:rsid w:val="001114E2"/>
    <w:rsid w:val="001150A5"/>
    <w:rsid w:val="00115EF5"/>
    <w:rsid w:val="001161D6"/>
    <w:rsid w:val="00117142"/>
    <w:rsid w:val="00120A64"/>
    <w:rsid w:val="00120CBF"/>
    <w:rsid w:val="001250B1"/>
    <w:rsid w:val="00126E31"/>
    <w:rsid w:val="0012743D"/>
    <w:rsid w:val="001274BE"/>
    <w:rsid w:val="0013195A"/>
    <w:rsid w:val="00132125"/>
    <w:rsid w:val="001335D8"/>
    <w:rsid w:val="00135F2A"/>
    <w:rsid w:val="0014559E"/>
    <w:rsid w:val="00147E54"/>
    <w:rsid w:val="00151BCA"/>
    <w:rsid w:val="00153133"/>
    <w:rsid w:val="0015543F"/>
    <w:rsid w:val="00155CDC"/>
    <w:rsid w:val="00157D7E"/>
    <w:rsid w:val="00167858"/>
    <w:rsid w:val="0017567B"/>
    <w:rsid w:val="00180DD5"/>
    <w:rsid w:val="001818C0"/>
    <w:rsid w:val="00186FAC"/>
    <w:rsid w:val="00193436"/>
    <w:rsid w:val="001A2EEC"/>
    <w:rsid w:val="001A5DEF"/>
    <w:rsid w:val="001A7F8D"/>
    <w:rsid w:val="001B05BD"/>
    <w:rsid w:val="001B16E8"/>
    <w:rsid w:val="001B25F3"/>
    <w:rsid w:val="001B7781"/>
    <w:rsid w:val="001C087A"/>
    <w:rsid w:val="001D3BFB"/>
    <w:rsid w:val="001D5243"/>
    <w:rsid w:val="001D6A8F"/>
    <w:rsid w:val="001E0C79"/>
    <w:rsid w:val="001E176F"/>
    <w:rsid w:val="001E18AC"/>
    <w:rsid w:val="001E34D4"/>
    <w:rsid w:val="001E3BE9"/>
    <w:rsid w:val="001F1BA3"/>
    <w:rsid w:val="001F1D47"/>
    <w:rsid w:val="001F2A01"/>
    <w:rsid w:val="001F57EC"/>
    <w:rsid w:val="001F5D7A"/>
    <w:rsid w:val="00202A19"/>
    <w:rsid w:val="0020358C"/>
    <w:rsid w:val="0020467E"/>
    <w:rsid w:val="002107E9"/>
    <w:rsid w:val="002115F9"/>
    <w:rsid w:val="002125DB"/>
    <w:rsid w:val="00213885"/>
    <w:rsid w:val="00220E36"/>
    <w:rsid w:val="00233182"/>
    <w:rsid w:val="00235A6C"/>
    <w:rsid w:val="00237079"/>
    <w:rsid w:val="00241303"/>
    <w:rsid w:val="002443A6"/>
    <w:rsid w:val="0025381F"/>
    <w:rsid w:val="00253BCD"/>
    <w:rsid w:val="002561A8"/>
    <w:rsid w:val="00257101"/>
    <w:rsid w:val="002715A0"/>
    <w:rsid w:val="00274969"/>
    <w:rsid w:val="00276544"/>
    <w:rsid w:val="00276B2C"/>
    <w:rsid w:val="00277800"/>
    <w:rsid w:val="00280A9D"/>
    <w:rsid w:val="002837C6"/>
    <w:rsid w:val="00284EA0"/>
    <w:rsid w:val="002862AA"/>
    <w:rsid w:val="002904B8"/>
    <w:rsid w:val="002A09E4"/>
    <w:rsid w:val="002B1C79"/>
    <w:rsid w:val="002B28D4"/>
    <w:rsid w:val="002B4FC3"/>
    <w:rsid w:val="002B6D87"/>
    <w:rsid w:val="002C5235"/>
    <w:rsid w:val="002D39A1"/>
    <w:rsid w:val="002E13B6"/>
    <w:rsid w:val="002E3785"/>
    <w:rsid w:val="002E5374"/>
    <w:rsid w:val="0030447C"/>
    <w:rsid w:val="00304A37"/>
    <w:rsid w:val="00307EC7"/>
    <w:rsid w:val="003204EE"/>
    <w:rsid w:val="003213E4"/>
    <w:rsid w:val="00322024"/>
    <w:rsid w:val="003222A6"/>
    <w:rsid w:val="00324ACA"/>
    <w:rsid w:val="003267B8"/>
    <w:rsid w:val="00336270"/>
    <w:rsid w:val="00344E6E"/>
    <w:rsid w:val="003457CD"/>
    <w:rsid w:val="00354B3F"/>
    <w:rsid w:val="00355206"/>
    <w:rsid w:val="00356E7A"/>
    <w:rsid w:val="00360D6A"/>
    <w:rsid w:val="0036569A"/>
    <w:rsid w:val="00365730"/>
    <w:rsid w:val="0037147F"/>
    <w:rsid w:val="0037297F"/>
    <w:rsid w:val="003819B7"/>
    <w:rsid w:val="00382314"/>
    <w:rsid w:val="00383074"/>
    <w:rsid w:val="00386CFF"/>
    <w:rsid w:val="00392908"/>
    <w:rsid w:val="003A0EA7"/>
    <w:rsid w:val="003A2717"/>
    <w:rsid w:val="003B22E3"/>
    <w:rsid w:val="003B4C81"/>
    <w:rsid w:val="003B5547"/>
    <w:rsid w:val="003B57D1"/>
    <w:rsid w:val="003B69C1"/>
    <w:rsid w:val="003C1035"/>
    <w:rsid w:val="003D1E57"/>
    <w:rsid w:val="003D221C"/>
    <w:rsid w:val="003D3C1A"/>
    <w:rsid w:val="003D502F"/>
    <w:rsid w:val="003E022D"/>
    <w:rsid w:val="003E0578"/>
    <w:rsid w:val="003E66DE"/>
    <w:rsid w:val="003F55DF"/>
    <w:rsid w:val="003F6A6B"/>
    <w:rsid w:val="003F78C2"/>
    <w:rsid w:val="004026BC"/>
    <w:rsid w:val="004027D5"/>
    <w:rsid w:val="00404F18"/>
    <w:rsid w:val="004108D3"/>
    <w:rsid w:val="00413702"/>
    <w:rsid w:val="00414332"/>
    <w:rsid w:val="00421D05"/>
    <w:rsid w:val="00426606"/>
    <w:rsid w:val="004310B5"/>
    <w:rsid w:val="00432F97"/>
    <w:rsid w:val="004354D7"/>
    <w:rsid w:val="0044037B"/>
    <w:rsid w:val="00440447"/>
    <w:rsid w:val="00441F45"/>
    <w:rsid w:val="004421C7"/>
    <w:rsid w:val="00450031"/>
    <w:rsid w:val="004502DE"/>
    <w:rsid w:val="0045144F"/>
    <w:rsid w:val="004536C4"/>
    <w:rsid w:val="00454BCF"/>
    <w:rsid w:val="004609F9"/>
    <w:rsid w:val="00464BD1"/>
    <w:rsid w:val="00467E46"/>
    <w:rsid w:val="0047168D"/>
    <w:rsid w:val="00474112"/>
    <w:rsid w:val="00475B52"/>
    <w:rsid w:val="00480CD2"/>
    <w:rsid w:val="004815EE"/>
    <w:rsid w:val="00486270"/>
    <w:rsid w:val="0049161B"/>
    <w:rsid w:val="004927CF"/>
    <w:rsid w:val="004A1D64"/>
    <w:rsid w:val="004A2854"/>
    <w:rsid w:val="004A3A0E"/>
    <w:rsid w:val="004A5225"/>
    <w:rsid w:val="004A5D68"/>
    <w:rsid w:val="004B1834"/>
    <w:rsid w:val="004B29F8"/>
    <w:rsid w:val="004B3001"/>
    <w:rsid w:val="004B3A29"/>
    <w:rsid w:val="004B437C"/>
    <w:rsid w:val="004B47AB"/>
    <w:rsid w:val="004C13EB"/>
    <w:rsid w:val="004C4A76"/>
    <w:rsid w:val="004C4B0B"/>
    <w:rsid w:val="004C6C2B"/>
    <w:rsid w:val="004C7A43"/>
    <w:rsid w:val="004D3B80"/>
    <w:rsid w:val="004D542D"/>
    <w:rsid w:val="004D58AC"/>
    <w:rsid w:val="004D7360"/>
    <w:rsid w:val="004D75E8"/>
    <w:rsid w:val="004D7785"/>
    <w:rsid w:val="004E0922"/>
    <w:rsid w:val="004E232F"/>
    <w:rsid w:val="004E5834"/>
    <w:rsid w:val="004E600A"/>
    <w:rsid w:val="004F0F25"/>
    <w:rsid w:val="004F5820"/>
    <w:rsid w:val="004F5C23"/>
    <w:rsid w:val="0050305D"/>
    <w:rsid w:val="00503D63"/>
    <w:rsid w:val="00503DC4"/>
    <w:rsid w:val="005055D5"/>
    <w:rsid w:val="00511855"/>
    <w:rsid w:val="00521559"/>
    <w:rsid w:val="0052290A"/>
    <w:rsid w:val="00530E98"/>
    <w:rsid w:val="00531F94"/>
    <w:rsid w:val="00533DA1"/>
    <w:rsid w:val="0054263A"/>
    <w:rsid w:val="00546490"/>
    <w:rsid w:val="0055178E"/>
    <w:rsid w:val="00555035"/>
    <w:rsid w:val="005566AA"/>
    <w:rsid w:val="005576F5"/>
    <w:rsid w:val="00561EAE"/>
    <w:rsid w:val="005644DD"/>
    <w:rsid w:val="0056578A"/>
    <w:rsid w:val="0056595B"/>
    <w:rsid w:val="00571774"/>
    <w:rsid w:val="00571C0D"/>
    <w:rsid w:val="005720A7"/>
    <w:rsid w:val="00572C4C"/>
    <w:rsid w:val="00575AB3"/>
    <w:rsid w:val="0057605E"/>
    <w:rsid w:val="00576E09"/>
    <w:rsid w:val="00577261"/>
    <w:rsid w:val="00581DB2"/>
    <w:rsid w:val="00585ED0"/>
    <w:rsid w:val="00587EF6"/>
    <w:rsid w:val="005923F0"/>
    <w:rsid w:val="00592B57"/>
    <w:rsid w:val="00594747"/>
    <w:rsid w:val="00594844"/>
    <w:rsid w:val="0059797E"/>
    <w:rsid w:val="005A4F7F"/>
    <w:rsid w:val="005A646E"/>
    <w:rsid w:val="005A6F41"/>
    <w:rsid w:val="005A7AE7"/>
    <w:rsid w:val="005B109D"/>
    <w:rsid w:val="005C07BE"/>
    <w:rsid w:val="005C6DD2"/>
    <w:rsid w:val="005D15B8"/>
    <w:rsid w:val="005D5723"/>
    <w:rsid w:val="005D77D5"/>
    <w:rsid w:val="005E02F8"/>
    <w:rsid w:val="005E150A"/>
    <w:rsid w:val="005E28CB"/>
    <w:rsid w:val="005E7DD5"/>
    <w:rsid w:val="005F708C"/>
    <w:rsid w:val="00601C4C"/>
    <w:rsid w:val="00602A51"/>
    <w:rsid w:val="00602E33"/>
    <w:rsid w:val="0060470D"/>
    <w:rsid w:val="00607D78"/>
    <w:rsid w:val="00610604"/>
    <w:rsid w:val="006111D5"/>
    <w:rsid w:val="006111F5"/>
    <w:rsid w:val="006237E3"/>
    <w:rsid w:val="00623E11"/>
    <w:rsid w:val="00630CBB"/>
    <w:rsid w:val="006411DE"/>
    <w:rsid w:val="006448C5"/>
    <w:rsid w:val="006455D0"/>
    <w:rsid w:val="0064777F"/>
    <w:rsid w:val="006555BD"/>
    <w:rsid w:val="00665688"/>
    <w:rsid w:val="006676E2"/>
    <w:rsid w:val="00670319"/>
    <w:rsid w:val="00675AE1"/>
    <w:rsid w:val="00682B8C"/>
    <w:rsid w:val="00683ED1"/>
    <w:rsid w:val="00685EB4"/>
    <w:rsid w:val="00690DCF"/>
    <w:rsid w:val="006910C2"/>
    <w:rsid w:val="0069153A"/>
    <w:rsid w:val="00692B08"/>
    <w:rsid w:val="00696611"/>
    <w:rsid w:val="00696681"/>
    <w:rsid w:val="00697653"/>
    <w:rsid w:val="006A01FF"/>
    <w:rsid w:val="006A132C"/>
    <w:rsid w:val="006A33C6"/>
    <w:rsid w:val="006A3A28"/>
    <w:rsid w:val="006A4C05"/>
    <w:rsid w:val="006A5AD9"/>
    <w:rsid w:val="006A711D"/>
    <w:rsid w:val="006A7CE6"/>
    <w:rsid w:val="006B0186"/>
    <w:rsid w:val="006B10B7"/>
    <w:rsid w:val="006B5540"/>
    <w:rsid w:val="006B6349"/>
    <w:rsid w:val="006C2B84"/>
    <w:rsid w:val="006C3DFC"/>
    <w:rsid w:val="006C704B"/>
    <w:rsid w:val="006D56EB"/>
    <w:rsid w:val="006D5D28"/>
    <w:rsid w:val="006E210A"/>
    <w:rsid w:val="006E260B"/>
    <w:rsid w:val="006F5F12"/>
    <w:rsid w:val="00700311"/>
    <w:rsid w:val="00702301"/>
    <w:rsid w:val="00702BE5"/>
    <w:rsid w:val="007044EA"/>
    <w:rsid w:val="00710490"/>
    <w:rsid w:val="00711858"/>
    <w:rsid w:val="007155B8"/>
    <w:rsid w:val="007206C2"/>
    <w:rsid w:val="007373E7"/>
    <w:rsid w:val="007424F5"/>
    <w:rsid w:val="0074363B"/>
    <w:rsid w:val="0074442C"/>
    <w:rsid w:val="007545FE"/>
    <w:rsid w:val="00754812"/>
    <w:rsid w:val="00764FC4"/>
    <w:rsid w:val="00766F4F"/>
    <w:rsid w:val="00775449"/>
    <w:rsid w:val="0077719D"/>
    <w:rsid w:val="00777A2F"/>
    <w:rsid w:val="00782FE0"/>
    <w:rsid w:val="007848B0"/>
    <w:rsid w:val="00787B6E"/>
    <w:rsid w:val="00790847"/>
    <w:rsid w:val="007914A6"/>
    <w:rsid w:val="007966EC"/>
    <w:rsid w:val="007A3489"/>
    <w:rsid w:val="007A7190"/>
    <w:rsid w:val="007A75E1"/>
    <w:rsid w:val="007B0AFE"/>
    <w:rsid w:val="007B0DF8"/>
    <w:rsid w:val="007B4390"/>
    <w:rsid w:val="007B448B"/>
    <w:rsid w:val="007B4F54"/>
    <w:rsid w:val="007B5701"/>
    <w:rsid w:val="007B62B5"/>
    <w:rsid w:val="007B691D"/>
    <w:rsid w:val="007C5AB3"/>
    <w:rsid w:val="007E16CA"/>
    <w:rsid w:val="007E3CCB"/>
    <w:rsid w:val="007E78D0"/>
    <w:rsid w:val="007F2395"/>
    <w:rsid w:val="007F43B0"/>
    <w:rsid w:val="007F5E1D"/>
    <w:rsid w:val="0080610A"/>
    <w:rsid w:val="008104AF"/>
    <w:rsid w:val="008152E5"/>
    <w:rsid w:val="00817913"/>
    <w:rsid w:val="00823C7F"/>
    <w:rsid w:val="00830A17"/>
    <w:rsid w:val="008351F7"/>
    <w:rsid w:val="008370E7"/>
    <w:rsid w:val="008521B2"/>
    <w:rsid w:val="00853805"/>
    <w:rsid w:val="00853BA1"/>
    <w:rsid w:val="00855097"/>
    <w:rsid w:val="008604EE"/>
    <w:rsid w:val="0086305F"/>
    <w:rsid w:val="00865EA7"/>
    <w:rsid w:val="008664D0"/>
    <w:rsid w:val="00870508"/>
    <w:rsid w:val="00871F54"/>
    <w:rsid w:val="00873D04"/>
    <w:rsid w:val="00876C8E"/>
    <w:rsid w:val="00882B9B"/>
    <w:rsid w:val="008854C8"/>
    <w:rsid w:val="00891E7D"/>
    <w:rsid w:val="008924D4"/>
    <w:rsid w:val="008A2229"/>
    <w:rsid w:val="008A622C"/>
    <w:rsid w:val="008C6EDB"/>
    <w:rsid w:val="008D07E2"/>
    <w:rsid w:val="008D1807"/>
    <w:rsid w:val="008D47F8"/>
    <w:rsid w:val="008D588B"/>
    <w:rsid w:val="008D5F8C"/>
    <w:rsid w:val="008D76CE"/>
    <w:rsid w:val="008E0647"/>
    <w:rsid w:val="008E165A"/>
    <w:rsid w:val="008E2428"/>
    <w:rsid w:val="008F2E4E"/>
    <w:rsid w:val="008F7C98"/>
    <w:rsid w:val="009103BB"/>
    <w:rsid w:val="00912E02"/>
    <w:rsid w:val="00914696"/>
    <w:rsid w:val="00920846"/>
    <w:rsid w:val="00920A21"/>
    <w:rsid w:val="00925812"/>
    <w:rsid w:val="00925EA1"/>
    <w:rsid w:val="009344CF"/>
    <w:rsid w:val="00943B46"/>
    <w:rsid w:val="00944A2A"/>
    <w:rsid w:val="0094640A"/>
    <w:rsid w:val="009469D9"/>
    <w:rsid w:val="00950C5E"/>
    <w:rsid w:val="009552F9"/>
    <w:rsid w:val="009660DC"/>
    <w:rsid w:val="00967D5F"/>
    <w:rsid w:val="0097016C"/>
    <w:rsid w:val="009720EF"/>
    <w:rsid w:val="00985126"/>
    <w:rsid w:val="009A3661"/>
    <w:rsid w:val="009A57A5"/>
    <w:rsid w:val="009A73FC"/>
    <w:rsid w:val="009A7FF6"/>
    <w:rsid w:val="009B5334"/>
    <w:rsid w:val="009B7ABE"/>
    <w:rsid w:val="009C6886"/>
    <w:rsid w:val="009D10E4"/>
    <w:rsid w:val="009D1A1B"/>
    <w:rsid w:val="009D3327"/>
    <w:rsid w:val="009D4CCF"/>
    <w:rsid w:val="009D6A80"/>
    <w:rsid w:val="009E03A7"/>
    <w:rsid w:val="009E5005"/>
    <w:rsid w:val="009E5639"/>
    <w:rsid w:val="009E5DBB"/>
    <w:rsid w:val="009F4CD6"/>
    <w:rsid w:val="009F6A07"/>
    <w:rsid w:val="00A027F5"/>
    <w:rsid w:val="00A10362"/>
    <w:rsid w:val="00A11404"/>
    <w:rsid w:val="00A1248D"/>
    <w:rsid w:val="00A32246"/>
    <w:rsid w:val="00A33D5F"/>
    <w:rsid w:val="00A37E53"/>
    <w:rsid w:val="00A41B62"/>
    <w:rsid w:val="00A4417C"/>
    <w:rsid w:val="00A50A1E"/>
    <w:rsid w:val="00A543D6"/>
    <w:rsid w:val="00A5488E"/>
    <w:rsid w:val="00A55E72"/>
    <w:rsid w:val="00A61330"/>
    <w:rsid w:val="00A63E8D"/>
    <w:rsid w:val="00A6590D"/>
    <w:rsid w:val="00A732CE"/>
    <w:rsid w:val="00A738BD"/>
    <w:rsid w:val="00A80706"/>
    <w:rsid w:val="00A8330C"/>
    <w:rsid w:val="00A92F93"/>
    <w:rsid w:val="00A9797C"/>
    <w:rsid w:val="00AA2F41"/>
    <w:rsid w:val="00AA6180"/>
    <w:rsid w:val="00AA7D4C"/>
    <w:rsid w:val="00AB4BB5"/>
    <w:rsid w:val="00AB7386"/>
    <w:rsid w:val="00AB7501"/>
    <w:rsid w:val="00AC20F1"/>
    <w:rsid w:val="00AC7F08"/>
    <w:rsid w:val="00AD7943"/>
    <w:rsid w:val="00AD7C7B"/>
    <w:rsid w:val="00AE1700"/>
    <w:rsid w:val="00AE583E"/>
    <w:rsid w:val="00AE5B14"/>
    <w:rsid w:val="00AE5D15"/>
    <w:rsid w:val="00AE631D"/>
    <w:rsid w:val="00AF16EB"/>
    <w:rsid w:val="00B02F6E"/>
    <w:rsid w:val="00B03EE0"/>
    <w:rsid w:val="00B1178C"/>
    <w:rsid w:val="00B16E6C"/>
    <w:rsid w:val="00B17951"/>
    <w:rsid w:val="00B23FEC"/>
    <w:rsid w:val="00B24C90"/>
    <w:rsid w:val="00B27A93"/>
    <w:rsid w:val="00B30005"/>
    <w:rsid w:val="00B31381"/>
    <w:rsid w:val="00B32FE3"/>
    <w:rsid w:val="00B36295"/>
    <w:rsid w:val="00B44D06"/>
    <w:rsid w:val="00B462BB"/>
    <w:rsid w:val="00B50E21"/>
    <w:rsid w:val="00B549A7"/>
    <w:rsid w:val="00B54E5C"/>
    <w:rsid w:val="00B55AB3"/>
    <w:rsid w:val="00B56ED3"/>
    <w:rsid w:val="00B64EBE"/>
    <w:rsid w:val="00B65A8E"/>
    <w:rsid w:val="00B71621"/>
    <w:rsid w:val="00B7489C"/>
    <w:rsid w:val="00B74DC9"/>
    <w:rsid w:val="00B7596B"/>
    <w:rsid w:val="00B908E1"/>
    <w:rsid w:val="00B9412C"/>
    <w:rsid w:val="00BA50D5"/>
    <w:rsid w:val="00BA6494"/>
    <w:rsid w:val="00BB3270"/>
    <w:rsid w:val="00BB7EDB"/>
    <w:rsid w:val="00BC32F4"/>
    <w:rsid w:val="00BC564A"/>
    <w:rsid w:val="00BD4FAD"/>
    <w:rsid w:val="00BD6209"/>
    <w:rsid w:val="00BD70E1"/>
    <w:rsid w:val="00BD74F7"/>
    <w:rsid w:val="00BF079C"/>
    <w:rsid w:val="00C02F6D"/>
    <w:rsid w:val="00C07C41"/>
    <w:rsid w:val="00C11A20"/>
    <w:rsid w:val="00C142B7"/>
    <w:rsid w:val="00C14750"/>
    <w:rsid w:val="00C201F8"/>
    <w:rsid w:val="00C23844"/>
    <w:rsid w:val="00C24833"/>
    <w:rsid w:val="00C24D21"/>
    <w:rsid w:val="00C3014D"/>
    <w:rsid w:val="00C31290"/>
    <w:rsid w:val="00C343C0"/>
    <w:rsid w:val="00C350DC"/>
    <w:rsid w:val="00C35F30"/>
    <w:rsid w:val="00C37905"/>
    <w:rsid w:val="00C43705"/>
    <w:rsid w:val="00C43E2D"/>
    <w:rsid w:val="00C50710"/>
    <w:rsid w:val="00C51A52"/>
    <w:rsid w:val="00C53EF8"/>
    <w:rsid w:val="00C57D07"/>
    <w:rsid w:val="00C63ADB"/>
    <w:rsid w:val="00C678D9"/>
    <w:rsid w:val="00C7447F"/>
    <w:rsid w:val="00C76A86"/>
    <w:rsid w:val="00C77A77"/>
    <w:rsid w:val="00C77BA7"/>
    <w:rsid w:val="00C85052"/>
    <w:rsid w:val="00C90953"/>
    <w:rsid w:val="00CA34E0"/>
    <w:rsid w:val="00CA4FE2"/>
    <w:rsid w:val="00CB542E"/>
    <w:rsid w:val="00CC1689"/>
    <w:rsid w:val="00CC620A"/>
    <w:rsid w:val="00CD66CD"/>
    <w:rsid w:val="00CE64AF"/>
    <w:rsid w:val="00CF3E83"/>
    <w:rsid w:val="00CF4C21"/>
    <w:rsid w:val="00CF788D"/>
    <w:rsid w:val="00D02DE1"/>
    <w:rsid w:val="00D03879"/>
    <w:rsid w:val="00D16351"/>
    <w:rsid w:val="00D16436"/>
    <w:rsid w:val="00D17F8E"/>
    <w:rsid w:val="00D21714"/>
    <w:rsid w:val="00D232F1"/>
    <w:rsid w:val="00D261E9"/>
    <w:rsid w:val="00D30491"/>
    <w:rsid w:val="00D311B1"/>
    <w:rsid w:val="00D36584"/>
    <w:rsid w:val="00D44244"/>
    <w:rsid w:val="00D45554"/>
    <w:rsid w:val="00D45E42"/>
    <w:rsid w:val="00D46C56"/>
    <w:rsid w:val="00D54DAD"/>
    <w:rsid w:val="00D55316"/>
    <w:rsid w:val="00D57614"/>
    <w:rsid w:val="00D614DC"/>
    <w:rsid w:val="00D62B3E"/>
    <w:rsid w:val="00D65100"/>
    <w:rsid w:val="00D75B90"/>
    <w:rsid w:val="00D80011"/>
    <w:rsid w:val="00D8167D"/>
    <w:rsid w:val="00D8434D"/>
    <w:rsid w:val="00D84E58"/>
    <w:rsid w:val="00D86764"/>
    <w:rsid w:val="00D9463F"/>
    <w:rsid w:val="00D965E2"/>
    <w:rsid w:val="00D969AF"/>
    <w:rsid w:val="00DA3CEB"/>
    <w:rsid w:val="00DB085C"/>
    <w:rsid w:val="00DB1F8B"/>
    <w:rsid w:val="00DB5151"/>
    <w:rsid w:val="00DB5625"/>
    <w:rsid w:val="00DC043B"/>
    <w:rsid w:val="00DC0580"/>
    <w:rsid w:val="00DC0AB5"/>
    <w:rsid w:val="00DC399A"/>
    <w:rsid w:val="00DD1320"/>
    <w:rsid w:val="00DD1683"/>
    <w:rsid w:val="00DD6B69"/>
    <w:rsid w:val="00DE06C6"/>
    <w:rsid w:val="00DE505F"/>
    <w:rsid w:val="00DE6B7F"/>
    <w:rsid w:val="00DF11B1"/>
    <w:rsid w:val="00DF5157"/>
    <w:rsid w:val="00DF6577"/>
    <w:rsid w:val="00E03695"/>
    <w:rsid w:val="00E03B8A"/>
    <w:rsid w:val="00E071D4"/>
    <w:rsid w:val="00E0799C"/>
    <w:rsid w:val="00E1236C"/>
    <w:rsid w:val="00E16D59"/>
    <w:rsid w:val="00E20F95"/>
    <w:rsid w:val="00E23124"/>
    <w:rsid w:val="00E26747"/>
    <w:rsid w:val="00E26F3D"/>
    <w:rsid w:val="00E2729A"/>
    <w:rsid w:val="00E31225"/>
    <w:rsid w:val="00E340C6"/>
    <w:rsid w:val="00E42E44"/>
    <w:rsid w:val="00E4671B"/>
    <w:rsid w:val="00E52C40"/>
    <w:rsid w:val="00E543D6"/>
    <w:rsid w:val="00E543F6"/>
    <w:rsid w:val="00E54DD0"/>
    <w:rsid w:val="00E57186"/>
    <w:rsid w:val="00E573E8"/>
    <w:rsid w:val="00E6236B"/>
    <w:rsid w:val="00E65272"/>
    <w:rsid w:val="00E65FAC"/>
    <w:rsid w:val="00E74FD4"/>
    <w:rsid w:val="00E75509"/>
    <w:rsid w:val="00E7780E"/>
    <w:rsid w:val="00E84DB3"/>
    <w:rsid w:val="00E8625B"/>
    <w:rsid w:val="00E9142E"/>
    <w:rsid w:val="00E9235C"/>
    <w:rsid w:val="00E9360D"/>
    <w:rsid w:val="00E96E69"/>
    <w:rsid w:val="00EA4676"/>
    <w:rsid w:val="00EA484D"/>
    <w:rsid w:val="00EA6FF6"/>
    <w:rsid w:val="00EB1A55"/>
    <w:rsid w:val="00EB68AF"/>
    <w:rsid w:val="00EC051F"/>
    <w:rsid w:val="00EC0A4F"/>
    <w:rsid w:val="00EC61B0"/>
    <w:rsid w:val="00ED473A"/>
    <w:rsid w:val="00ED5648"/>
    <w:rsid w:val="00EE2C38"/>
    <w:rsid w:val="00EF0A13"/>
    <w:rsid w:val="00EF4C1D"/>
    <w:rsid w:val="00EF648A"/>
    <w:rsid w:val="00EF7CFB"/>
    <w:rsid w:val="00F020AF"/>
    <w:rsid w:val="00F04C5A"/>
    <w:rsid w:val="00F2279B"/>
    <w:rsid w:val="00F2475C"/>
    <w:rsid w:val="00F412B1"/>
    <w:rsid w:val="00F47AD4"/>
    <w:rsid w:val="00F5342B"/>
    <w:rsid w:val="00F60E6F"/>
    <w:rsid w:val="00F63D23"/>
    <w:rsid w:val="00F71CA6"/>
    <w:rsid w:val="00F74E4B"/>
    <w:rsid w:val="00F767F6"/>
    <w:rsid w:val="00F76CB2"/>
    <w:rsid w:val="00F80155"/>
    <w:rsid w:val="00F81075"/>
    <w:rsid w:val="00F83A13"/>
    <w:rsid w:val="00F918E5"/>
    <w:rsid w:val="00F964D2"/>
    <w:rsid w:val="00FA3BCD"/>
    <w:rsid w:val="00FA43C4"/>
    <w:rsid w:val="00FB2600"/>
    <w:rsid w:val="00FB2DAA"/>
    <w:rsid w:val="00FB48D2"/>
    <w:rsid w:val="00FB7742"/>
    <w:rsid w:val="00FC238F"/>
    <w:rsid w:val="00FC6082"/>
    <w:rsid w:val="00FC7953"/>
    <w:rsid w:val="00FD1A2E"/>
    <w:rsid w:val="00FD41D0"/>
    <w:rsid w:val="00FD5708"/>
    <w:rsid w:val="00FD5CFB"/>
    <w:rsid w:val="00FD667E"/>
    <w:rsid w:val="00FE2AA4"/>
    <w:rsid w:val="00FE3EFE"/>
    <w:rsid w:val="00FE528E"/>
    <w:rsid w:val="00FE54F1"/>
    <w:rsid w:val="00FE57F9"/>
    <w:rsid w:val="00FF2E2B"/>
    <w:rsid w:val="00FF359A"/>
    <w:rsid w:val="00FF5698"/>
    <w:rsid w:val="071B7702"/>
    <w:rsid w:val="5344DE43"/>
    <w:rsid w:val="669A9055"/>
    <w:rsid w:val="746BE5F7"/>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B0C2D5"/>
  <w15:docId w15:val="{57117718-CFD4-4515-88FB-49AB723CB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SemiCondensed" w:eastAsiaTheme="minorHAnsi" w:hAnsi="Open Sans SemiCondensed" w:cstheme="minorBidi"/>
        <w:spacing w:val="-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ibliography" w:semiHidden="1" w:unhideWhenUsed="1"/>
    <w:lsdException w:name="TOC Heading" w:semiHidden="1" w:unhideWhenUsed="1"/>
    <w:lsdException w:name="Grid Table 1 Light" w:uiPriority="4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rsid w:val="00153133"/>
    <w:pPr>
      <w:spacing w:after="0" w:line="276" w:lineRule="auto"/>
    </w:pPr>
    <w:rPr>
      <w:lang w:val="de-CH"/>
    </w:rPr>
  </w:style>
  <w:style w:type="paragraph" w:styleId="berschrift1">
    <w:name w:val="heading 1"/>
    <w:basedOn w:val="Standard"/>
    <w:next w:val="Textkrper"/>
    <w:uiPriority w:val="1"/>
    <w:qFormat/>
    <w:rsid w:val="009E5005"/>
    <w:pPr>
      <w:keepNext/>
      <w:keepLines/>
      <w:spacing w:before="360" w:after="60"/>
      <w:contextualSpacing/>
      <w:outlineLvl w:val="0"/>
    </w:pPr>
    <w:rPr>
      <w:rFonts w:eastAsiaTheme="majorEastAsia" w:cs="Open Sans SemiCondensed"/>
      <w:b/>
      <w:bCs/>
      <w:color w:val="000000" w:themeColor="text1"/>
      <w:sz w:val="24"/>
      <w:szCs w:val="32"/>
    </w:rPr>
  </w:style>
  <w:style w:type="paragraph" w:styleId="berschrift2">
    <w:name w:val="heading 2"/>
    <w:basedOn w:val="Standard"/>
    <w:next w:val="Textkrper"/>
    <w:link w:val="berschrift2Zchn"/>
    <w:uiPriority w:val="9"/>
    <w:qFormat/>
    <w:rsid w:val="00855097"/>
    <w:pPr>
      <w:keepNext/>
      <w:keepLines/>
      <w:spacing w:before="240" w:after="60"/>
      <w:outlineLvl w:val="1"/>
    </w:pPr>
    <w:rPr>
      <w:rFonts w:eastAsiaTheme="majorEastAsia" w:cs="Open Sans SemiCondensed"/>
      <w:b/>
      <w:bCs/>
      <w:szCs w:val="24"/>
    </w:rPr>
  </w:style>
  <w:style w:type="paragraph" w:styleId="berschrift3">
    <w:name w:val="heading 3"/>
    <w:basedOn w:val="Standard"/>
    <w:next w:val="Textkrper"/>
    <w:uiPriority w:val="9"/>
    <w:qFormat/>
    <w:rsid w:val="009E5005"/>
    <w:pPr>
      <w:keepNext/>
      <w:keepLines/>
      <w:spacing w:before="120" w:after="60"/>
      <w:outlineLvl w:val="2"/>
    </w:pPr>
    <w:rPr>
      <w:rFonts w:eastAsiaTheme="majorEastAsia" w:cs="Open Sans SemiCondensed"/>
      <w:bCs/>
      <w:i/>
    </w:rPr>
  </w:style>
  <w:style w:type="paragraph" w:styleId="berschrift4">
    <w:name w:val="heading 4"/>
    <w:basedOn w:val="Standard"/>
    <w:next w:val="Textkrper"/>
    <w:uiPriority w:val="9"/>
    <w:unhideWhenUsed/>
    <w:rsid w:val="00153133"/>
    <w:pPr>
      <w:keepNext/>
      <w:keepLines/>
      <w:numPr>
        <w:ilvl w:val="3"/>
        <w:numId w:val="40"/>
      </w:numPr>
      <w:spacing w:before="200"/>
      <w:outlineLvl w:val="3"/>
    </w:pPr>
    <w:rPr>
      <w:rFonts w:eastAsiaTheme="majorEastAsia" w:cstheme="majorBidi"/>
      <w:bCs/>
      <w:i/>
      <w:sz w:val="24"/>
    </w:rPr>
  </w:style>
  <w:style w:type="paragraph" w:styleId="berschrift5">
    <w:name w:val="heading 5"/>
    <w:basedOn w:val="Standard"/>
    <w:next w:val="Textkrper"/>
    <w:uiPriority w:val="9"/>
    <w:unhideWhenUsed/>
    <w:rsid w:val="00153133"/>
    <w:pPr>
      <w:keepNext/>
      <w:keepLines/>
      <w:numPr>
        <w:ilvl w:val="4"/>
        <w:numId w:val="40"/>
      </w:numPr>
      <w:spacing w:before="200"/>
      <w:outlineLvl w:val="4"/>
    </w:pPr>
    <w:rPr>
      <w:rFonts w:eastAsiaTheme="majorEastAsia" w:cstheme="majorBidi"/>
      <w:iCs/>
      <w:sz w:val="24"/>
    </w:rPr>
  </w:style>
  <w:style w:type="paragraph" w:styleId="berschrift6">
    <w:name w:val="heading 6"/>
    <w:basedOn w:val="Standard"/>
    <w:next w:val="Textkrper"/>
    <w:uiPriority w:val="9"/>
    <w:unhideWhenUsed/>
    <w:rsid w:val="00153133"/>
    <w:pPr>
      <w:keepNext/>
      <w:keepLines/>
      <w:numPr>
        <w:ilvl w:val="5"/>
        <w:numId w:val="40"/>
      </w:numPr>
      <w:spacing w:before="200"/>
      <w:outlineLvl w:val="5"/>
    </w:pPr>
    <w:rPr>
      <w:rFonts w:eastAsiaTheme="majorEastAsia" w:cstheme="majorBidi"/>
      <w:sz w:val="24"/>
    </w:rPr>
  </w:style>
  <w:style w:type="paragraph" w:styleId="berschrift7">
    <w:name w:val="heading 7"/>
    <w:basedOn w:val="Standard"/>
    <w:next w:val="Textkrper"/>
    <w:uiPriority w:val="9"/>
    <w:unhideWhenUsed/>
    <w:rsid w:val="00153133"/>
    <w:pPr>
      <w:keepNext/>
      <w:keepLines/>
      <w:numPr>
        <w:ilvl w:val="6"/>
        <w:numId w:val="40"/>
      </w:numPr>
      <w:spacing w:before="200"/>
      <w:outlineLvl w:val="6"/>
    </w:pPr>
    <w:rPr>
      <w:rFonts w:eastAsiaTheme="majorEastAsia" w:cstheme="majorBidi"/>
      <w:sz w:val="24"/>
    </w:rPr>
  </w:style>
  <w:style w:type="paragraph" w:styleId="berschrift8">
    <w:name w:val="heading 8"/>
    <w:basedOn w:val="Standard"/>
    <w:next w:val="Textkrper"/>
    <w:uiPriority w:val="9"/>
    <w:unhideWhenUsed/>
    <w:rsid w:val="00153133"/>
    <w:pPr>
      <w:keepNext/>
      <w:keepLines/>
      <w:numPr>
        <w:ilvl w:val="7"/>
        <w:numId w:val="40"/>
      </w:numPr>
      <w:spacing w:before="200"/>
      <w:outlineLvl w:val="7"/>
    </w:pPr>
    <w:rPr>
      <w:rFonts w:eastAsiaTheme="majorEastAsia" w:cstheme="majorBidi"/>
      <w:sz w:val="24"/>
    </w:rPr>
  </w:style>
  <w:style w:type="paragraph" w:styleId="berschrift9">
    <w:name w:val="heading 9"/>
    <w:basedOn w:val="Standard"/>
    <w:next w:val="Textkrper"/>
    <w:uiPriority w:val="9"/>
    <w:unhideWhenUsed/>
    <w:rsid w:val="00153133"/>
    <w:pPr>
      <w:keepNext/>
      <w:keepLines/>
      <w:numPr>
        <w:ilvl w:val="8"/>
        <w:numId w:val="40"/>
      </w:numPr>
      <w:spacing w:before="200"/>
      <w:outlineLvl w:val="8"/>
    </w:pPr>
    <w:rPr>
      <w:rFonts w:eastAsiaTheme="majorEastAsia" w:cstheme="majorBidi"/>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qFormat/>
    <w:rsid w:val="007F5E1D"/>
    <w:pPr>
      <w:spacing w:before="60" w:after="60"/>
      <w:ind w:firstLine="170"/>
      <w:jc w:val="both"/>
    </w:pPr>
  </w:style>
  <w:style w:type="paragraph" w:customStyle="1" w:styleId="FirstParagraph">
    <w:name w:val="First Paragraph"/>
    <w:basedOn w:val="Textkrper"/>
    <w:next w:val="Textkrper"/>
  </w:style>
  <w:style w:type="paragraph" w:customStyle="1" w:styleId="Compact">
    <w:name w:val="Compact"/>
    <w:basedOn w:val="Textkrper2"/>
    <w:pPr>
      <w:spacing w:before="36" w:after="36"/>
    </w:pPr>
  </w:style>
  <w:style w:type="paragraph" w:styleId="Titel">
    <w:name w:val="Title"/>
    <w:basedOn w:val="Standard"/>
    <w:next w:val="Textkrper"/>
    <w:qFormat/>
    <w:rsid w:val="003D502F"/>
    <w:pPr>
      <w:keepNext/>
      <w:keepLines/>
      <w:spacing w:line="240" w:lineRule="auto"/>
    </w:pPr>
    <w:rPr>
      <w:rFonts w:eastAsiaTheme="majorEastAsia" w:cstheme="majorBidi"/>
      <w:b/>
      <w:bCs/>
      <w:color w:val="D31932" w:themeColor="accent1"/>
      <w:spacing w:val="20"/>
      <w:sz w:val="28"/>
      <w:szCs w:val="28"/>
    </w:rPr>
  </w:style>
  <w:style w:type="paragraph" w:styleId="Untertitel">
    <w:name w:val="Subtitle"/>
    <w:basedOn w:val="Titel"/>
    <w:next w:val="Textkrper"/>
    <w:link w:val="UntertitelZchn"/>
    <w:qFormat/>
    <w:rsid w:val="00EF7CFB"/>
    <w:pPr>
      <w:spacing w:before="120" w:after="120"/>
    </w:pPr>
    <w:rPr>
      <w:b w:val="0"/>
      <w:color w:val="auto"/>
      <w:sz w:val="24"/>
      <w:szCs w:val="30"/>
    </w:rPr>
  </w:style>
  <w:style w:type="paragraph" w:customStyle="1" w:styleId="Author">
    <w:name w:val="Author"/>
    <w:basedOn w:val="Standard"/>
    <w:next w:val="Textkrper"/>
    <w:qFormat/>
    <w:rsid w:val="000352CE"/>
    <w:pPr>
      <w:keepNext/>
      <w:keepLines/>
      <w:spacing w:after="240"/>
    </w:pPr>
    <w:rPr>
      <w:szCs w:val="18"/>
      <w:lang w:val="fr-CH"/>
    </w:rPr>
  </w:style>
  <w:style w:type="paragraph" w:styleId="Datum">
    <w:name w:val="Date"/>
    <w:next w:val="Textkrper"/>
    <w:pPr>
      <w:keepNext/>
      <w:keepLines/>
      <w:jc w:val="center"/>
    </w:pPr>
  </w:style>
  <w:style w:type="paragraph" w:customStyle="1" w:styleId="Abstract">
    <w:name w:val="Abstract"/>
    <w:basedOn w:val="Standard"/>
    <w:next w:val="Textkrper"/>
    <w:qFormat/>
    <w:rsid w:val="00855097"/>
    <w:pPr>
      <w:keepNext/>
      <w:keepLines/>
      <w:spacing w:after="240"/>
      <w:jc w:val="both"/>
    </w:pPr>
    <w:rPr>
      <w:i/>
    </w:rPr>
  </w:style>
  <w:style w:type="paragraph" w:styleId="Literaturverzeichnis">
    <w:name w:val="Bibliography"/>
    <w:basedOn w:val="Standard"/>
    <w:qFormat/>
    <w:rsid w:val="00CF788D"/>
    <w:pPr>
      <w:ind w:left="567" w:hanging="567"/>
    </w:pPr>
  </w:style>
  <w:style w:type="paragraph" w:styleId="Blocktext">
    <w:name w:val="Block Text"/>
    <w:basedOn w:val="Textkrper"/>
    <w:next w:val="Textkrper"/>
    <w:uiPriority w:val="9"/>
    <w:unhideWhenUsed/>
    <w:pPr>
      <w:spacing w:before="100" w:after="100"/>
      <w:ind w:left="480" w:right="480"/>
    </w:pPr>
  </w:style>
  <w:style w:type="paragraph" w:styleId="Funotentext">
    <w:name w:val="footnote text"/>
    <w:basedOn w:val="Standard"/>
    <w:link w:val="FunotentextZchn"/>
    <w:uiPriority w:val="99"/>
    <w:unhideWhenUsed/>
    <w:qFormat/>
    <w:rsid w:val="007B4390"/>
    <w:rPr>
      <w:sz w:val="18"/>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Standard"/>
    <w:next w:val="Definition"/>
    <w:pPr>
      <w:keepNext/>
      <w:keepLines/>
    </w:pPr>
    <w:rPr>
      <w:b/>
    </w:rPr>
  </w:style>
  <w:style w:type="paragraph" w:customStyle="1" w:styleId="Definition">
    <w:name w:val="Definition"/>
    <w:basedOn w:val="Standard"/>
  </w:style>
  <w:style w:type="paragraph" w:customStyle="1" w:styleId="AbbildungBeschriftung">
    <w:name w:val="Abbildung Beschriftung"/>
    <w:basedOn w:val="TabelleBeschriftung"/>
    <w:qFormat/>
    <w:rsid w:val="0047168D"/>
    <w:rPr>
      <w:lang w:val="fr-CH"/>
    </w:rPr>
  </w:style>
  <w:style w:type="paragraph" w:customStyle="1" w:styleId="NotizTabelle">
    <w:name w:val="Notiz Tabelle"/>
    <w:basedOn w:val="Standard"/>
    <w:qFormat/>
    <w:rsid w:val="00577261"/>
    <w:pPr>
      <w:keepNext/>
      <w:spacing w:before="60" w:after="180" w:line="240" w:lineRule="auto"/>
    </w:pPr>
    <w:rPr>
      <w:iCs/>
      <w:sz w:val="16"/>
    </w:rPr>
  </w:style>
  <w:style w:type="paragraph" w:customStyle="1" w:styleId="NotizAbbildung">
    <w:name w:val="Notiz Abbildung"/>
    <w:basedOn w:val="NotizTabelle"/>
    <w:qFormat/>
    <w:rsid w:val="006B5540"/>
  </w:style>
  <w:style w:type="paragraph" w:customStyle="1" w:styleId="Figure">
    <w:name w:val="Figure"/>
    <w:basedOn w:val="Standard"/>
  </w:style>
  <w:style w:type="character" w:styleId="Funotenzeichen">
    <w:name w:val="footnote reference"/>
    <w:basedOn w:val="Absatz-Standardschriftart"/>
    <w:uiPriority w:val="99"/>
    <w:rsid w:val="00EF7CFB"/>
    <w:rPr>
      <w:rFonts w:ascii="Open Sans SemiCondensed" w:hAnsi="Open Sans SemiCondensed"/>
      <w:b w:val="0"/>
      <w:bCs/>
      <w:i w:val="0"/>
      <w:iCs/>
      <w:color w:val="auto"/>
      <w:sz w:val="20"/>
      <w:vertAlign w:val="superscript"/>
    </w:rPr>
  </w:style>
  <w:style w:type="character" w:styleId="Hyperlink">
    <w:name w:val="Hyperlink"/>
    <w:basedOn w:val="FunotentextZchn"/>
    <w:rsid w:val="003D502F"/>
    <w:rPr>
      <w:rFonts w:ascii="Open Sans SemiCondensed" w:hAnsi="Open Sans SemiCondensed"/>
      <w:b w:val="0"/>
      <w:bCs/>
      <w:i w:val="0"/>
      <w:iCs/>
      <w:color w:val="D31932" w:themeColor="accent1"/>
      <w:spacing w:val="-4"/>
      <w:sz w:val="20"/>
      <w:lang w:val="de-CH"/>
    </w:rPr>
  </w:style>
  <w:style w:type="paragraph" w:styleId="Inhaltsverzeichnisberschrift">
    <w:name w:val="TOC Heading"/>
    <w:basedOn w:val="berschrift1"/>
    <w:next w:val="Textkrper"/>
    <w:uiPriority w:val="39"/>
    <w:unhideWhenUsed/>
    <w:rsid w:val="00024143"/>
    <w:pPr>
      <w:spacing w:line="259" w:lineRule="auto"/>
      <w:outlineLvl w:val="9"/>
    </w:pPr>
    <w:rPr>
      <w:bCs w:val="0"/>
      <w:color w:val="auto"/>
    </w:rPr>
  </w:style>
  <w:style w:type="paragraph" w:styleId="Kopfzeile">
    <w:name w:val="header"/>
    <w:basedOn w:val="Standard"/>
    <w:link w:val="KopfzeileZchn"/>
    <w:unhideWhenUsed/>
    <w:rsid w:val="004B3A29"/>
    <w:pPr>
      <w:tabs>
        <w:tab w:val="center" w:pos="4513"/>
        <w:tab w:val="right" w:pos="9026"/>
      </w:tabs>
    </w:pPr>
  </w:style>
  <w:style w:type="character" w:customStyle="1" w:styleId="TextkrperZchn">
    <w:name w:val="Textkörper Zchn"/>
    <w:basedOn w:val="Absatz-Standardschriftart"/>
    <w:link w:val="Textkrper"/>
    <w:rsid w:val="007F5E1D"/>
  </w:style>
  <w:style w:type="character" w:customStyle="1" w:styleId="KopfzeileZchn">
    <w:name w:val="Kopfzeile Zchn"/>
    <w:basedOn w:val="Absatz-Standardschriftart"/>
    <w:link w:val="Kopfzeile"/>
    <w:rsid w:val="004B3A29"/>
    <w:rPr>
      <w:rFonts w:ascii="Open Sans SemiCondensed" w:hAnsi="Open Sans SemiCondensed"/>
      <w:sz w:val="20"/>
    </w:rPr>
  </w:style>
  <w:style w:type="paragraph" w:styleId="Fuzeile">
    <w:name w:val="footer"/>
    <w:basedOn w:val="Standard"/>
    <w:link w:val="FuzeileZchn"/>
    <w:unhideWhenUsed/>
    <w:rsid w:val="007B448B"/>
    <w:pPr>
      <w:tabs>
        <w:tab w:val="center" w:pos="4513"/>
        <w:tab w:val="right" w:pos="9026"/>
      </w:tabs>
    </w:pPr>
    <w:rPr>
      <w:sz w:val="18"/>
    </w:rPr>
  </w:style>
  <w:style w:type="character" w:customStyle="1" w:styleId="FuzeileZchn">
    <w:name w:val="Fußzeile Zchn"/>
    <w:basedOn w:val="Absatz-Standardschriftart"/>
    <w:link w:val="Fuzeile"/>
    <w:rsid w:val="007B448B"/>
    <w:rPr>
      <w:rFonts w:ascii="Open Sans SemiCondensed" w:hAnsi="Open Sans SemiCondensed"/>
      <w:spacing w:val="-4"/>
      <w:sz w:val="18"/>
    </w:rPr>
  </w:style>
  <w:style w:type="paragraph" w:customStyle="1" w:styleId="Themenschwerpunkt">
    <w:name w:val="Themenschwerpunkt"/>
    <w:basedOn w:val="Kopfzeile"/>
    <w:link w:val="ThemenschwerpunktZchn"/>
    <w:rsid w:val="00CC1689"/>
    <w:pPr>
      <w:tabs>
        <w:tab w:val="clear" w:pos="4513"/>
        <w:tab w:val="clear" w:pos="9026"/>
        <w:tab w:val="center" w:pos="4536"/>
        <w:tab w:val="right" w:pos="9072"/>
      </w:tabs>
      <w:spacing w:line="240" w:lineRule="auto"/>
      <w:jc w:val="both"/>
    </w:pPr>
    <w:rPr>
      <w:b/>
      <w:noProof/>
      <w:spacing w:val="0"/>
      <w:sz w:val="14"/>
      <w:szCs w:val="22"/>
      <w:lang w:val="de-DE"/>
    </w:rPr>
  </w:style>
  <w:style w:type="character" w:customStyle="1" w:styleId="ThemenschwerpunktZchn">
    <w:name w:val="Themenschwerpunkt Zchn"/>
    <w:basedOn w:val="KopfzeileZchn"/>
    <w:link w:val="Themenschwerpunkt"/>
    <w:rsid w:val="00CC1689"/>
    <w:rPr>
      <w:rFonts w:ascii="Open Sans SemiCondensed" w:hAnsi="Open Sans SemiCondensed"/>
      <w:b/>
      <w:noProof/>
      <w:spacing w:val="0"/>
      <w:sz w:val="14"/>
      <w:szCs w:val="22"/>
      <w:lang w:val="de-DE"/>
    </w:rPr>
  </w:style>
  <w:style w:type="paragraph" w:styleId="Textkrper2">
    <w:name w:val="Body Text 2"/>
    <w:basedOn w:val="Textkrper"/>
    <w:link w:val="Textkrper2Zchn"/>
    <w:rsid w:val="007F5E1D"/>
    <w:pPr>
      <w:ind w:firstLine="0"/>
    </w:pPr>
  </w:style>
  <w:style w:type="character" w:customStyle="1" w:styleId="Textkrper2Zchn">
    <w:name w:val="Textkörper 2 Zchn"/>
    <w:basedOn w:val="Absatz-Standardschriftart"/>
    <w:link w:val="Textkrper2"/>
    <w:rsid w:val="007F5E1D"/>
  </w:style>
  <w:style w:type="paragraph" w:styleId="Textkrper3">
    <w:name w:val="Body Text 3"/>
    <w:basedOn w:val="Textkrper"/>
    <w:link w:val="Textkrper3Zchn"/>
    <w:autoRedefine/>
    <w:rsid w:val="007B4390"/>
    <w:pPr>
      <w:spacing w:before="0" w:after="0"/>
      <w:ind w:firstLine="0"/>
      <w:jc w:val="left"/>
    </w:pPr>
  </w:style>
  <w:style w:type="character" w:customStyle="1" w:styleId="Textkrper3Zchn">
    <w:name w:val="Textkörper 3 Zchn"/>
    <w:basedOn w:val="Absatz-Standardschriftart"/>
    <w:link w:val="Textkrper3"/>
    <w:rsid w:val="007B4390"/>
    <w:rPr>
      <w:lang w:val="de-CH"/>
    </w:rPr>
  </w:style>
  <w:style w:type="paragraph" w:customStyle="1" w:styleId="TabelleBeschriftung">
    <w:name w:val="Tabelle Beschriftung"/>
    <w:basedOn w:val="Standard"/>
    <w:qFormat/>
    <w:rsid w:val="003D502F"/>
    <w:pPr>
      <w:keepNext/>
      <w:spacing w:before="120" w:after="120" w:line="240" w:lineRule="auto"/>
    </w:pPr>
    <w:rPr>
      <w:bCs/>
      <w:i/>
      <w:iCs/>
      <w:color w:val="D31932" w:themeColor="accent1"/>
    </w:rPr>
  </w:style>
  <w:style w:type="paragraph" w:styleId="Liste">
    <w:name w:val="List"/>
    <w:basedOn w:val="Standard"/>
    <w:unhideWhenUsed/>
    <w:qFormat/>
    <w:rsid w:val="00ED473A"/>
    <w:pPr>
      <w:numPr>
        <w:numId w:val="17"/>
      </w:numPr>
      <w:ind w:left="454" w:hanging="284"/>
      <w:contextualSpacing/>
    </w:pPr>
  </w:style>
  <w:style w:type="paragraph" w:styleId="Liste2">
    <w:name w:val="List 2"/>
    <w:basedOn w:val="Standard"/>
    <w:unhideWhenUsed/>
    <w:rsid w:val="00ED473A"/>
    <w:pPr>
      <w:numPr>
        <w:ilvl w:val="1"/>
        <w:numId w:val="17"/>
      </w:numPr>
      <w:ind w:left="794" w:hanging="284"/>
      <w:contextualSpacing/>
    </w:pPr>
  </w:style>
  <w:style w:type="paragraph" w:styleId="Liste3">
    <w:name w:val="List 3"/>
    <w:basedOn w:val="Standard"/>
    <w:unhideWhenUsed/>
    <w:rsid w:val="00ED473A"/>
    <w:pPr>
      <w:numPr>
        <w:ilvl w:val="2"/>
        <w:numId w:val="17"/>
      </w:numPr>
      <w:ind w:left="1135" w:hanging="284"/>
      <w:contextualSpacing/>
    </w:pPr>
  </w:style>
  <w:style w:type="paragraph" w:styleId="Index1">
    <w:name w:val="index 1"/>
    <w:basedOn w:val="Standard"/>
    <w:next w:val="Standard"/>
    <w:autoRedefine/>
    <w:rsid w:val="00571C0D"/>
    <w:pPr>
      <w:spacing w:line="240" w:lineRule="auto"/>
      <w:ind w:left="200" w:hanging="200"/>
    </w:pPr>
  </w:style>
  <w:style w:type="character" w:styleId="Erwhnung">
    <w:name w:val="Mention"/>
    <w:basedOn w:val="Absatz-Standardschriftart"/>
    <w:uiPriority w:val="99"/>
    <w:unhideWhenUsed/>
    <w:rsid w:val="00EA4676"/>
    <w:rPr>
      <w:color w:val="2B579A"/>
      <w:shd w:val="clear" w:color="auto" w:fill="E1DFDD"/>
    </w:rPr>
  </w:style>
  <w:style w:type="character" w:styleId="Fett">
    <w:name w:val="Strong"/>
    <w:basedOn w:val="Absatz-Standardschriftart"/>
    <w:rsid w:val="00EA4676"/>
    <w:rPr>
      <w:b/>
      <w:bCs/>
    </w:rPr>
  </w:style>
  <w:style w:type="character" w:customStyle="1" w:styleId="FunotentextZchn">
    <w:name w:val="Fußnotentext Zchn"/>
    <w:basedOn w:val="Absatz-Standardschriftart"/>
    <w:link w:val="Funotentext"/>
    <w:uiPriority w:val="99"/>
    <w:rsid w:val="007B4390"/>
    <w:rPr>
      <w:sz w:val="18"/>
      <w:lang w:val="de-CH"/>
    </w:rPr>
  </w:style>
  <w:style w:type="table" w:styleId="Gitternetztabelle1hell">
    <w:name w:val="Grid Table 1 Light"/>
    <w:basedOn w:val="NormaleTabelle"/>
    <w:uiPriority w:val="46"/>
    <w:rsid w:val="00D614DC"/>
    <w:pPr>
      <w:spacing w:after="0"/>
    </w:pPr>
    <w:rPr>
      <w:sz w:val="22"/>
      <w:szCs w:val="22"/>
      <w:lang w:val="de-CH"/>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NichtaufgelsteErwhnung">
    <w:name w:val="Unresolved Mention"/>
    <w:basedOn w:val="Absatz-Standardschriftart"/>
    <w:uiPriority w:val="99"/>
    <w:semiHidden/>
    <w:unhideWhenUsed/>
    <w:rsid w:val="00853805"/>
    <w:rPr>
      <w:color w:val="605E5C"/>
      <w:shd w:val="clear" w:color="auto" w:fill="E1DFDD"/>
    </w:rPr>
  </w:style>
  <w:style w:type="character" w:styleId="Kommentarzeichen">
    <w:name w:val="annotation reference"/>
    <w:basedOn w:val="Absatz-Standardschriftart"/>
    <w:uiPriority w:val="99"/>
    <w:semiHidden/>
    <w:unhideWhenUsed/>
    <w:rsid w:val="00D02DE1"/>
    <w:rPr>
      <w:sz w:val="16"/>
      <w:szCs w:val="16"/>
    </w:rPr>
  </w:style>
  <w:style w:type="paragraph" w:styleId="Kommentartext">
    <w:name w:val="annotation text"/>
    <w:basedOn w:val="Standard"/>
    <w:link w:val="KommentartextZchn"/>
    <w:uiPriority w:val="99"/>
    <w:unhideWhenUsed/>
    <w:rsid w:val="00D02DE1"/>
    <w:pPr>
      <w:spacing w:line="240" w:lineRule="auto"/>
    </w:pPr>
  </w:style>
  <w:style w:type="character" w:customStyle="1" w:styleId="KommentartextZchn">
    <w:name w:val="Kommentartext Zchn"/>
    <w:basedOn w:val="Absatz-Standardschriftart"/>
    <w:link w:val="Kommentartext"/>
    <w:uiPriority w:val="99"/>
    <w:rsid w:val="00D02DE1"/>
    <w:rPr>
      <w:rFonts w:ascii="Open Sans SemiCondensed" w:hAnsi="Open Sans SemiCondensed"/>
      <w:sz w:val="20"/>
      <w:szCs w:val="20"/>
    </w:rPr>
  </w:style>
  <w:style w:type="character" w:customStyle="1" w:styleId="UntertitelZchn">
    <w:name w:val="Untertitel Zchn"/>
    <w:basedOn w:val="Absatz-Standardschriftart"/>
    <w:link w:val="Untertitel"/>
    <w:rsid w:val="00EF7CFB"/>
    <w:rPr>
      <w:rFonts w:ascii="Open Sans SemiCondensed" w:eastAsiaTheme="majorEastAsia" w:hAnsi="Open Sans SemiCondensed" w:cstheme="majorBidi"/>
      <w:bCs/>
      <w:spacing w:val="20"/>
      <w:szCs w:val="30"/>
    </w:rPr>
  </w:style>
  <w:style w:type="table" w:styleId="Tabellenraster">
    <w:name w:val="Table Grid"/>
    <w:basedOn w:val="NormaleTabelle"/>
    <w:rsid w:val="006B554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rvorhebung1">
    <w:name w:val="Hervorhebung1"/>
    <w:basedOn w:val="Standard"/>
    <w:link w:val="HervorhebungCar"/>
    <w:qFormat/>
    <w:rsid w:val="003D502F"/>
    <w:rPr>
      <w:bCs/>
      <w:i/>
      <w:color w:val="D31932" w:themeColor="accent1"/>
      <w:spacing w:val="10"/>
      <w:szCs w:val="22"/>
    </w:rPr>
  </w:style>
  <w:style w:type="character" w:customStyle="1" w:styleId="HervorhebungCar">
    <w:name w:val="Hervorhebung Car"/>
    <w:basedOn w:val="Absatz-Standardschriftart"/>
    <w:link w:val="Hervorhebung1"/>
    <w:rsid w:val="003D502F"/>
    <w:rPr>
      <w:bCs/>
      <w:i/>
      <w:color w:val="D31932" w:themeColor="accent1"/>
      <w:spacing w:val="10"/>
      <w:szCs w:val="22"/>
    </w:rPr>
  </w:style>
  <w:style w:type="paragraph" w:customStyle="1" w:styleId="Zitat1">
    <w:name w:val="Zitat1"/>
    <w:basedOn w:val="Standard"/>
    <w:next w:val="Textkrper"/>
    <w:qFormat/>
    <w:rsid w:val="00157D7E"/>
    <w:pPr>
      <w:spacing w:before="120" w:after="240"/>
      <w:ind w:left="284" w:right="567"/>
      <w:jc w:val="both"/>
    </w:pPr>
    <w:rPr>
      <w:i/>
      <w:iCs/>
      <w:noProof/>
      <w:color w:val="262626" w:themeColor="text1" w:themeTint="D9"/>
    </w:rPr>
  </w:style>
  <w:style w:type="paragraph" w:styleId="Kommentarthema">
    <w:name w:val="annotation subject"/>
    <w:basedOn w:val="Kommentartext"/>
    <w:next w:val="Kommentartext"/>
    <w:link w:val="KommentarthemaZchn"/>
    <w:semiHidden/>
    <w:unhideWhenUsed/>
    <w:rsid w:val="000302CB"/>
    <w:rPr>
      <w:b/>
      <w:bCs/>
    </w:rPr>
  </w:style>
  <w:style w:type="character" w:customStyle="1" w:styleId="KommentarthemaZchn">
    <w:name w:val="Kommentarthema Zchn"/>
    <w:basedOn w:val="KommentartextZchn"/>
    <w:link w:val="Kommentarthema"/>
    <w:semiHidden/>
    <w:rsid w:val="000302CB"/>
    <w:rPr>
      <w:rFonts w:ascii="Open Sans SemiCondensed" w:hAnsi="Open Sans SemiCondensed"/>
      <w:b/>
      <w:bCs/>
      <w:spacing w:val="-4"/>
      <w:sz w:val="20"/>
      <w:szCs w:val="20"/>
    </w:rPr>
  </w:style>
  <w:style w:type="paragraph" w:styleId="Listennummer">
    <w:name w:val="List Number"/>
    <w:basedOn w:val="Standard"/>
    <w:unhideWhenUsed/>
    <w:qFormat/>
    <w:rsid w:val="00ED473A"/>
    <w:pPr>
      <w:numPr>
        <w:numId w:val="21"/>
      </w:numPr>
      <w:ind w:left="527" w:hanging="357"/>
      <w:contextualSpacing/>
    </w:pPr>
    <w:rPr>
      <w:lang w:val="fr-CH"/>
    </w:rPr>
  </w:style>
  <w:style w:type="character" w:styleId="HTMLTastatur">
    <w:name w:val="HTML Keyboard"/>
    <w:basedOn w:val="Absatz-Standardschriftart"/>
    <w:semiHidden/>
    <w:unhideWhenUsed/>
    <w:rsid w:val="00120CBF"/>
    <w:rPr>
      <w:rFonts w:ascii="Open Sans SemiCondensed" w:hAnsi="Open Sans SemiCondensed"/>
      <w:sz w:val="20"/>
      <w:szCs w:val="20"/>
    </w:rPr>
  </w:style>
  <w:style w:type="character" w:styleId="HTMLCode">
    <w:name w:val="HTML Code"/>
    <w:basedOn w:val="Absatz-Standardschriftart"/>
    <w:semiHidden/>
    <w:unhideWhenUsed/>
    <w:rsid w:val="00120CBF"/>
    <w:rPr>
      <w:rFonts w:ascii="Open Sans SemiCondensed" w:hAnsi="Open Sans SemiCondensed"/>
      <w:sz w:val="20"/>
      <w:szCs w:val="20"/>
    </w:rPr>
  </w:style>
  <w:style w:type="paragraph" w:styleId="Dokumentstruktur">
    <w:name w:val="Document Map"/>
    <w:basedOn w:val="Standard"/>
    <w:link w:val="DokumentstrukturZchn"/>
    <w:semiHidden/>
    <w:unhideWhenUsed/>
    <w:rsid w:val="00120CBF"/>
    <w:pPr>
      <w:spacing w:line="240" w:lineRule="auto"/>
    </w:pPr>
    <w:rPr>
      <w:sz w:val="16"/>
      <w:szCs w:val="16"/>
    </w:rPr>
  </w:style>
  <w:style w:type="character" w:customStyle="1" w:styleId="DokumentstrukturZchn">
    <w:name w:val="Dokumentstruktur Zchn"/>
    <w:basedOn w:val="Absatz-Standardschriftart"/>
    <w:link w:val="Dokumentstruktur"/>
    <w:semiHidden/>
    <w:rsid w:val="00120CBF"/>
    <w:rPr>
      <w:rFonts w:ascii="Open Sans SemiCondensed" w:hAnsi="Open Sans SemiCondensed"/>
      <w:spacing w:val="-4"/>
      <w:sz w:val="16"/>
      <w:szCs w:val="16"/>
    </w:rPr>
  </w:style>
  <w:style w:type="character" w:styleId="HTMLBeispiel">
    <w:name w:val="HTML Sample"/>
    <w:basedOn w:val="Absatz-Standardschriftart"/>
    <w:semiHidden/>
    <w:unhideWhenUsed/>
    <w:rsid w:val="00120CBF"/>
    <w:rPr>
      <w:rFonts w:ascii="Open Sans SemiCondensed" w:hAnsi="Open Sans SemiCondensed"/>
      <w:sz w:val="24"/>
      <w:szCs w:val="24"/>
    </w:rPr>
  </w:style>
  <w:style w:type="table" w:styleId="MittlereListe2">
    <w:name w:val="Medium List 2"/>
    <w:basedOn w:val="NormaleTabelle"/>
    <w:semiHidden/>
    <w:unhideWhenUsed/>
    <w:rsid w:val="00120CBF"/>
    <w:pPr>
      <w:spacing w:after="0"/>
    </w:pPr>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semiHidden/>
    <w:unhideWhenUsed/>
    <w:rsid w:val="00120CBF"/>
    <w:pPr>
      <w:spacing w:after="0"/>
    </w:pPr>
    <w:rPr>
      <w:rFonts w:eastAsiaTheme="majorEastAsia" w:cstheme="majorBidi"/>
      <w:color w:val="000000" w:themeColor="text1"/>
    </w:rPr>
    <w:tblPr>
      <w:tblStyleRowBandSize w:val="1"/>
      <w:tblStyleColBandSize w:val="1"/>
      <w:tblBorders>
        <w:top w:val="single" w:sz="8" w:space="0" w:color="D31932" w:themeColor="accent1"/>
        <w:left w:val="single" w:sz="8" w:space="0" w:color="D31932" w:themeColor="accent1"/>
        <w:bottom w:val="single" w:sz="8" w:space="0" w:color="D31932" w:themeColor="accent1"/>
        <w:right w:val="single" w:sz="8" w:space="0" w:color="D31932" w:themeColor="accent1"/>
      </w:tblBorders>
    </w:tblPr>
    <w:tblStylePr w:type="firstRow">
      <w:rPr>
        <w:sz w:val="24"/>
        <w:szCs w:val="24"/>
      </w:rPr>
      <w:tblPr/>
      <w:tcPr>
        <w:tcBorders>
          <w:top w:val="nil"/>
          <w:left w:val="nil"/>
          <w:bottom w:val="single" w:sz="24" w:space="0" w:color="D31932" w:themeColor="accent1"/>
          <w:right w:val="nil"/>
          <w:insideH w:val="nil"/>
          <w:insideV w:val="nil"/>
        </w:tcBorders>
        <w:shd w:val="clear" w:color="auto" w:fill="FFFFFF" w:themeFill="background1"/>
      </w:tcPr>
    </w:tblStylePr>
    <w:tblStylePr w:type="lastRow">
      <w:tblPr/>
      <w:tcPr>
        <w:tcBorders>
          <w:top w:val="single" w:sz="8" w:space="0" w:color="D3193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31932" w:themeColor="accent1"/>
          <w:insideH w:val="nil"/>
          <w:insideV w:val="nil"/>
        </w:tcBorders>
        <w:shd w:val="clear" w:color="auto" w:fill="FFFFFF" w:themeFill="background1"/>
      </w:tcPr>
    </w:tblStylePr>
    <w:tblStylePr w:type="lastCol">
      <w:tblPr/>
      <w:tcPr>
        <w:tcBorders>
          <w:top w:val="nil"/>
          <w:left w:val="single" w:sz="8" w:space="0" w:color="D3193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C2C9" w:themeFill="accent1" w:themeFillTint="3F"/>
      </w:tcPr>
    </w:tblStylePr>
    <w:tblStylePr w:type="band1Horz">
      <w:tblPr/>
      <w:tcPr>
        <w:tcBorders>
          <w:top w:val="nil"/>
          <w:bottom w:val="nil"/>
          <w:insideH w:val="nil"/>
          <w:insideV w:val="nil"/>
        </w:tcBorders>
        <w:shd w:val="clear" w:color="auto" w:fill="F7C2C9"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Umschlagadresse">
    <w:name w:val="envelope address"/>
    <w:basedOn w:val="Standard"/>
    <w:semiHidden/>
    <w:unhideWhenUsed/>
    <w:rsid w:val="006676E2"/>
    <w:pPr>
      <w:framePr w:w="4320" w:h="2160" w:hRule="exact" w:hSpace="141" w:wrap="auto" w:hAnchor="page" w:xAlign="center" w:yAlign="bottom"/>
      <w:spacing w:line="240" w:lineRule="auto"/>
      <w:ind w:left="1"/>
    </w:pPr>
    <w:rPr>
      <w:rFonts w:eastAsiaTheme="majorEastAsia" w:cstheme="majorBidi"/>
      <w:sz w:val="24"/>
      <w:szCs w:val="24"/>
    </w:rPr>
  </w:style>
  <w:style w:type="paragraph" w:styleId="Umschlagabsenderadresse">
    <w:name w:val="envelope return"/>
    <w:basedOn w:val="Standard"/>
    <w:semiHidden/>
    <w:unhideWhenUsed/>
    <w:rsid w:val="006676E2"/>
    <w:pPr>
      <w:spacing w:line="240" w:lineRule="auto"/>
    </w:pPr>
    <w:rPr>
      <w:rFonts w:eastAsiaTheme="majorEastAsia" w:cstheme="majorBidi"/>
    </w:rPr>
  </w:style>
  <w:style w:type="paragraph" w:styleId="Nachrichtenkopf">
    <w:name w:val="Message Header"/>
    <w:basedOn w:val="Standard"/>
    <w:link w:val="NachrichtenkopfZchn"/>
    <w:semiHidden/>
    <w:unhideWhenUsed/>
    <w:rsid w:val="006676E2"/>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eastAsiaTheme="majorEastAsia" w:cstheme="majorBidi"/>
      <w:sz w:val="24"/>
      <w:szCs w:val="24"/>
    </w:rPr>
  </w:style>
  <w:style w:type="character" w:customStyle="1" w:styleId="NachrichtenkopfZchn">
    <w:name w:val="Nachrichtenkopf Zchn"/>
    <w:basedOn w:val="Absatz-Standardschriftart"/>
    <w:link w:val="Nachrichtenkopf"/>
    <w:semiHidden/>
    <w:rsid w:val="006676E2"/>
    <w:rPr>
      <w:rFonts w:eastAsiaTheme="majorEastAsia" w:cstheme="majorBidi"/>
      <w:sz w:val="24"/>
      <w:szCs w:val="24"/>
      <w:shd w:val="pct20" w:color="auto" w:fill="auto"/>
    </w:rPr>
  </w:style>
  <w:style w:type="table" w:styleId="MittleresRaster2">
    <w:name w:val="Medium Grid 2"/>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D31932" w:themeColor="accent1"/>
        <w:left w:val="single" w:sz="8" w:space="0" w:color="D31932" w:themeColor="accent1"/>
        <w:bottom w:val="single" w:sz="8" w:space="0" w:color="D31932" w:themeColor="accent1"/>
        <w:right w:val="single" w:sz="8" w:space="0" w:color="D31932" w:themeColor="accent1"/>
        <w:insideH w:val="single" w:sz="8" w:space="0" w:color="D31932" w:themeColor="accent1"/>
        <w:insideV w:val="single" w:sz="8" w:space="0" w:color="D31932" w:themeColor="accent1"/>
      </w:tblBorders>
    </w:tblPr>
    <w:tcPr>
      <w:shd w:val="clear" w:color="auto" w:fill="F7C2C9" w:themeFill="accent1" w:themeFillTint="3F"/>
    </w:tcPr>
    <w:tblStylePr w:type="firstRow">
      <w:rPr>
        <w:b/>
        <w:bCs/>
        <w:color w:val="000000" w:themeColor="text1"/>
      </w:rPr>
      <w:tblPr/>
      <w:tcPr>
        <w:shd w:val="clear" w:color="auto" w:fill="FCE6E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CDD3" w:themeFill="accent1" w:themeFillTint="33"/>
      </w:tcPr>
    </w:tblStylePr>
    <w:tblStylePr w:type="band1Vert">
      <w:tblPr/>
      <w:tcPr>
        <w:shd w:val="clear" w:color="auto" w:fill="F08493" w:themeFill="accent1" w:themeFillTint="7F"/>
      </w:tcPr>
    </w:tblStylePr>
    <w:tblStylePr w:type="band1Horz">
      <w:tblPr/>
      <w:tcPr>
        <w:tcBorders>
          <w:insideH w:val="single" w:sz="6" w:space="0" w:color="D31932" w:themeColor="accent1"/>
          <w:insideV w:val="single" w:sz="6" w:space="0" w:color="D31932" w:themeColor="accent1"/>
        </w:tcBorders>
        <w:shd w:val="clear" w:color="auto" w:fill="F08493"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EB5E51" w:themeColor="accent2"/>
        <w:left w:val="single" w:sz="8" w:space="0" w:color="EB5E51" w:themeColor="accent2"/>
        <w:bottom w:val="single" w:sz="8" w:space="0" w:color="EB5E51" w:themeColor="accent2"/>
        <w:right w:val="single" w:sz="8" w:space="0" w:color="EB5E51" w:themeColor="accent2"/>
        <w:insideH w:val="single" w:sz="8" w:space="0" w:color="EB5E51" w:themeColor="accent2"/>
        <w:insideV w:val="single" w:sz="8" w:space="0" w:color="EB5E51" w:themeColor="accent2"/>
      </w:tblBorders>
    </w:tblPr>
    <w:tcPr>
      <w:shd w:val="clear" w:color="auto" w:fill="FAD6D3" w:themeFill="accent2" w:themeFillTint="3F"/>
    </w:tcPr>
    <w:tblStylePr w:type="firstRow">
      <w:rPr>
        <w:b/>
        <w:bCs/>
        <w:color w:val="000000" w:themeColor="text1"/>
      </w:rPr>
      <w:tblPr/>
      <w:tcPr>
        <w:shd w:val="clear" w:color="auto" w:fill="FDEE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DEDC" w:themeFill="accent2" w:themeFillTint="33"/>
      </w:tcPr>
    </w:tblStylePr>
    <w:tblStylePr w:type="band1Vert">
      <w:tblPr/>
      <w:tcPr>
        <w:shd w:val="clear" w:color="auto" w:fill="F5AEA8" w:themeFill="accent2" w:themeFillTint="7F"/>
      </w:tcPr>
    </w:tblStylePr>
    <w:tblStylePr w:type="band1Horz">
      <w:tblPr/>
      <w:tcPr>
        <w:tcBorders>
          <w:insideH w:val="single" w:sz="6" w:space="0" w:color="EB5E51" w:themeColor="accent2"/>
          <w:insideV w:val="single" w:sz="6" w:space="0" w:color="EB5E51" w:themeColor="accent2"/>
        </w:tcBorders>
        <w:shd w:val="clear" w:color="auto" w:fill="F5AEA8"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C7CF1C" w:themeColor="accent3"/>
        <w:left w:val="single" w:sz="8" w:space="0" w:color="C7CF1C" w:themeColor="accent3"/>
        <w:bottom w:val="single" w:sz="8" w:space="0" w:color="C7CF1C" w:themeColor="accent3"/>
        <w:right w:val="single" w:sz="8" w:space="0" w:color="C7CF1C" w:themeColor="accent3"/>
        <w:insideH w:val="single" w:sz="8" w:space="0" w:color="C7CF1C" w:themeColor="accent3"/>
        <w:insideV w:val="single" w:sz="8" w:space="0" w:color="C7CF1C" w:themeColor="accent3"/>
      </w:tblBorders>
    </w:tblPr>
    <w:tcPr>
      <w:shd w:val="clear" w:color="auto" w:fill="F4F7C3" w:themeFill="accent3" w:themeFillTint="3F"/>
    </w:tcPr>
    <w:tblStylePr w:type="firstRow">
      <w:rPr>
        <w:b/>
        <w:bCs/>
        <w:color w:val="000000" w:themeColor="text1"/>
      </w:rPr>
      <w:tblPr/>
      <w:tcPr>
        <w:shd w:val="clear" w:color="auto" w:fill="FAFBE7"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6F8CE" w:themeFill="accent3" w:themeFillTint="33"/>
      </w:tcPr>
    </w:tblStylePr>
    <w:tblStylePr w:type="band1Vert">
      <w:tblPr/>
      <w:tcPr>
        <w:shd w:val="clear" w:color="auto" w:fill="E9EE86" w:themeFill="accent3" w:themeFillTint="7F"/>
      </w:tcPr>
    </w:tblStylePr>
    <w:tblStylePr w:type="band1Horz">
      <w:tblPr/>
      <w:tcPr>
        <w:tcBorders>
          <w:insideH w:val="single" w:sz="6" w:space="0" w:color="C7CF1C" w:themeColor="accent3"/>
          <w:insideV w:val="single" w:sz="6" w:space="0" w:color="C7CF1C" w:themeColor="accent3"/>
        </w:tcBorders>
        <w:shd w:val="clear" w:color="auto" w:fill="E9EE86"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51A66D" w:themeColor="accent4"/>
        <w:left w:val="single" w:sz="8" w:space="0" w:color="51A66D" w:themeColor="accent4"/>
        <w:bottom w:val="single" w:sz="8" w:space="0" w:color="51A66D" w:themeColor="accent4"/>
        <w:right w:val="single" w:sz="8" w:space="0" w:color="51A66D" w:themeColor="accent4"/>
        <w:insideH w:val="single" w:sz="8" w:space="0" w:color="51A66D" w:themeColor="accent4"/>
        <w:insideV w:val="single" w:sz="8" w:space="0" w:color="51A66D" w:themeColor="accent4"/>
      </w:tblBorders>
    </w:tblPr>
    <w:tcPr>
      <w:shd w:val="clear" w:color="auto" w:fill="D3E9DA" w:themeFill="accent4" w:themeFillTint="3F"/>
    </w:tcPr>
    <w:tblStylePr w:type="firstRow">
      <w:rPr>
        <w:b/>
        <w:bCs/>
        <w:color w:val="000000" w:themeColor="text1"/>
      </w:rPr>
      <w:tblPr/>
      <w:tcPr>
        <w:shd w:val="clear" w:color="auto" w:fill="EDF6F0"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DE1" w:themeFill="accent4" w:themeFillTint="33"/>
      </w:tcPr>
    </w:tblStylePr>
    <w:tblStylePr w:type="band1Vert">
      <w:tblPr/>
      <w:tcPr>
        <w:shd w:val="clear" w:color="auto" w:fill="A6D4B5" w:themeFill="accent4" w:themeFillTint="7F"/>
      </w:tcPr>
    </w:tblStylePr>
    <w:tblStylePr w:type="band1Horz">
      <w:tblPr/>
      <w:tcPr>
        <w:tcBorders>
          <w:insideH w:val="single" w:sz="6" w:space="0" w:color="51A66D" w:themeColor="accent4"/>
          <w:insideV w:val="single" w:sz="6" w:space="0" w:color="51A66D" w:themeColor="accent4"/>
        </w:tcBorders>
        <w:shd w:val="clear" w:color="auto" w:fill="A6D4B5"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5F9FBC" w:themeColor="accent5"/>
        <w:left w:val="single" w:sz="8" w:space="0" w:color="5F9FBC" w:themeColor="accent5"/>
        <w:bottom w:val="single" w:sz="8" w:space="0" w:color="5F9FBC" w:themeColor="accent5"/>
        <w:right w:val="single" w:sz="8" w:space="0" w:color="5F9FBC" w:themeColor="accent5"/>
        <w:insideH w:val="single" w:sz="8" w:space="0" w:color="5F9FBC" w:themeColor="accent5"/>
        <w:insideV w:val="single" w:sz="8" w:space="0" w:color="5F9FBC" w:themeColor="accent5"/>
      </w:tblBorders>
    </w:tblPr>
    <w:tcPr>
      <w:shd w:val="clear" w:color="auto" w:fill="D7E7EE" w:themeFill="accent5" w:themeFillTint="3F"/>
    </w:tcPr>
    <w:tblStylePr w:type="firstRow">
      <w:rPr>
        <w:b/>
        <w:bCs/>
        <w:color w:val="000000" w:themeColor="text1"/>
      </w:rPr>
      <w:tblPr/>
      <w:tcPr>
        <w:shd w:val="clear" w:color="auto" w:fill="EFF5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BF1" w:themeFill="accent5" w:themeFillTint="33"/>
      </w:tcPr>
    </w:tblStylePr>
    <w:tblStylePr w:type="band1Vert">
      <w:tblPr/>
      <w:tcPr>
        <w:shd w:val="clear" w:color="auto" w:fill="AFCFDD" w:themeFill="accent5" w:themeFillTint="7F"/>
      </w:tcPr>
    </w:tblStylePr>
    <w:tblStylePr w:type="band1Horz">
      <w:tblPr/>
      <w:tcPr>
        <w:tcBorders>
          <w:insideH w:val="single" w:sz="6" w:space="0" w:color="5F9FBC" w:themeColor="accent5"/>
          <w:insideV w:val="single" w:sz="6" w:space="0" w:color="5F9FBC" w:themeColor="accent5"/>
        </w:tcBorders>
        <w:shd w:val="clear" w:color="auto" w:fill="AFCFDD"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A98899" w:themeColor="accent6"/>
        <w:left w:val="single" w:sz="8" w:space="0" w:color="A98899" w:themeColor="accent6"/>
        <w:bottom w:val="single" w:sz="8" w:space="0" w:color="A98899" w:themeColor="accent6"/>
        <w:right w:val="single" w:sz="8" w:space="0" w:color="A98899" w:themeColor="accent6"/>
        <w:insideH w:val="single" w:sz="8" w:space="0" w:color="A98899" w:themeColor="accent6"/>
        <w:insideV w:val="single" w:sz="8" w:space="0" w:color="A98899" w:themeColor="accent6"/>
      </w:tblBorders>
    </w:tblPr>
    <w:tcPr>
      <w:shd w:val="clear" w:color="auto" w:fill="E9E1E5" w:themeFill="accent6" w:themeFillTint="3F"/>
    </w:tcPr>
    <w:tblStylePr w:type="firstRow">
      <w:rPr>
        <w:b/>
        <w:bCs/>
        <w:color w:val="000000" w:themeColor="text1"/>
      </w:rPr>
      <w:tblPr/>
      <w:tcPr>
        <w:shd w:val="clear" w:color="auto" w:fill="F6F3F4"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7EA" w:themeFill="accent6" w:themeFillTint="33"/>
      </w:tcPr>
    </w:tblStylePr>
    <w:tblStylePr w:type="band1Vert">
      <w:tblPr/>
      <w:tcPr>
        <w:shd w:val="clear" w:color="auto" w:fill="D4C3CC" w:themeFill="accent6" w:themeFillTint="7F"/>
      </w:tcPr>
    </w:tblStylePr>
    <w:tblStylePr w:type="band1Horz">
      <w:tblPr/>
      <w:tcPr>
        <w:tcBorders>
          <w:insideH w:val="single" w:sz="6" w:space="0" w:color="A98899" w:themeColor="accent6"/>
          <w:insideV w:val="single" w:sz="6" w:space="0" w:color="A98899" w:themeColor="accent6"/>
        </w:tcBorders>
        <w:shd w:val="clear" w:color="auto" w:fill="D4C3CC" w:themeFill="accent6" w:themeFillTint="7F"/>
      </w:tcPr>
    </w:tblStylePr>
    <w:tblStylePr w:type="nwCell">
      <w:tblPr/>
      <w:tcPr>
        <w:shd w:val="clear" w:color="auto" w:fill="FFFFFF" w:themeFill="background1"/>
      </w:tcPr>
    </w:tblStylePr>
  </w:style>
  <w:style w:type="table" w:styleId="MittlereListe2-Akzent2">
    <w:name w:val="Medium List 2 Accent 2"/>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EB5E51" w:themeColor="accent2"/>
        <w:left w:val="single" w:sz="8" w:space="0" w:color="EB5E51" w:themeColor="accent2"/>
        <w:bottom w:val="single" w:sz="8" w:space="0" w:color="EB5E51" w:themeColor="accent2"/>
        <w:right w:val="single" w:sz="8" w:space="0" w:color="EB5E51" w:themeColor="accent2"/>
      </w:tblBorders>
    </w:tblPr>
    <w:tblStylePr w:type="firstRow">
      <w:rPr>
        <w:sz w:val="24"/>
        <w:szCs w:val="24"/>
      </w:rPr>
      <w:tblPr/>
      <w:tcPr>
        <w:tcBorders>
          <w:top w:val="nil"/>
          <w:left w:val="nil"/>
          <w:bottom w:val="single" w:sz="24" w:space="0" w:color="EB5E51" w:themeColor="accent2"/>
          <w:right w:val="nil"/>
          <w:insideH w:val="nil"/>
          <w:insideV w:val="nil"/>
        </w:tcBorders>
        <w:shd w:val="clear" w:color="auto" w:fill="FFFFFF" w:themeFill="background1"/>
      </w:tcPr>
    </w:tblStylePr>
    <w:tblStylePr w:type="lastRow">
      <w:tblPr/>
      <w:tcPr>
        <w:tcBorders>
          <w:top w:val="single" w:sz="8" w:space="0" w:color="EB5E5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B5E51" w:themeColor="accent2"/>
          <w:insideH w:val="nil"/>
          <w:insideV w:val="nil"/>
        </w:tcBorders>
        <w:shd w:val="clear" w:color="auto" w:fill="FFFFFF" w:themeFill="background1"/>
      </w:tcPr>
    </w:tblStylePr>
    <w:tblStylePr w:type="lastCol">
      <w:tblPr/>
      <w:tcPr>
        <w:tcBorders>
          <w:top w:val="nil"/>
          <w:left w:val="single" w:sz="8" w:space="0" w:color="EB5E5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6D3" w:themeFill="accent2" w:themeFillTint="3F"/>
      </w:tcPr>
    </w:tblStylePr>
    <w:tblStylePr w:type="band1Horz">
      <w:tblPr/>
      <w:tcPr>
        <w:tcBorders>
          <w:top w:val="nil"/>
          <w:bottom w:val="nil"/>
          <w:insideH w:val="nil"/>
          <w:insideV w:val="nil"/>
        </w:tcBorders>
        <w:shd w:val="clear" w:color="auto" w:fill="FAD6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C7CF1C" w:themeColor="accent3"/>
        <w:left w:val="single" w:sz="8" w:space="0" w:color="C7CF1C" w:themeColor="accent3"/>
        <w:bottom w:val="single" w:sz="8" w:space="0" w:color="C7CF1C" w:themeColor="accent3"/>
        <w:right w:val="single" w:sz="8" w:space="0" w:color="C7CF1C" w:themeColor="accent3"/>
      </w:tblBorders>
    </w:tblPr>
    <w:tblStylePr w:type="firstRow">
      <w:rPr>
        <w:sz w:val="24"/>
        <w:szCs w:val="24"/>
      </w:rPr>
      <w:tblPr/>
      <w:tcPr>
        <w:tcBorders>
          <w:top w:val="nil"/>
          <w:left w:val="nil"/>
          <w:bottom w:val="single" w:sz="24" w:space="0" w:color="C7CF1C" w:themeColor="accent3"/>
          <w:right w:val="nil"/>
          <w:insideH w:val="nil"/>
          <w:insideV w:val="nil"/>
        </w:tcBorders>
        <w:shd w:val="clear" w:color="auto" w:fill="FFFFFF" w:themeFill="background1"/>
      </w:tcPr>
    </w:tblStylePr>
    <w:tblStylePr w:type="lastRow">
      <w:tblPr/>
      <w:tcPr>
        <w:tcBorders>
          <w:top w:val="single" w:sz="8" w:space="0" w:color="C7CF1C"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7CF1C" w:themeColor="accent3"/>
          <w:insideH w:val="nil"/>
          <w:insideV w:val="nil"/>
        </w:tcBorders>
        <w:shd w:val="clear" w:color="auto" w:fill="FFFFFF" w:themeFill="background1"/>
      </w:tcPr>
    </w:tblStylePr>
    <w:tblStylePr w:type="lastCol">
      <w:tblPr/>
      <w:tcPr>
        <w:tcBorders>
          <w:top w:val="nil"/>
          <w:left w:val="single" w:sz="8" w:space="0" w:color="C7CF1C"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4F7C3" w:themeFill="accent3" w:themeFillTint="3F"/>
      </w:tcPr>
    </w:tblStylePr>
    <w:tblStylePr w:type="band1Horz">
      <w:tblPr/>
      <w:tcPr>
        <w:tcBorders>
          <w:top w:val="nil"/>
          <w:bottom w:val="nil"/>
          <w:insideH w:val="nil"/>
          <w:insideV w:val="nil"/>
        </w:tcBorders>
        <w:shd w:val="clear" w:color="auto" w:fill="F4F7C3"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51A66D" w:themeColor="accent4"/>
        <w:left w:val="single" w:sz="8" w:space="0" w:color="51A66D" w:themeColor="accent4"/>
        <w:bottom w:val="single" w:sz="8" w:space="0" w:color="51A66D" w:themeColor="accent4"/>
        <w:right w:val="single" w:sz="8" w:space="0" w:color="51A66D" w:themeColor="accent4"/>
      </w:tblBorders>
    </w:tblPr>
    <w:tblStylePr w:type="firstRow">
      <w:rPr>
        <w:sz w:val="24"/>
        <w:szCs w:val="24"/>
      </w:rPr>
      <w:tblPr/>
      <w:tcPr>
        <w:tcBorders>
          <w:top w:val="nil"/>
          <w:left w:val="nil"/>
          <w:bottom w:val="single" w:sz="24" w:space="0" w:color="51A66D" w:themeColor="accent4"/>
          <w:right w:val="nil"/>
          <w:insideH w:val="nil"/>
          <w:insideV w:val="nil"/>
        </w:tcBorders>
        <w:shd w:val="clear" w:color="auto" w:fill="FFFFFF" w:themeFill="background1"/>
      </w:tcPr>
    </w:tblStylePr>
    <w:tblStylePr w:type="lastRow">
      <w:tblPr/>
      <w:tcPr>
        <w:tcBorders>
          <w:top w:val="single" w:sz="8" w:space="0" w:color="51A66D"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1A66D" w:themeColor="accent4"/>
          <w:insideH w:val="nil"/>
          <w:insideV w:val="nil"/>
        </w:tcBorders>
        <w:shd w:val="clear" w:color="auto" w:fill="FFFFFF" w:themeFill="background1"/>
      </w:tcPr>
    </w:tblStylePr>
    <w:tblStylePr w:type="lastCol">
      <w:tblPr/>
      <w:tcPr>
        <w:tcBorders>
          <w:top w:val="nil"/>
          <w:left w:val="single" w:sz="8" w:space="0" w:color="51A66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E9DA" w:themeFill="accent4" w:themeFillTint="3F"/>
      </w:tcPr>
    </w:tblStylePr>
    <w:tblStylePr w:type="band1Horz">
      <w:tblPr/>
      <w:tcPr>
        <w:tcBorders>
          <w:top w:val="nil"/>
          <w:bottom w:val="nil"/>
          <w:insideH w:val="nil"/>
          <w:insideV w:val="nil"/>
        </w:tcBorders>
        <w:shd w:val="clear" w:color="auto" w:fill="D3E9D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5F9FBC" w:themeColor="accent5"/>
        <w:left w:val="single" w:sz="8" w:space="0" w:color="5F9FBC" w:themeColor="accent5"/>
        <w:bottom w:val="single" w:sz="8" w:space="0" w:color="5F9FBC" w:themeColor="accent5"/>
        <w:right w:val="single" w:sz="8" w:space="0" w:color="5F9FBC" w:themeColor="accent5"/>
      </w:tblBorders>
    </w:tblPr>
    <w:tblStylePr w:type="firstRow">
      <w:rPr>
        <w:sz w:val="24"/>
        <w:szCs w:val="24"/>
      </w:rPr>
      <w:tblPr/>
      <w:tcPr>
        <w:tcBorders>
          <w:top w:val="nil"/>
          <w:left w:val="nil"/>
          <w:bottom w:val="single" w:sz="24" w:space="0" w:color="5F9FBC" w:themeColor="accent5"/>
          <w:right w:val="nil"/>
          <w:insideH w:val="nil"/>
          <w:insideV w:val="nil"/>
        </w:tcBorders>
        <w:shd w:val="clear" w:color="auto" w:fill="FFFFFF" w:themeFill="background1"/>
      </w:tcPr>
    </w:tblStylePr>
    <w:tblStylePr w:type="lastRow">
      <w:tblPr/>
      <w:tcPr>
        <w:tcBorders>
          <w:top w:val="single" w:sz="8" w:space="0" w:color="5F9FB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9FBC" w:themeColor="accent5"/>
          <w:insideH w:val="nil"/>
          <w:insideV w:val="nil"/>
        </w:tcBorders>
        <w:shd w:val="clear" w:color="auto" w:fill="FFFFFF" w:themeFill="background1"/>
      </w:tcPr>
    </w:tblStylePr>
    <w:tblStylePr w:type="lastCol">
      <w:tblPr/>
      <w:tcPr>
        <w:tcBorders>
          <w:top w:val="nil"/>
          <w:left w:val="single" w:sz="8" w:space="0" w:color="5F9FB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E7EE" w:themeFill="accent5" w:themeFillTint="3F"/>
      </w:tcPr>
    </w:tblStylePr>
    <w:tblStylePr w:type="band1Horz">
      <w:tblPr/>
      <w:tcPr>
        <w:tcBorders>
          <w:top w:val="nil"/>
          <w:bottom w:val="nil"/>
          <w:insideH w:val="nil"/>
          <w:insideV w:val="nil"/>
        </w:tcBorders>
        <w:shd w:val="clear" w:color="auto" w:fill="D7E7E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A98899" w:themeColor="accent6"/>
        <w:left w:val="single" w:sz="8" w:space="0" w:color="A98899" w:themeColor="accent6"/>
        <w:bottom w:val="single" w:sz="8" w:space="0" w:color="A98899" w:themeColor="accent6"/>
        <w:right w:val="single" w:sz="8" w:space="0" w:color="A98899" w:themeColor="accent6"/>
      </w:tblBorders>
    </w:tblPr>
    <w:tblStylePr w:type="firstRow">
      <w:rPr>
        <w:sz w:val="24"/>
        <w:szCs w:val="24"/>
      </w:rPr>
      <w:tblPr/>
      <w:tcPr>
        <w:tcBorders>
          <w:top w:val="nil"/>
          <w:left w:val="nil"/>
          <w:bottom w:val="single" w:sz="24" w:space="0" w:color="A98899" w:themeColor="accent6"/>
          <w:right w:val="nil"/>
          <w:insideH w:val="nil"/>
          <w:insideV w:val="nil"/>
        </w:tcBorders>
        <w:shd w:val="clear" w:color="auto" w:fill="FFFFFF" w:themeFill="background1"/>
      </w:tcPr>
    </w:tblStylePr>
    <w:tblStylePr w:type="lastRow">
      <w:tblPr/>
      <w:tcPr>
        <w:tcBorders>
          <w:top w:val="single" w:sz="8" w:space="0" w:color="A9889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98899" w:themeColor="accent6"/>
          <w:insideH w:val="nil"/>
          <w:insideV w:val="nil"/>
        </w:tcBorders>
        <w:shd w:val="clear" w:color="auto" w:fill="FFFFFF" w:themeFill="background1"/>
      </w:tcPr>
    </w:tblStylePr>
    <w:tblStylePr w:type="lastCol">
      <w:tblPr/>
      <w:tcPr>
        <w:tcBorders>
          <w:top w:val="nil"/>
          <w:left w:val="single" w:sz="8" w:space="0" w:color="A9889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E1E5" w:themeFill="accent6" w:themeFillTint="3F"/>
      </w:tcPr>
    </w:tblStylePr>
    <w:tblStylePr w:type="band1Horz">
      <w:tblPr/>
      <w:tcPr>
        <w:tcBorders>
          <w:top w:val="nil"/>
          <w:bottom w:val="nil"/>
          <w:insideH w:val="nil"/>
          <w:insideV w:val="nil"/>
        </w:tcBorders>
        <w:shd w:val="clear" w:color="auto" w:fill="E9E1E5"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HTMLSchreibmaschine">
    <w:name w:val="HTML Typewriter"/>
    <w:basedOn w:val="Absatz-Standardschriftart"/>
    <w:semiHidden/>
    <w:unhideWhenUsed/>
    <w:rsid w:val="006676E2"/>
    <w:rPr>
      <w:rFonts w:ascii="Open Sans SemiCondensed" w:hAnsi="Open Sans SemiCondensed"/>
      <w:sz w:val="20"/>
      <w:szCs w:val="20"/>
    </w:rPr>
  </w:style>
  <w:style w:type="paragraph" w:styleId="StandardWeb">
    <w:name w:val="Normal (Web)"/>
    <w:basedOn w:val="Standard"/>
    <w:semiHidden/>
    <w:unhideWhenUsed/>
    <w:rsid w:val="006676E2"/>
    <w:rPr>
      <w:rFonts w:cs="Times New Roman"/>
      <w:sz w:val="24"/>
      <w:szCs w:val="24"/>
    </w:rPr>
  </w:style>
  <w:style w:type="paragraph" w:styleId="HTMLVorformatiert">
    <w:name w:val="HTML Preformatted"/>
    <w:basedOn w:val="Standard"/>
    <w:link w:val="HTMLVorformatiertZchn"/>
    <w:semiHidden/>
    <w:unhideWhenUsed/>
    <w:rsid w:val="006676E2"/>
    <w:pPr>
      <w:spacing w:line="240" w:lineRule="auto"/>
    </w:pPr>
  </w:style>
  <w:style w:type="character" w:customStyle="1" w:styleId="HTMLVorformatiertZchn">
    <w:name w:val="HTML Vorformatiert Zchn"/>
    <w:basedOn w:val="Absatz-Standardschriftart"/>
    <w:link w:val="HTMLVorformatiert"/>
    <w:semiHidden/>
    <w:rsid w:val="006676E2"/>
  </w:style>
  <w:style w:type="paragraph" w:styleId="NurText">
    <w:name w:val="Plain Text"/>
    <w:basedOn w:val="Standard"/>
    <w:link w:val="NurTextZchn"/>
    <w:semiHidden/>
    <w:unhideWhenUsed/>
    <w:rsid w:val="006676E2"/>
    <w:pPr>
      <w:spacing w:line="240" w:lineRule="auto"/>
    </w:pPr>
    <w:rPr>
      <w:sz w:val="21"/>
      <w:szCs w:val="21"/>
    </w:rPr>
  </w:style>
  <w:style w:type="character" w:customStyle="1" w:styleId="NurTextZchn">
    <w:name w:val="Nur Text Zchn"/>
    <w:basedOn w:val="Absatz-Standardschriftart"/>
    <w:link w:val="NurText"/>
    <w:semiHidden/>
    <w:rsid w:val="006676E2"/>
    <w:rPr>
      <w:sz w:val="21"/>
      <w:szCs w:val="21"/>
    </w:rPr>
  </w:style>
  <w:style w:type="paragraph" w:styleId="Sprechblasentext">
    <w:name w:val="Balloon Text"/>
    <w:basedOn w:val="Standard"/>
    <w:link w:val="SprechblasentextZchn"/>
    <w:semiHidden/>
    <w:unhideWhenUsed/>
    <w:rsid w:val="006676E2"/>
    <w:pPr>
      <w:spacing w:line="240" w:lineRule="auto"/>
    </w:pPr>
    <w:rPr>
      <w:sz w:val="18"/>
      <w:szCs w:val="18"/>
    </w:rPr>
  </w:style>
  <w:style w:type="character" w:customStyle="1" w:styleId="SprechblasentextZchn">
    <w:name w:val="Sprechblasentext Zchn"/>
    <w:basedOn w:val="Absatz-Standardschriftart"/>
    <w:link w:val="Sprechblasentext"/>
    <w:semiHidden/>
    <w:rsid w:val="006676E2"/>
    <w:rPr>
      <w:rFonts w:ascii="Open Sans SemiCondensed" w:hAnsi="Open Sans SemiCondensed"/>
      <w:sz w:val="18"/>
      <w:szCs w:val="18"/>
    </w:rPr>
  </w:style>
  <w:style w:type="paragraph" w:styleId="Makrotext">
    <w:name w:val="macro"/>
    <w:link w:val="MakrotextZchn"/>
    <w:semiHidden/>
    <w:unhideWhenUsed/>
    <w:rsid w:val="006676E2"/>
    <w:pPr>
      <w:tabs>
        <w:tab w:val="left" w:pos="480"/>
        <w:tab w:val="left" w:pos="960"/>
        <w:tab w:val="left" w:pos="1440"/>
        <w:tab w:val="left" w:pos="1920"/>
        <w:tab w:val="left" w:pos="2400"/>
        <w:tab w:val="left" w:pos="2880"/>
        <w:tab w:val="left" w:pos="3360"/>
        <w:tab w:val="left" w:pos="3840"/>
        <w:tab w:val="left" w:pos="4320"/>
      </w:tabs>
      <w:spacing w:after="0" w:line="276" w:lineRule="auto"/>
    </w:pPr>
  </w:style>
  <w:style w:type="character" w:customStyle="1" w:styleId="MakrotextZchn">
    <w:name w:val="Makrotext Zchn"/>
    <w:basedOn w:val="Absatz-Standardschriftart"/>
    <w:link w:val="Makrotext"/>
    <w:semiHidden/>
    <w:rsid w:val="006676E2"/>
  </w:style>
  <w:style w:type="paragraph" w:styleId="Indexberschrift">
    <w:name w:val="index heading"/>
    <w:basedOn w:val="Standard"/>
    <w:next w:val="Index1"/>
    <w:semiHidden/>
    <w:unhideWhenUsed/>
    <w:rsid w:val="006676E2"/>
    <w:rPr>
      <w:rFonts w:eastAsiaTheme="majorEastAsia" w:cstheme="majorBidi"/>
      <w:b/>
      <w:bCs/>
    </w:rPr>
  </w:style>
  <w:style w:type="paragraph" w:styleId="RGV-berschrift">
    <w:name w:val="toa heading"/>
    <w:basedOn w:val="Standard"/>
    <w:next w:val="Standard"/>
    <w:semiHidden/>
    <w:unhideWhenUsed/>
    <w:rsid w:val="006676E2"/>
    <w:pPr>
      <w:spacing w:before="120"/>
    </w:pPr>
    <w:rPr>
      <w:rFonts w:eastAsiaTheme="majorEastAsia" w:cstheme="majorBidi"/>
      <w:b/>
      <w:bCs/>
      <w:sz w:val="24"/>
      <w:szCs w:val="24"/>
    </w:rPr>
  </w:style>
  <w:style w:type="numbering" w:styleId="ArtikelAbschnitt">
    <w:name w:val="Outline List 3"/>
    <w:basedOn w:val="KeineListe"/>
    <w:semiHidden/>
    <w:unhideWhenUsed/>
    <w:rsid w:val="00153133"/>
    <w:pPr>
      <w:numPr>
        <w:numId w:val="40"/>
      </w:numPr>
    </w:pPr>
  </w:style>
  <w:style w:type="paragraph" w:styleId="Listennummer2">
    <w:name w:val="List Number 2"/>
    <w:basedOn w:val="Listennummer"/>
    <w:unhideWhenUsed/>
    <w:rsid w:val="00382314"/>
    <w:pPr>
      <w:numPr>
        <w:ilvl w:val="1"/>
      </w:numPr>
      <w:ind w:left="851" w:hanging="425"/>
    </w:pPr>
    <w:rPr>
      <w:rFonts w:cs="Open Sans SemiCondensed"/>
    </w:rPr>
  </w:style>
  <w:style w:type="paragraph" w:styleId="Listennummer3">
    <w:name w:val="List Number 3"/>
    <w:basedOn w:val="Listennummer"/>
    <w:unhideWhenUsed/>
    <w:rsid w:val="00382314"/>
    <w:pPr>
      <w:numPr>
        <w:ilvl w:val="2"/>
      </w:numPr>
    </w:pPr>
    <w:rPr>
      <w:rFonts w:cs="Open Sans SemiCondensed"/>
    </w:rPr>
  </w:style>
  <w:style w:type="character" w:styleId="BesuchterLink">
    <w:name w:val="FollowedHyperlink"/>
    <w:basedOn w:val="Absatz-Standardschriftart"/>
    <w:semiHidden/>
    <w:unhideWhenUsed/>
    <w:rsid w:val="009E5005"/>
    <w:rPr>
      <w:color w:val="252B46" w:themeColor="followedHyperlink"/>
      <w:u w:val="single"/>
    </w:rPr>
  </w:style>
  <w:style w:type="paragraph" w:customStyle="1" w:styleId="WichtigBox">
    <w:name w:val="Wichtig Box"/>
    <w:basedOn w:val="Textkrper"/>
    <w:qFormat/>
    <w:rsid w:val="00B462BB"/>
    <w:pPr>
      <w:pBdr>
        <w:top w:val="single" w:sz="48" w:space="1" w:color="FFFFFF" w:themeColor="background1"/>
        <w:left w:val="single" w:sz="48" w:space="4" w:color="FFFFFF" w:themeColor="background1"/>
        <w:bottom w:val="single" w:sz="48" w:space="1" w:color="FFFFFF" w:themeColor="background1"/>
        <w:right w:val="single" w:sz="48" w:space="4" w:color="FFFFFF" w:themeColor="background1"/>
      </w:pBdr>
      <w:shd w:val="clear" w:color="auto" w:fill="B8DCC4" w:themeFill="accent4" w:themeFillTint="66"/>
    </w:pPr>
    <w:rPr>
      <w:lang w:val="fr-CH"/>
    </w:rPr>
  </w:style>
  <w:style w:type="paragraph" w:customStyle="1" w:styleId="Fragen">
    <w:name w:val="Fragen"/>
    <w:basedOn w:val="Textkrper"/>
    <w:next w:val="Textkrper"/>
    <w:qFormat/>
    <w:rsid w:val="00413702"/>
    <w:pPr>
      <w:pBdr>
        <w:left w:val="single" w:sz="12" w:space="4" w:color="D31932" w:themeColor="accent1"/>
      </w:pBdr>
      <w:spacing w:before="120"/>
      <w:ind w:left="170" w:firstLine="0"/>
    </w:pPr>
    <w:rPr>
      <w:color w:val="D31932" w:themeColor="accent1"/>
    </w:rPr>
  </w:style>
  <w:style w:type="table" w:styleId="Gitternetztabelle2">
    <w:name w:val="Grid Table 2"/>
    <w:basedOn w:val="NormaleTabelle"/>
    <w:rsid w:val="007F5E1D"/>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3Akzent4">
    <w:name w:val="List Table 3 Accent 4"/>
    <w:basedOn w:val="NormaleTabelle"/>
    <w:uiPriority w:val="48"/>
    <w:rsid w:val="0020467E"/>
    <w:pPr>
      <w:spacing w:after="0"/>
    </w:pPr>
    <w:tblPr>
      <w:tblStyleRowBandSize w:val="1"/>
      <w:tblStyleColBandSize w:val="1"/>
      <w:tblBorders>
        <w:top w:val="single" w:sz="4" w:space="0" w:color="51A66D" w:themeColor="accent4"/>
        <w:left w:val="single" w:sz="4" w:space="0" w:color="51A66D" w:themeColor="accent4"/>
        <w:bottom w:val="single" w:sz="4" w:space="0" w:color="51A66D" w:themeColor="accent4"/>
        <w:right w:val="single" w:sz="4" w:space="0" w:color="51A66D" w:themeColor="accent4"/>
      </w:tblBorders>
    </w:tblPr>
    <w:tblStylePr w:type="firstRow">
      <w:rPr>
        <w:b/>
        <w:bCs/>
        <w:color w:val="FFFFFF" w:themeColor="background1"/>
      </w:rPr>
      <w:tblPr/>
      <w:tcPr>
        <w:shd w:val="clear" w:color="auto" w:fill="51A66D" w:themeFill="accent4"/>
      </w:tcPr>
    </w:tblStylePr>
    <w:tblStylePr w:type="lastRow">
      <w:rPr>
        <w:b/>
        <w:bCs/>
      </w:rPr>
      <w:tblPr/>
      <w:tcPr>
        <w:tcBorders>
          <w:top w:val="double" w:sz="4" w:space="0" w:color="51A66D" w:themeColor="accent4"/>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51A66D" w:themeColor="accent4"/>
          <w:right w:val="single" w:sz="4" w:space="0" w:color="51A66D" w:themeColor="accent4"/>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1A66D" w:themeColor="accent4"/>
          <w:left w:val="nil"/>
        </w:tcBorders>
      </w:tcPr>
    </w:tblStylePr>
    <w:tblStylePr w:type="swCell">
      <w:tblPr/>
      <w:tcPr>
        <w:tcBorders>
          <w:top w:val="double" w:sz="4" w:space="0" w:color="51A66D" w:themeColor="accent4"/>
          <w:right w:val="nil"/>
        </w:tcBorders>
      </w:tcPr>
    </w:tblStylePr>
  </w:style>
  <w:style w:type="table" w:styleId="Listentabelle4Akzent6">
    <w:name w:val="List Table 4 Accent 6"/>
    <w:basedOn w:val="NormaleTabelle"/>
    <w:uiPriority w:val="49"/>
    <w:rsid w:val="007F5E1D"/>
    <w:pPr>
      <w:spacing w:after="0"/>
    </w:pPr>
    <w:tblPr>
      <w:tblStyleRowBandSize w:val="1"/>
      <w:tblStyleColBandSize w:val="1"/>
      <w:tblBorders>
        <w:top w:val="single" w:sz="4" w:space="0" w:color="CBB7C1" w:themeColor="accent6" w:themeTint="99"/>
        <w:left w:val="single" w:sz="4" w:space="0" w:color="CBB7C1" w:themeColor="accent6" w:themeTint="99"/>
        <w:bottom w:val="single" w:sz="4" w:space="0" w:color="CBB7C1" w:themeColor="accent6" w:themeTint="99"/>
        <w:right w:val="single" w:sz="4" w:space="0" w:color="CBB7C1" w:themeColor="accent6" w:themeTint="99"/>
        <w:insideH w:val="single" w:sz="4" w:space="0" w:color="CBB7C1" w:themeColor="accent6" w:themeTint="99"/>
      </w:tblBorders>
    </w:tblPr>
    <w:tblStylePr w:type="firstRow">
      <w:rPr>
        <w:b/>
        <w:bCs/>
        <w:color w:val="FFFFFF" w:themeColor="background1"/>
      </w:rPr>
      <w:tblPr/>
      <w:tcPr>
        <w:tcBorders>
          <w:top w:val="single" w:sz="4" w:space="0" w:color="A98899" w:themeColor="accent6"/>
          <w:left w:val="single" w:sz="4" w:space="0" w:color="A98899" w:themeColor="accent6"/>
          <w:bottom w:val="single" w:sz="4" w:space="0" w:color="A98899" w:themeColor="accent6"/>
          <w:right w:val="single" w:sz="4" w:space="0" w:color="A98899" w:themeColor="accent6"/>
          <w:insideH w:val="nil"/>
        </w:tcBorders>
        <w:shd w:val="clear" w:color="auto" w:fill="A98899" w:themeFill="accent6"/>
      </w:tcPr>
    </w:tblStylePr>
    <w:tblStylePr w:type="lastRow">
      <w:rPr>
        <w:b/>
        <w:bCs/>
      </w:rPr>
      <w:tblPr/>
      <w:tcPr>
        <w:tcBorders>
          <w:top w:val="double" w:sz="4" w:space="0" w:color="CBB7C1" w:themeColor="accent6" w:themeTint="99"/>
        </w:tcBorders>
      </w:tcPr>
    </w:tblStylePr>
    <w:tblStylePr w:type="firstCol">
      <w:rPr>
        <w:b/>
        <w:bCs/>
      </w:rPr>
    </w:tblStylePr>
    <w:tblStylePr w:type="lastCol">
      <w:rPr>
        <w:b/>
        <w:bCs/>
      </w:rPr>
    </w:tblStylePr>
    <w:tblStylePr w:type="band1Vert">
      <w:tblPr/>
      <w:tcPr>
        <w:shd w:val="clear" w:color="auto" w:fill="EDE7EA" w:themeFill="accent6" w:themeFillTint="33"/>
      </w:tcPr>
    </w:tblStylePr>
    <w:tblStylePr w:type="band1Horz">
      <w:tblPr/>
      <w:tcPr>
        <w:shd w:val="clear" w:color="auto" w:fill="EDE7EA" w:themeFill="accent6" w:themeFillTint="33"/>
      </w:tcPr>
    </w:tblStylePr>
  </w:style>
  <w:style w:type="table" w:styleId="Listentabelle4Akzent1">
    <w:name w:val="List Table 4 Accent 1"/>
    <w:basedOn w:val="NormaleTabelle"/>
    <w:uiPriority w:val="49"/>
    <w:rsid w:val="007F5E1D"/>
    <w:pPr>
      <w:spacing w:after="0"/>
    </w:pPr>
    <w:tblPr>
      <w:tblStyleRowBandSize w:val="1"/>
      <w:tblStyleColBandSize w:val="1"/>
      <w:tblBorders>
        <w:top w:val="single" w:sz="4" w:space="0" w:color="ED6B7D" w:themeColor="accent1" w:themeTint="99"/>
        <w:left w:val="single" w:sz="4" w:space="0" w:color="ED6B7D" w:themeColor="accent1" w:themeTint="99"/>
        <w:bottom w:val="single" w:sz="4" w:space="0" w:color="ED6B7D" w:themeColor="accent1" w:themeTint="99"/>
        <w:right w:val="single" w:sz="4" w:space="0" w:color="ED6B7D" w:themeColor="accent1" w:themeTint="99"/>
        <w:insideH w:val="single" w:sz="4" w:space="0" w:color="ED6B7D" w:themeColor="accent1" w:themeTint="99"/>
      </w:tblBorders>
    </w:tblPr>
    <w:tblStylePr w:type="firstRow">
      <w:rPr>
        <w:b/>
        <w:bCs/>
        <w:color w:val="FFFFFF" w:themeColor="background1"/>
      </w:rPr>
      <w:tblPr/>
      <w:tcPr>
        <w:tcBorders>
          <w:top w:val="single" w:sz="4" w:space="0" w:color="D31932" w:themeColor="accent1"/>
          <w:left w:val="single" w:sz="4" w:space="0" w:color="D31932" w:themeColor="accent1"/>
          <w:bottom w:val="single" w:sz="4" w:space="0" w:color="D31932" w:themeColor="accent1"/>
          <w:right w:val="single" w:sz="4" w:space="0" w:color="D31932" w:themeColor="accent1"/>
          <w:insideH w:val="nil"/>
        </w:tcBorders>
        <w:shd w:val="clear" w:color="auto" w:fill="D31932" w:themeFill="accent1"/>
      </w:tcPr>
    </w:tblStylePr>
    <w:tblStylePr w:type="lastRow">
      <w:rPr>
        <w:b/>
        <w:bCs/>
      </w:rPr>
      <w:tblPr/>
      <w:tcPr>
        <w:tcBorders>
          <w:top w:val="double" w:sz="4" w:space="0" w:color="ED6B7D" w:themeColor="accent1" w:themeTint="99"/>
        </w:tcBorders>
      </w:tcPr>
    </w:tblStylePr>
    <w:tblStylePr w:type="firstCol">
      <w:rPr>
        <w:b/>
        <w:bCs/>
      </w:rPr>
    </w:tblStylePr>
    <w:tblStylePr w:type="lastCol">
      <w:rPr>
        <w:b/>
        <w:bCs/>
      </w:rPr>
    </w:tblStylePr>
    <w:tblStylePr w:type="band1Vert">
      <w:tblPr/>
      <w:tcPr>
        <w:shd w:val="clear" w:color="auto" w:fill="F9CDD3" w:themeFill="accent1" w:themeFillTint="33"/>
      </w:tcPr>
    </w:tblStylePr>
    <w:tblStylePr w:type="band1Horz">
      <w:tblPr/>
      <w:tcPr>
        <w:shd w:val="clear" w:color="auto" w:fill="F9CDD3" w:themeFill="accent1" w:themeFillTint="33"/>
      </w:tcPr>
    </w:tblStylePr>
  </w:style>
  <w:style w:type="table" w:styleId="Listentabelle4Akzent2">
    <w:name w:val="List Table 4 Accent 2"/>
    <w:basedOn w:val="NormaleTabelle"/>
    <w:uiPriority w:val="49"/>
    <w:rsid w:val="007F5E1D"/>
    <w:pPr>
      <w:spacing w:after="0"/>
    </w:pPr>
    <w:tblPr>
      <w:tblStyleRowBandSize w:val="1"/>
      <w:tblStyleColBandSize w:val="1"/>
      <w:tblBorders>
        <w:top w:val="single" w:sz="4" w:space="0" w:color="F39D96" w:themeColor="accent2" w:themeTint="99"/>
        <w:left w:val="single" w:sz="4" w:space="0" w:color="F39D96" w:themeColor="accent2" w:themeTint="99"/>
        <w:bottom w:val="single" w:sz="4" w:space="0" w:color="F39D96" w:themeColor="accent2" w:themeTint="99"/>
        <w:right w:val="single" w:sz="4" w:space="0" w:color="F39D96" w:themeColor="accent2" w:themeTint="99"/>
        <w:insideH w:val="single" w:sz="4" w:space="0" w:color="F39D96" w:themeColor="accent2" w:themeTint="99"/>
      </w:tblBorders>
    </w:tblPr>
    <w:tblStylePr w:type="firstRow">
      <w:rPr>
        <w:b/>
        <w:bCs/>
        <w:color w:val="FFFFFF" w:themeColor="background1"/>
      </w:rPr>
      <w:tblPr/>
      <w:tcPr>
        <w:tcBorders>
          <w:top w:val="single" w:sz="4" w:space="0" w:color="EB5E51" w:themeColor="accent2"/>
          <w:left w:val="single" w:sz="4" w:space="0" w:color="EB5E51" w:themeColor="accent2"/>
          <w:bottom w:val="single" w:sz="4" w:space="0" w:color="EB5E51" w:themeColor="accent2"/>
          <w:right w:val="single" w:sz="4" w:space="0" w:color="EB5E51" w:themeColor="accent2"/>
          <w:insideH w:val="nil"/>
        </w:tcBorders>
        <w:shd w:val="clear" w:color="auto" w:fill="EB5E51" w:themeFill="accent2"/>
      </w:tcPr>
    </w:tblStylePr>
    <w:tblStylePr w:type="lastRow">
      <w:rPr>
        <w:b/>
        <w:bCs/>
      </w:rPr>
      <w:tblPr/>
      <w:tcPr>
        <w:tcBorders>
          <w:top w:val="double" w:sz="4" w:space="0" w:color="F39D96" w:themeColor="accent2" w:themeTint="99"/>
        </w:tcBorders>
      </w:tcPr>
    </w:tblStylePr>
    <w:tblStylePr w:type="firstCol">
      <w:rPr>
        <w:b/>
        <w:bCs/>
      </w:rPr>
    </w:tblStylePr>
    <w:tblStylePr w:type="lastCol">
      <w:rPr>
        <w:b/>
        <w:bCs/>
      </w:rPr>
    </w:tblStylePr>
    <w:tblStylePr w:type="band1Vert">
      <w:tblPr/>
      <w:tcPr>
        <w:shd w:val="clear" w:color="auto" w:fill="FBDEDC" w:themeFill="accent2" w:themeFillTint="33"/>
      </w:tcPr>
    </w:tblStylePr>
    <w:tblStylePr w:type="band1Horz">
      <w:tblPr/>
      <w:tcPr>
        <w:shd w:val="clear" w:color="auto" w:fill="FBDEDC" w:themeFill="accent2" w:themeFillTint="33"/>
      </w:tcPr>
    </w:tblStylePr>
  </w:style>
  <w:style w:type="table" w:styleId="Listentabelle1hellAkzent4">
    <w:name w:val="List Table 1 Light Accent 4"/>
    <w:basedOn w:val="NormaleTabelle"/>
    <w:uiPriority w:val="46"/>
    <w:rsid w:val="007F5E1D"/>
    <w:pPr>
      <w:spacing w:after="0"/>
    </w:pPr>
    <w:tblPr>
      <w:tblStyleRowBandSize w:val="1"/>
      <w:tblStyleColBandSize w:val="1"/>
    </w:tblPr>
    <w:tblStylePr w:type="firstRow">
      <w:rPr>
        <w:b/>
        <w:bCs/>
      </w:rPr>
      <w:tblPr/>
      <w:tcPr>
        <w:tcBorders>
          <w:bottom w:val="single" w:sz="4" w:space="0" w:color="94CBA6" w:themeColor="accent4" w:themeTint="99"/>
        </w:tcBorders>
      </w:tcPr>
    </w:tblStylePr>
    <w:tblStylePr w:type="lastRow">
      <w:rPr>
        <w:b/>
        <w:bCs/>
      </w:rPr>
      <w:tblPr/>
      <w:tcPr>
        <w:tcBorders>
          <w:top w:val="single" w:sz="4" w:space="0" w:color="94CBA6" w:themeColor="accent4" w:themeTint="99"/>
        </w:tcBorders>
      </w:tcPr>
    </w:tblStylePr>
    <w:tblStylePr w:type="firstCol">
      <w:rPr>
        <w:b/>
        <w:bCs/>
      </w:rPr>
    </w:tblStylePr>
    <w:tblStylePr w:type="lastCol">
      <w:rPr>
        <w:b/>
        <w:bCs/>
      </w:rPr>
    </w:tblStylePr>
    <w:tblStylePr w:type="band1Vert">
      <w:tblPr/>
      <w:tcPr>
        <w:shd w:val="clear" w:color="auto" w:fill="DBEDE1" w:themeFill="accent4" w:themeFillTint="33"/>
      </w:tcPr>
    </w:tblStylePr>
    <w:tblStylePr w:type="band1Horz">
      <w:tblPr/>
      <w:tcPr>
        <w:shd w:val="clear" w:color="auto" w:fill="DBEDE1" w:themeFill="accent4" w:themeFillTint="33"/>
      </w:tcPr>
    </w:tblStylePr>
  </w:style>
  <w:style w:type="table" w:styleId="Listentabelle1hellAkzent3">
    <w:name w:val="List Table 1 Light Accent 3"/>
    <w:basedOn w:val="NormaleTabelle"/>
    <w:uiPriority w:val="46"/>
    <w:rsid w:val="007F5E1D"/>
    <w:pPr>
      <w:spacing w:after="0"/>
    </w:pPr>
    <w:tblPr>
      <w:tblStyleRowBandSize w:val="1"/>
      <w:tblStyleColBandSize w:val="1"/>
    </w:tblPr>
    <w:tblStylePr w:type="firstRow">
      <w:rPr>
        <w:b/>
        <w:bCs/>
      </w:rPr>
      <w:tblPr/>
      <w:tcPr>
        <w:tcBorders>
          <w:bottom w:val="single" w:sz="4" w:space="0" w:color="E5EB6D" w:themeColor="accent3" w:themeTint="99"/>
        </w:tcBorders>
      </w:tcPr>
    </w:tblStylePr>
    <w:tblStylePr w:type="lastRow">
      <w:rPr>
        <w:b/>
        <w:bCs/>
      </w:rPr>
      <w:tblPr/>
      <w:tcPr>
        <w:tcBorders>
          <w:top w:val="single" w:sz="4" w:space="0" w:color="E5EB6D" w:themeColor="accent3" w:themeTint="99"/>
        </w:tcBorders>
      </w:tcPr>
    </w:tblStylePr>
    <w:tblStylePr w:type="firstCol">
      <w:rPr>
        <w:b/>
        <w:bCs/>
      </w:rPr>
    </w:tblStylePr>
    <w:tblStylePr w:type="lastCol">
      <w:rPr>
        <w:b/>
        <w:bCs/>
      </w:rPr>
    </w:tblStylePr>
    <w:tblStylePr w:type="band1Vert">
      <w:tblPr/>
      <w:tcPr>
        <w:shd w:val="clear" w:color="auto" w:fill="F6F8CE" w:themeFill="accent3" w:themeFillTint="33"/>
      </w:tcPr>
    </w:tblStylePr>
    <w:tblStylePr w:type="band1Horz">
      <w:tblPr/>
      <w:tcPr>
        <w:shd w:val="clear" w:color="auto" w:fill="F6F8CE" w:themeFill="accent3" w:themeFillTint="33"/>
      </w:tcPr>
    </w:tblStylePr>
  </w:style>
  <w:style w:type="table" w:styleId="Listentabelle1hellAkzent2">
    <w:name w:val="List Table 1 Light Accent 2"/>
    <w:basedOn w:val="NormaleTabelle"/>
    <w:uiPriority w:val="46"/>
    <w:rsid w:val="007F5E1D"/>
    <w:pPr>
      <w:spacing w:after="0"/>
    </w:pPr>
    <w:tblPr>
      <w:tblStyleRowBandSize w:val="1"/>
      <w:tblStyleColBandSize w:val="1"/>
    </w:tblPr>
    <w:tblStylePr w:type="firstRow">
      <w:rPr>
        <w:b/>
        <w:bCs/>
      </w:rPr>
      <w:tblPr/>
      <w:tcPr>
        <w:tcBorders>
          <w:bottom w:val="single" w:sz="4" w:space="0" w:color="F39D96" w:themeColor="accent2" w:themeTint="99"/>
        </w:tcBorders>
      </w:tcPr>
    </w:tblStylePr>
    <w:tblStylePr w:type="lastRow">
      <w:rPr>
        <w:b/>
        <w:bCs/>
      </w:rPr>
      <w:tblPr/>
      <w:tcPr>
        <w:tcBorders>
          <w:top w:val="single" w:sz="4" w:space="0" w:color="F39D96" w:themeColor="accent2" w:themeTint="99"/>
        </w:tcBorders>
      </w:tcPr>
    </w:tblStylePr>
    <w:tblStylePr w:type="firstCol">
      <w:rPr>
        <w:b/>
        <w:bCs/>
      </w:rPr>
    </w:tblStylePr>
    <w:tblStylePr w:type="lastCol">
      <w:rPr>
        <w:b/>
        <w:bCs/>
      </w:rPr>
    </w:tblStylePr>
    <w:tblStylePr w:type="band1Vert">
      <w:tblPr/>
      <w:tcPr>
        <w:shd w:val="clear" w:color="auto" w:fill="FBDEDC" w:themeFill="accent2" w:themeFillTint="33"/>
      </w:tcPr>
    </w:tblStylePr>
    <w:tblStylePr w:type="band1Horz">
      <w:tblPr/>
      <w:tcPr>
        <w:shd w:val="clear" w:color="auto" w:fill="FBDEDC" w:themeFill="accent2" w:themeFillTint="33"/>
      </w:tcPr>
    </w:tblStylePr>
  </w:style>
  <w:style w:type="table" w:styleId="Listentabelle1hellAkzent1">
    <w:name w:val="List Table 1 Light Accent 1"/>
    <w:basedOn w:val="NormaleTabelle"/>
    <w:uiPriority w:val="46"/>
    <w:rsid w:val="007F5E1D"/>
    <w:pPr>
      <w:spacing w:after="0"/>
    </w:pPr>
    <w:tblPr>
      <w:tblStyleRowBandSize w:val="1"/>
      <w:tblStyleColBandSize w:val="1"/>
    </w:tblPr>
    <w:tblStylePr w:type="firstRow">
      <w:rPr>
        <w:b/>
        <w:bCs/>
      </w:rPr>
      <w:tblPr/>
      <w:tcPr>
        <w:tcBorders>
          <w:bottom w:val="single" w:sz="4" w:space="0" w:color="ED6B7D" w:themeColor="accent1" w:themeTint="99"/>
        </w:tcBorders>
      </w:tcPr>
    </w:tblStylePr>
    <w:tblStylePr w:type="lastRow">
      <w:rPr>
        <w:b/>
        <w:bCs/>
      </w:rPr>
      <w:tblPr/>
      <w:tcPr>
        <w:tcBorders>
          <w:top w:val="single" w:sz="4" w:space="0" w:color="ED6B7D" w:themeColor="accent1" w:themeTint="99"/>
        </w:tcBorders>
      </w:tcPr>
    </w:tblStylePr>
    <w:tblStylePr w:type="firstCol">
      <w:rPr>
        <w:b/>
        <w:bCs/>
      </w:rPr>
    </w:tblStylePr>
    <w:tblStylePr w:type="lastCol">
      <w:rPr>
        <w:b/>
        <w:bCs/>
      </w:rPr>
    </w:tblStylePr>
    <w:tblStylePr w:type="band1Vert">
      <w:tblPr/>
      <w:tcPr>
        <w:shd w:val="clear" w:color="auto" w:fill="F9CDD3" w:themeFill="accent1" w:themeFillTint="33"/>
      </w:tcPr>
    </w:tblStylePr>
    <w:tblStylePr w:type="band1Horz">
      <w:tblPr/>
      <w:tcPr>
        <w:shd w:val="clear" w:color="auto" w:fill="F9CDD3" w:themeFill="accent1" w:themeFillTint="33"/>
      </w:tcPr>
    </w:tblStylePr>
  </w:style>
  <w:style w:type="table" w:styleId="Listentabelle2Akzent5">
    <w:name w:val="List Table 2 Accent 5"/>
    <w:basedOn w:val="NormaleTabelle"/>
    <w:uiPriority w:val="47"/>
    <w:rsid w:val="007F5E1D"/>
    <w:pPr>
      <w:spacing w:after="0"/>
    </w:pPr>
    <w:tblPr>
      <w:tblStyleRowBandSize w:val="1"/>
      <w:tblStyleColBandSize w:val="1"/>
      <w:tblBorders>
        <w:top w:val="single" w:sz="4" w:space="0" w:color="9EC5D6" w:themeColor="accent5" w:themeTint="99"/>
        <w:bottom w:val="single" w:sz="4" w:space="0" w:color="9EC5D6" w:themeColor="accent5" w:themeTint="99"/>
        <w:insideH w:val="single" w:sz="4" w:space="0" w:color="9EC5D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BF1" w:themeFill="accent5" w:themeFillTint="33"/>
      </w:tcPr>
    </w:tblStylePr>
    <w:tblStylePr w:type="band1Horz">
      <w:tblPr/>
      <w:tcPr>
        <w:shd w:val="clear" w:color="auto" w:fill="DEEBF1" w:themeFill="accent5" w:themeFillTint="33"/>
      </w:tcPr>
    </w:tblStylePr>
  </w:style>
  <w:style w:type="table" w:styleId="Gitternetztabelle5dunkelAkzent6">
    <w:name w:val="Grid Table 5 Dark Accent 6"/>
    <w:basedOn w:val="NormaleTabelle"/>
    <w:uiPriority w:val="50"/>
    <w:rsid w:val="007F5E1D"/>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7EA"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9889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9889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9889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98899" w:themeFill="accent6"/>
      </w:tcPr>
    </w:tblStylePr>
    <w:tblStylePr w:type="band1Vert">
      <w:tblPr/>
      <w:tcPr>
        <w:shd w:val="clear" w:color="auto" w:fill="DCCFD6" w:themeFill="accent6" w:themeFillTint="66"/>
      </w:tcPr>
    </w:tblStylePr>
    <w:tblStylePr w:type="band1Horz">
      <w:tblPr/>
      <w:tcPr>
        <w:shd w:val="clear" w:color="auto" w:fill="DCCFD6" w:themeFill="accent6" w:themeFillTint="66"/>
      </w:tcPr>
    </w:tblStylePr>
  </w:style>
  <w:style w:type="table" w:styleId="Gitternetztabelle3Akzent6">
    <w:name w:val="Grid Table 3 Accent 6"/>
    <w:basedOn w:val="NormaleTabelle"/>
    <w:uiPriority w:val="48"/>
    <w:rsid w:val="007B5701"/>
    <w:pPr>
      <w:spacing w:after="0"/>
    </w:pPr>
    <w:tblPr>
      <w:tblStyleRowBandSize w:val="1"/>
      <w:tblStyleColBandSize w:val="1"/>
      <w:tblBorders>
        <w:top w:val="single" w:sz="4" w:space="0" w:color="CBB7C1" w:themeColor="accent6" w:themeTint="99"/>
        <w:left w:val="single" w:sz="4" w:space="0" w:color="CBB7C1" w:themeColor="accent6" w:themeTint="99"/>
        <w:bottom w:val="single" w:sz="4" w:space="0" w:color="CBB7C1" w:themeColor="accent6" w:themeTint="99"/>
        <w:right w:val="single" w:sz="4" w:space="0" w:color="CBB7C1" w:themeColor="accent6" w:themeTint="99"/>
        <w:insideH w:val="single" w:sz="4" w:space="0" w:color="CBB7C1" w:themeColor="accent6" w:themeTint="99"/>
        <w:insideV w:val="single" w:sz="4" w:space="0" w:color="CBB7C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7EA" w:themeFill="accent6" w:themeFillTint="33"/>
      </w:tcPr>
    </w:tblStylePr>
    <w:tblStylePr w:type="band1Horz">
      <w:tblPr/>
      <w:tcPr>
        <w:shd w:val="clear" w:color="auto" w:fill="EDE7EA" w:themeFill="accent6" w:themeFillTint="33"/>
      </w:tcPr>
    </w:tblStylePr>
    <w:tblStylePr w:type="neCell">
      <w:tblPr/>
      <w:tcPr>
        <w:tcBorders>
          <w:bottom w:val="single" w:sz="4" w:space="0" w:color="CBB7C1" w:themeColor="accent6" w:themeTint="99"/>
        </w:tcBorders>
      </w:tcPr>
    </w:tblStylePr>
    <w:tblStylePr w:type="nwCell">
      <w:tblPr/>
      <w:tcPr>
        <w:tcBorders>
          <w:bottom w:val="single" w:sz="4" w:space="0" w:color="CBB7C1" w:themeColor="accent6" w:themeTint="99"/>
        </w:tcBorders>
      </w:tcPr>
    </w:tblStylePr>
    <w:tblStylePr w:type="seCell">
      <w:tblPr/>
      <w:tcPr>
        <w:tcBorders>
          <w:top w:val="single" w:sz="4" w:space="0" w:color="CBB7C1" w:themeColor="accent6" w:themeTint="99"/>
        </w:tcBorders>
      </w:tcPr>
    </w:tblStylePr>
    <w:tblStylePr w:type="swCell">
      <w:tblPr/>
      <w:tcPr>
        <w:tcBorders>
          <w:top w:val="single" w:sz="4" w:space="0" w:color="CBB7C1" w:themeColor="accent6" w:themeTint="99"/>
        </w:tcBorders>
      </w:tcPr>
    </w:tblStylePr>
  </w:style>
  <w:style w:type="table" w:styleId="Gitternetztabelle4Akzent6">
    <w:name w:val="Grid Table 4 Accent 6"/>
    <w:basedOn w:val="NormaleTabelle"/>
    <w:uiPriority w:val="49"/>
    <w:rsid w:val="007B5701"/>
    <w:pPr>
      <w:spacing w:after="0"/>
    </w:pPr>
    <w:tblPr>
      <w:tblStyleRowBandSize w:val="1"/>
      <w:tblStyleColBandSize w:val="1"/>
      <w:tblBorders>
        <w:top w:val="single" w:sz="4" w:space="0" w:color="CBB7C1" w:themeColor="accent6" w:themeTint="99"/>
        <w:left w:val="single" w:sz="4" w:space="0" w:color="CBB7C1" w:themeColor="accent6" w:themeTint="99"/>
        <w:bottom w:val="single" w:sz="4" w:space="0" w:color="CBB7C1" w:themeColor="accent6" w:themeTint="99"/>
        <w:right w:val="single" w:sz="4" w:space="0" w:color="CBB7C1" w:themeColor="accent6" w:themeTint="99"/>
        <w:insideH w:val="single" w:sz="4" w:space="0" w:color="CBB7C1" w:themeColor="accent6" w:themeTint="99"/>
        <w:insideV w:val="single" w:sz="4" w:space="0" w:color="CBB7C1" w:themeColor="accent6" w:themeTint="99"/>
      </w:tblBorders>
    </w:tblPr>
    <w:tblStylePr w:type="firstRow">
      <w:rPr>
        <w:b/>
        <w:bCs/>
        <w:color w:val="FFFFFF" w:themeColor="background1"/>
      </w:rPr>
      <w:tblPr/>
      <w:tcPr>
        <w:tcBorders>
          <w:top w:val="single" w:sz="4" w:space="0" w:color="A98899" w:themeColor="accent6"/>
          <w:left w:val="single" w:sz="4" w:space="0" w:color="A98899" w:themeColor="accent6"/>
          <w:bottom w:val="single" w:sz="4" w:space="0" w:color="A98899" w:themeColor="accent6"/>
          <w:right w:val="single" w:sz="4" w:space="0" w:color="A98899" w:themeColor="accent6"/>
          <w:insideH w:val="nil"/>
          <w:insideV w:val="nil"/>
        </w:tcBorders>
        <w:shd w:val="clear" w:color="auto" w:fill="A98899" w:themeFill="accent6"/>
      </w:tcPr>
    </w:tblStylePr>
    <w:tblStylePr w:type="lastRow">
      <w:rPr>
        <w:b/>
        <w:bCs/>
      </w:rPr>
      <w:tblPr/>
      <w:tcPr>
        <w:tcBorders>
          <w:top w:val="double" w:sz="4" w:space="0" w:color="A98899" w:themeColor="accent6"/>
        </w:tcBorders>
      </w:tcPr>
    </w:tblStylePr>
    <w:tblStylePr w:type="firstCol">
      <w:rPr>
        <w:b/>
        <w:bCs/>
      </w:rPr>
    </w:tblStylePr>
    <w:tblStylePr w:type="lastCol">
      <w:rPr>
        <w:b/>
        <w:bCs/>
      </w:rPr>
    </w:tblStylePr>
    <w:tblStylePr w:type="band1Vert">
      <w:tblPr/>
      <w:tcPr>
        <w:shd w:val="clear" w:color="auto" w:fill="EDE7EA" w:themeFill="accent6" w:themeFillTint="33"/>
      </w:tcPr>
    </w:tblStylePr>
    <w:tblStylePr w:type="band1Horz">
      <w:tblPr/>
      <w:tcPr>
        <w:shd w:val="clear" w:color="auto" w:fill="EDE7EA" w:themeFill="accent6" w:themeFillTint="33"/>
      </w:tcPr>
    </w:tblStylePr>
  </w:style>
  <w:style w:type="table" w:styleId="Listentabelle1hellAkzent6">
    <w:name w:val="List Table 1 Light Accent 6"/>
    <w:basedOn w:val="NormaleTabelle"/>
    <w:uiPriority w:val="46"/>
    <w:rsid w:val="007B5701"/>
    <w:pPr>
      <w:spacing w:after="0"/>
    </w:pPr>
    <w:tblPr>
      <w:tblStyleRowBandSize w:val="1"/>
      <w:tblStyleColBandSize w:val="1"/>
    </w:tblPr>
    <w:tblStylePr w:type="firstRow">
      <w:rPr>
        <w:b/>
        <w:bCs/>
      </w:rPr>
      <w:tblPr/>
      <w:tcPr>
        <w:tcBorders>
          <w:bottom w:val="single" w:sz="4" w:space="0" w:color="CBB7C1" w:themeColor="accent6" w:themeTint="99"/>
        </w:tcBorders>
      </w:tcPr>
    </w:tblStylePr>
    <w:tblStylePr w:type="lastRow">
      <w:rPr>
        <w:b/>
        <w:bCs/>
      </w:rPr>
      <w:tblPr/>
      <w:tcPr>
        <w:tcBorders>
          <w:top w:val="single" w:sz="4" w:space="0" w:color="CBB7C1" w:themeColor="accent6" w:themeTint="99"/>
        </w:tcBorders>
      </w:tcPr>
    </w:tblStylePr>
    <w:tblStylePr w:type="firstCol">
      <w:rPr>
        <w:b/>
        <w:bCs/>
      </w:rPr>
    </w:tblStylePr>
    <w:tblStylePr w:type="lastCol">
      <w:rPr>
        <w:b/>
        <w:bCs/>
      </w:rPr>
    </w:tblStylePr>
    <w:tblStylePr w:type="band1Vert">
      <w:tblPr/>
      <w:tcPr>
        <w:shd w:val="clear" w:color="auto" w:fill="EDE7EA" w:themeFill="accent6" w:themeFillTint="33"/>
      </w:tcPr>
    </w:tblStylePr>
    <w:tblStylePr w:type="band1Horz">
      <w:tblPr/>
      <w:tcPr>
        <w:shd w:val="clear" w:color="auto" w:fill="DCCFD6" w:themeFill="accent6" w:themeFillTint="66"/>
      </w:tcPr>
    </w:tblStylePr>
  </w:style>
  <w:style w:type="table" w:styleId="Listentabelle3Akzent6">
    <w:name w:val="List Table 3 Accent 6"/>
    <w:basedOn w:val="NormaleTabelle"/>
    <w:uiPriority w:val="48"/>
    <w:rsid w:val="00AE5D15"/>
    <w:pPr>
      <w:spacing w:after="0"/>
    </w:pPr>
    <w:tblPr>
      <w:tblStyleRowBandSize w:val="1"/>
      <w:tblStyleColBandSize w:val="1"/>
      <w:tblBorders>
        <w:top w:val="single" w:sz="4" w:space="0" w:color="A98899" w:themeColor="accent6"/>
        <w:left w:val="single" w:sz="4" w:space="0" w:color="A98899" w:themeColor="accent6"/>
        <w:bottom w:val="single" w:sz="4" w:space="0" w:color="A98899" w:themeColor="accent6"/>
        <w:right w:val="single" w:sz="4" w:space="0" w:color="A98899" w:themeColor="accent6"/>
      </w:tblBorders>
    </w:tblPr>
    <w:tblStylePr w:type="firstRow">
      <w:rPr>
        <w:b/>
        <w:bCs/>
        <w:color w:val="FFFFFF" w:themeColor="background1"/>
      </w:rPr>
      <w:tblPr/>
      <w:tcPr>
        <w:shd w:val="clear" w:color="auto" w:fill="A98899" w:themeFill="accent6"/>
      </w:tcPr>
    </w:tblStylePr>
    <w:tblStylePr w:type="lastRow">
      <w:rPr>
        <w:b/>
        <w:bCs/>
      </w:rPr>
      <w:tblPr/>
      <w:tcPr>
        <w:tcBorders>
          <w:top w:val="double" w:sz="4" w:space="0" w:color="A98899" w:themeColor="accent6"/>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shd w:val="clear" w:color="auto" w:fill="FFFFFF" w:themeFill="background1"/>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98899" w:themeColor="accent6"/>
          <w:left w:val="nil"/>
        </w:tcBorders>
      </w:tcPr>
    </w:tblStylePr>
    <w:tblStylePr w:type="swCell">
      <w:tblPr/>
      <w:tcPr>
        <w:tcBorders>
          <w:top w:val="double" w:sz="4" w:space="0" w:color="A98899" w:themeColor="accent6"/>
          <w:right w:val="nil"/>
        </w:tcBorders>
      </w:tcPr>
    </w:tblStylePr>
  </w:style>
  <w:style w:type="table" w:styleId="Listentabelle3Akzent5">
    <w:name w:val="List Table 3 Accent 5"/>
    <w:basedOn w:val="NormaleTabelle"/>
    <w:uiPriority w:val="48"/>
    <w:rsid w:val="0020467E"/>
    <w:pPr>
      <w:spacing w:after="0"/>
    </w:pPr>
    <w:tblPr>
      <w:tblStyleRowBandSize w:val="1"/>
      <w:tblStyleColBandSize w:val="1"/>
      <w:tblBorders>
        <w:top w:val="single" w:sz="4" w:space="0" w:color="5F9FBC" w:themeColor="accent5"/>
        <w:left w:val="single" w:sz="4" w:space="0" w:color="5F9FBC" w:themeColor="accent5"/>
        <w:bottom w:val="single" w:sz="4" w:space="0" w:color="5F9FBC" w:themeColor="accent5"/>
        <w:right w:val="single" w:sz="4" w:space="0" w:color="5F9FBC" w:themeColor="accent5"/>
      </w:tblBorders>
    </w:tblPr>
    <w:tblStylePr w:type="firstRow">
      <w:rPr>
        <w:b/>
        <w:bCs/>
        <w:color w:val="FFFFFF" w:themeColor="background1"/>
      </w:rPr>
      <w:tblPr/>
      <w:tcPr>
        <w:shd w:val="clear" w:color="auto" w:fill="5F9FBC" w:themeFill="accent5"/>
      </w:tcPr>
    </w:tblStylePr>
    <w:tblStylePr w:type="lastRow">
      <w:rPr>
        <w:b/>
        <w:bCs/>
      </w:rPr>
      <w:tblPr/>
      <w:tcPr>
        <w:tcBorders>
          <w:top w:val="double" w:sz="4" w:space="0" w:color="5F9FBC" w:themeColor="accent5"/>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5F9FBC" w:themeColor="accent5"/>
          <w:right w:val="single" w:sz="4" w:space="0" w:color="5F9FBC" w:themeColor="accent5"/>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9FBC" w:themeColor="accent5"/>
          <w:left w:val="nil"/>
        </w:tcBorders>
      </w:tcPr>
    </w:tblStylePr>
    <w:tblStylePr w:type="swCell">
      <w:tblPr/>
      <w:tcPr>
        <w:tcBorders>
          <w:top w:val="double" w:sz="4" w:space="0" w:color="5F9FBC" w:themeColor="accent5"/>
          <w:right w:val="nil"/>
        </w:tcBorders>
      </w:tcPr>
    </w:tblStylePr>
  </w:style>
  <w:style w:type="table" w:styleId="Listentabelle3Akzent3">
    <w:name w:val="List Table 3 Accent 3"/>
    <w:basedOn w:val="NormaleTabelle"/>
    <w:uiPriority w:val="48"/>
    <w:rsid w:val="0020467E"/>
    <w:pPr>
      <w:spacing w:after="0"/>
    </w:pPr>
    <w:tblPr>
      <w:tblStyleRowBandSize w:val="1"/>
      <w:tblStyleColBandSize w:val="1"/>
      <w:tblBorders>
        <w:top w:val="single" w:sz="4" w:space="0" w:color="C7CF1C" w:themeColor="accent3"/>
        <w:left w:val="single" w:sz="4" w:space="0" w:color="C7CF1C" w:themeColor="accent3"/>
        <w:bottom w:val="single" w:sz="4" w:space="0" w:color="C7CF1C" w:themeColor="accent3"/>
        <w:right w:val="single" w:sz="4" w:space="0" w:color="C7CF1C" w:themeColor="accent3"/>
      </w:tblBorders>
    </w:tblPr>
    <w:tblStylePr w:type="firstRow">
      <w:rPr>
        <w:b/>
        <w:bCs/>
        <w:color w:val="FFFFFF" w:themeColor="background1"/>
      </w:rPr>
      <w:tblPr/>
      <w:tcPr>
        <w:shd w:val="clear" w:color="auto" w:fill="C7CF1C" w:themeFill="accent3"/>
      </w:tcPr>
    </w:tblStylePr>
    <w:tblStylePr w:type="lastRow">
      <w:rPr>
        <w:b/>
        <w:bCs/>
      </w:rPr>
      <w:tblPr/>
      <w:tcPr>
        <w:tcBorders>
          <w:top w:val="double" w:sz="4" w:space="0" w:color="C7CF1C" w:themeColor="accent3"/>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C7CF1C" w:themeColor="accent3"/>
          <w:right w:val="single" w:sz="4" w:space="0" w:color="C7CF1C" w:themeColor="accent3"/>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7CF1C" w:themeColor="accent3"/>
          <w:left w:val="nil"/>
        </w:tcBorders>
      </w:tcPr>
    </w:tblStylePr>
    <w:tblStylePr w:type="swCell">
      <w:tblPr/>
      <w:tcPr>
        <w:tcBorders>
          <w:top w:val="double" w:sz="4" w:space="0" w:color="C7CF1C" w:themeColor="accent3"/>
          <w:right w:val="nil"/>
        </w:tcBorders>
      </w:tcPr>
    </w:tblStylePr>
  </w:style>
  <w:style w:type="table" w:styleId="Listentabelle3Akzent2">
    <w:name w:val="List Table 3 Accent 2"/>
    <w:basedOn w:val="NormaleTabelle"/>
    <w:uiPriority w:val="48"/>
    <w:rsid w:val="0020467E"/>
    <w:pPr>
      <w:spacing w:after="0"/>
    </w:pPr>
    <w:tblPr>
      <w:tblStyleRowBandSize w:val="1"/>
      <w:tblStyleColBandSize w:val="1"/>
      <w:tblBorders>
        <w:top w:val="single" w:sz="4" w:space="0" w:color="EB5E51" w:themeColor="accent2"/>
        <w:left w:val="single" w:sz="4" w:space="0" w:color="EB5E51" w:themeColor="accent2"/>
        <w:bottom w:val="single" w:sz="4" w:space="0" w:color="EB5E51" w:themeColor="accent2"/>
        <w:right w:val="single" w:sz="4" w:space="0" w:color="EB5E51" w:themeColor="accent2"/>
      </w:tblBorders>
    </w:tblPr>
    <w:tblStylePr w:type="firstRow">
      <w:rPr>
        <w:b/>
        <w:bCs/>
        <w:color w:val="FFFFFF" w:themeColor="background1"/>
      </w:rPr>
      <w:tblPr/>
      <w:tcPr>
        <w:shd w:val="clear" w:color="auto" w:fill="EB5E51" w:themeFill="accent2"/>
      </w:tcPr>
    </w:tblStylePr>
    <w:tblStylePr w:type="lastRow">
      <w:rPr>
        <w:b/>
        <w:bCs/>
      </w:rPr>
      <w:tblPr/>
      <w:tcPr>
        <w:tcBorders>
          <w:top w:val="double" w:sz="4" w:space="0" w:color="EB5E51" w:themeColor="accent2"/>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EB5E51" w:themeColor="accent2"/>
          <w:right w:val="single" w:sz="4" w:space="0" w:color="EB5E51" w:themeColor="accent2"/>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B5E51" w:themeColor="accent2"/>
          <w:left w:val="nil"/>
        </w:tcBorders>
      </w:tcPr>
    </w:tblStylePr>
    <w:tblStylePr w:type="swCell">
      <w:tblPr/>
      <w:tcPr>
        <w:tcBorders>
          <w:top w:val="double" w:sz="4" w:space="0" w:color="EB5E51" w:themeColor="accent2"/>
          <w:right w:val="nil"/>
        </w:tcBorders>
      </w:tcPr>
    </w:tblStylePr>
  </w:style>
  <w:style w:type="table" w:styleId="Listentabelle3Akzent1">
    <w:name w:val="List Table 3 Accent 1"/>
    <w:basedOn w:val="NormaleTabelle"/>
    <w:uiPriority w:val="48"/>
    <w:rsid w:val="00467E46"/>
    <w:pPr>
      <w:spacing w:after="0"/>
    </w:pPr>
    <w:tblPr>
      <w:tblStyleRowBandSize w:val="1"/>
      <w:tblStyleColBandSize w:val="1"/>
      <w:tblBorders>
        <w:top w:val="single" w:sz="4" w:space="0" w:color="D31932" w:themeColor="accent1"/>
        <w:left w:val="single" w:sz="4" w:space="0" w:color="D31932" w:themeColor="accent1"/>
        <w:bottom w:val="single" w:sz="4" w:space="0" w:color="D31932" w:themeColor="accent1"/>
        <w:right w:val="single" w:sz="4" w:space="0" w:color="D31932" w:themeColor="accent1"/>
      </w:tblBorders>
    </w:tblPr>
    <w:tblStylePr w:type="firstRow">
      <w:rPr>
        <w:b/>
        <w:bCs/>
        <w:color w:val="FFFFFF" w:themeColor="background1"/>
      </w:rPr>
      <w:tblPr/>
      <w:tcPr>
        <w:shd w:val="clear" w:color="auto" w:fill="D31932" w:themeFill="accent1"/>
      </w:tcPr>
    </w:tblStylePr>
    <w:tblStylePr w:type="lastRow">
      <w:rPr>
        <w:b/>
        <w:bCs/>
      </w:rPr>
      <w:tblPr/>
      <w:tcPr>
        <w:tcBorders>
          <w:top w:val="double" w:sz="4" w:space="0" w:color="D31932" w:themeColor="accent1"/>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D31932" w:themeColor="accent1"/>
          <w:right w:val="single" w:sz="4" w:space="0" w:color="D31932" w:themeColor="accent1"/>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31932" w:themeColor="accent1"/>
          <w:left w:val="nil"/>
        </w:tcBorders>
      </w:tcPr>
    </w:tblStylePr>
    <w:tblStylePr w:type="swCell">
      <w:tblPr/>
      <w:tcPr>
        <w:tcBorders>
          <w:top w:val="double" w:sz="4" w:space="0" w:color="D31932" w:themeColor="accent1"/>
          <w:right w:val="nil"/>
        </w:tcBorders>
      </w:tcPr>
    </w:tblStylePr>
  </w:style>
  <w:style w:type="table" w:styleId="Listentabelle4">
    <w:name w:val="List Table 4"/>
    <w:basedOn w:val="NormaleTabelle"/>
    <w:uiPriority w:val="49"/>
    <w:rsid w:val="006411DE"/>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3">
    <w:name w:val="List Table 3"/>
    <w:basedOn w:val="NormaleTabelle"/>
    <w:uiPriority w:val="48"/>
    <w:rsid w:val="006411DE"/>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berarbeitung">
    <w:name w:val="Revision"/>
    <w:hidden/>
    <w:semiHidden/>
    <w:rsid w:val="00036AFC"/>
    <w:pPr>
      <w:spacing w:after="0"/>
    </w:pPr>
  </w:style>
  <w:style w:type="character" w:customStyle="1" w:styleId="berschrift2Zchn">
    <w:name w:val="Überschrift 2 Zchn"/>
    <w:basedOn w:val="Absatz-Standardschriftart"/>
    <w:link w:val="berschrift2"/>
    <w:uiPriority w:val="9"/>
    <w:rsid w:val="004D75E8"/>
    <w:rPr>
      <w:rFonts w:eastAsiaTheme="majorEastAsia" w:cs="Open Sans SemiCondensed"/>
      <w:b/>
      <w:bCs/>
      <w:szCs w:val="24"/>
      <w:lang w:val="de-CH"/>
    </w:rPr>
  </w:style>
  <w:style w:type="paragraph" w:styleId="Listenabsatz">
    <w:name w:val="List Paragraph"/>
    <w:basedOn w:val="Standard"/>
    <w:uiPriority w:val="34"/>
    <w:qFormat/>
    <w:rsid w:val="004D75E8"/>
    <w:pPr>
      <w:spacing w:after="160" w:line="278" w:lineRule="auto"/>
      <w:ind w:left="720"/>
      <w:contextualSpacing/>
    </w:pPr>
    <w:rPr>
      <w:rFonts w:asciiTheme="minorHAnsi" w:hAnsiTheme="minorHAnsi"/>
      <w:spacing w:val="0"/>
      <w:kern w:val="2"/>
      <w:sz w:val="24"/>
      <w:szCs w:val="24"/>
      <w14:ligatures w14:val="standardContextual"/>
    </w:rPr>
  </w:style>
  <w:style w:type="paragraph" w:customStyle="1" w:styleId="CitaviBibliographyEntry">
    <w:name w:val="Citavi Bibliography Entry"/>
    <w:basedOn w:val="Standard"/>
    <w:link w:val="CitaviBibliographyEntryZchn"/>
    <w:rsid w:val="00FE54F1"/>
    <w:pPr>
      <w:tabs>
        <w:tab w:val="left" w:pos="283"/>
      </w:tabs>
      <w:spacing w:after="120" w:line="240" w:lineRule="atLeast"/>
      <w:ind w:left="283" w:hanging="283"/>
    </w:pPr>
    <w:rPr>
      <w:rFonts w:ascii="Arial" w:eastAsia="Calibri" w:hAnsi="Arial" w:cs="Times New Roman"/>
      <w:spacing w:val="2"/>
    </w:rPr>
  </w:style>
  <w:style w:type="character" w:customStyle="1" w:styleId="CitaviBibliographyEntryZchn">
    <w:name w:val="Citavi Bibliography Entry Zchn"/>
    <w:basedOn w:val="Absatz-Standardschriftart"/>
    <w:link w:val="CitaviBibliographyEntry"/>
    <w:rsid w:val="00FE54F1"/>
    <w:rPr>
      <w:rFonts w:ascii="Arial" w:eastAsia="Calibri" w:hAnsi="Arial" w:cs="Times New Roman"/>
      <w:spacing w:val="2"/>
      <w:lang w:val="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532473">
      <w:bodyDiv w:val="1"/>
      <w:marLeft w:val="0"/>
      <w:marRight w:val="0"/>
      <w:marTop w:val="0"/>
      <w:marBottom w:val="0"/>
      <w:divBdr>
        <w:top w:val="none" w:sz="0" w:space="0" w:color="auto"/>
        <w:left w:val="none" w:sz="0" w:space="0" w:color="auto"/>
        <w:bottom w:val="none" w:sz="0" w:space="0" w:color="auto"/>
        <w:right w:val="none" w:sz="0" w:space="0" w:color="auto"/>
      </w:divBdr>
    </w:div>
    <w:div w:id="846096855">
      <w:bodyDiv w:val="1"/>
      <w:marLeft w:val="0"/>
      <w:marRight w:val="0"/>
      <w:marTop w:val="0"/>
      <w:marBottom w:val="0"/>
      <w:divBdr>
        <w:top w:val="none" w:sz="0" w:space="0" w:color="auto"/>
        <w:left w:val="none" w:sz="0" w:space="0" w:color="auto"/>
        <w:bottom w:val="none" w:sz="0" w:space="0" w:color="auto"/>
        <w:right w:val="none" w:sz="0" w:space="0" w:color="auto"/>
      </w:divBdr>
    </w:div>
    <w:div w:id="1464616393">
      <w:bodyDiv w:val="1"/>
      <w:marLeft w:val="0"/>
      <w:marRight w:val="0"/>
      <w:marTop w:val="0"/>
      <w:marBottom w:val="0"/>
      <w:divBdr>
        <w:top w:val="none" w:sz="0" w:space="0" w:color="auto"/>
        <w:left w:val="none" w:sz="0" w:space="0" w:color="auto"/>
        <w:bottom w:val="none" w:sz="0" w:space="0" w:color="auto"/>
        <w:right w:val="none" w:sz="0" w:space="0" w:color="auto"/>
      </w:divBdr>
    </w:div>
    <w:div w:id="20630953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svg"/><Relationship Id="rId18" Type="http://schemas.openxmlformats.org/officeDocument/2006/relationships/hyperlink" Target="https://www.proinfirmis.ch/inklusion/stimmrecht-fuer-alle.html"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s://www.proinfirmis.ch/ueber-uns/inklusionsindex.html" TargetMode="External"/><Relationship Id="rId2" Type="http://schemas.openxmlformats.org/officeDocument/2006/relationships/customXml" Target="../customXml/item2.xml"/><Relationship Id="rId16" Type="http://schemas.openxmlformats.org/officeDocument/2006/relationships/hyperlink" Target="https://www.proinfirmis.ch/ueber-uns/inklusionsindex/inklusionsindex-2023.htm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oi.org/10.57161/z2026-07-06" TargetMode="External"/><Relationship Id="rId5" Type="http://schemas.openxmlformats.org/officeDocument/2006/relationships/numbering" Target="numbering.xml"/><Relationship Id="rId15" Type="http://schemas.openxmlformats.org/officeDocument/2006/relationships/hyperlink" Target="mailto:jasmin.baertschi@proinfirmis.ch"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tg.ch/news.html/485/news/64147"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lankMichael_o08zt8h\Downloads\Artikellayout_Zeitschrift_DE%20(3).dotx" TargetMode="External"/></Relationships>
</file>

<file path=word/theme/theme1.xml><?xml version="1.0" encoding="utf-8"?>
<a:theme xmlns:a="http://schemas.openxmlformats.org/drawingml/2006/main" name="Office Theme">
  <a:themeElements>
    <a:clrScheme name="SZH/CSPS">
      <a:dk1>
        <a:sysClr val="windowText" lastClr="000000"/>
      </a:dk1>
      <a:lt1>
        <a:sysClr val="window" lastClr="FFFFFF"/>
      </a:lt1>
      <a:dk2>
        <a:srgbClr val="252B46"/>
      </a:dk2>
      <a:lt2>
        <a:srgbClr val="FFFFFF"/>
      </a:lt2>
      <a:accent1>
        <a:srgbClr val="D31932"/>
      </a:accent1>
      <a:accent2>
        <a:srgbClr val="EB5E51"/>
      </a:accent2>
      <a:accent3>
        <a:srgbClr val="C7CF1C"/>
      </a:accent3>
      <a:accent4>
        <a:srgbClr val="51A66D"/>
      </a:accent4>
      <a:accent5>
        <a:srgbClr val="5F9FBC"/>
      </a:accent5>
      <a:accent6>
        <a:srgbClr val="A98899"/>
      </a:accent6>
      <a:hlink>
        <a:srgbClr val="D31932"/>
      </a:hlink>
      <a:folHlink>
        <a:srgbClr val="252B46"/>
      </a:folHlink>
    </a:clrScheme>
    <a:fontScheme name="Personnalisé 1">
      <a:majorFont>
        <a:latin typeface="Open Sans SemiCondensed"/>
        <a:ea typeface=""/>
        <a:cs typeface=""/>
      </a:majorFont>
      <a:minorFont>
        <a:latin typeface="Open Sans SemiCondensed"/>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fd9addd-010e-4f5f-8f1c-4194eaaa354f" xsi:nil="true"/>
    <lcf76f155ced4ddcb4097134ff3c332f xmlns="76555f21-dda2-40b2-9e67-0c5126acc9b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C27681858B7D484080A6C8E6830BC98C" ma:contentTypeVersion="19" ma:contentTypeDescription="Ein neues Dokument erstellen." ma:contentTypeScope="" ma:versionID="393bf1b7c58559795d7560140b537d72">
  <xsd:schema xmlns:xsd="http://www.w3.org/2001/XMLSchema" xmlns:xs="http://www.w3.org/2001/XMLSchema" xmlns:p="http://schemas.microsoft.com/office/2006/metadata/properties" xmlns:ns2="76555f21-dda2-40b2-9e67-0c5126acc9bb" xmlns:ns3="4fd9addd-010e-4f5f-8f1c-4194eaaa354f" targetNamespace="http://schemas.microsoft.com/office/2006/metadata/properties" ma:root="true" ma:fieldsID="4cda8b67f918704126dad5bdd6c5e32b" ns2:_="" ns3:_="">
    <xsd:import namespace="76555f21-dda2-40b2-9e67-0c5126acc9bb"/>
    <xsd:import namespace="4fd9addd-010e-4f5f-8f1c-4194eaaa354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555f21-dda2-40b2-9e67-0c5126acc9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d8ca9b99-a138-4061-96ae-ccea63f4814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d9addd-010e-4f5f-8f1c-4194eaaa354f"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8d73401d-95f3-4a64-be7b-bef45ce11d4d}" ma:internalName="TaxCatchAll" ma:showField="CatchAllData" ma:web="4fd9addd-010e-4f5f-8f1c-4194eaaa35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b:Source>
    <b:Tag>grü23</b:Tag>
    <b:SourceType>Report</b:SourceType>
    <b:Guid>{CEC8B239-620D-4E7D-AEAD-0752D971FC3E}</b:Guid>
    <b:Title>Inklusionsindex</b:Title>
    <b:Year>2023</b:Year>
    <b:City>Zürich</b:City>
    <b:Publisher>Pro Infirmis</b:Publisher>
    <b:Author>
      <b:Author>
        <b:NameList>
          <b:Person>
            <b:Last>Grünenfelder</b:Last>
            <b:First>Ran</b:First>
          </b:Person>
          <b:Person>
            <b:Last>Palanza</b:Last>
            <b:First>Aurora</b:First>
          </b:Person>
          <b:Person>
            <b:Last>Zumbach</b:Last>
            <b:First>David</b:First>
          </b:Person>
        </b:NameList>
      </b:Author>
    </b:Author>
    <b:InternetSiteTitle>Pro Infirmis</b:InternetSiteTitle>
    <b:URL>https://www.proinfirmis.ch/ueber-uns/inklusionsindex.html</b:URL>
    <b:RefOrder>1</b:RefOrder>
  </b:Source>
  <b:Source>
    <b:Tag>Pro26</b:Tag>
    <b:SourceType>Report</b:SourceType>
    <b:Guid>{CA94CA8A-8547-4719-9D8A-44D71377C6DD}</b:Guid>
    <b:Title>Inklusionsindex</b:Title>
    <b:Year>2026</b:Year>
    <b:Author>
      <b:Author>
        <b:NameList>
          <b:Person>
            <b:Last>Grünenfelder</b:Last>
            <b:First>Ran</b:First>
          </b:Person>
          <b:Person>
            <b:Last>Palanza</b:Last>
            <b:First>Aurora</b:First>
          </b:Person>
          <b:Person>
            <b:Last>Zumbach</b:Last>
            <b:First>David</b:First>
          </b:Person>
        </b:NameList>
      </b:Author>
    </b:Author>
    <b:Month>04</b:Month>
    <b:Day>15</b:Day>
    <b:URL>https://www.proinfirmis.ch/inklusion/politische-partizipation/behindertensession/resolution.html</b:URL>
    <b:Publisher>Pro Infirmis</b:Publisher>
    <b:City>Zürich</b:City>
    <b:RefOrder>2</b:RefOrder>
  </b:Source>
  <b:Source>
    <b:Tag>Bun99</b:Tag>
    <b:SourceType>BookSection</b:SourceType>
    <b:Guid>{3B890EA9-7E08-4E83-85BB-0483E144F2A9}</b:Guid>
    <b:Year>1999</b:Year>
    <b:BookTitle>Bundesverfassung der Schweizerischen Eidgenossenschaft</b:BookTitle>
    <b:Pages>Art. 136</b:Pages>
    <b:RefOrder>3</b:RefOrder>
  </b:Source>
  <b:Source>
    <b:Tag>Pro262</b:Tag>
    <b:SourceType>InternetSite</b:SourceType>
    <b:Guid>{8D883752-5ED8-46D1-A43C-D88796D1278A}</b:Guid>
    <b:Title>Stimmrecht für alle</b:Title>
    <b:Year>2026</b:Year>
    <b:Author>
      <b:Author>
        <b:Corporate>Pro Infirmis</b:Corporate>
      </b:Author>
    </b:Author>
    <b:Month>05</b:Month>
    <b:Day>05</b:Day>
    <b:URL>https://www.proinfirmis.ch/inklusion/stimmrecht-fuer-alle.html</b:URL>
    <b:RefOrder>4</b:RefOrder>
  </b:Source>
  <b:Source>
    <b:Tag>Thu26</b:Tag>
    <b:SourceType>InternetSite</b:SourceType>
    <b:Guid>{FBAC4740-CE2D-4888-B333-E29B0F0020E5}</b:Guid>
    <b:Title>tg.ch</b:Title>
    <b:Year>2026</b:Year>
    <b:Month>05</b:Month>
    <b:Day>05</b:Day>
    <b:URL>https://www.tg.ch/news.html/485/news/64147</b:URL>
    <b:Author>
      <b:Author>
        <b:NameList>
          <b:Person>
            <b:Last>Thurgau</b:Last>
          </b:Person>
        </b:NameList>
      </b:Author>
    </b:Author>
    <b:RefOrder>5</b:RefOrder>
  </b:Source>
  <b:Source>
    <b:Tag>EDI26</b:Tag>
    <b:SourceType>InternetSite</b:SourceType>
    <b:Guid>{8FED2F69-C5C2-4200-B45D-DC87E1F6D626}</b:Guid>
    <b:Author>
      <b:Author>
        <b:NameList>
          <b:Person>
            <b:Last>EDI</b:Last>
          </b:Person>
        </b:NameList>
      </b:Author>
    </b:Author>
    <b:Title>Eidgenössisches Departement des Inneren</b:Title>
    <b:InternetSiteTitle>Behindertengleichstellungsgesetz BehiG</b:InternetSiteTitle>
    <b:Year>2026</b:Year>
    <b:Month>04</b:Month>
    <b:Day>17</b:Day>
    <b:URL>https://www.ebgb.admin.ch/de/behindertengleichstellungsgesetz-behig</b:URL>
    <b:RefOrder>6</b:RefOrder>
  </b:Source>
  <b:Source>
    <b:Tag>Sch06</b:Tag>
    <b:SourceType>InternetSite</b:SourceType>
    <b:Guid>{EB0B8C86-743D-4A5F-9BB3-BBA792AE756D}</b:Guid>
    <b:Title>UNO-BRK</b:Title>
    <b:Year>2026</b:Year>
    <b:Author>
      <b:Author>
        <b:NameList>
          <b:Person>
            <b:Last>Schweizerische Eidgenossenschaft</b:Last>
          </b:Person>
        </b:NameList>
      </b:Author>
    </b:Author>
    <b:Publisher>fedex</b:Publisher>
    <b:City>Bern</b:City>
    <b:Month>04</b:Month>
    <b:Day>15</b:Day>
    <b:URL>https://www.fedlex.admin.ch/eli/cc/2014/245/de?print=true</b:URL>
    <b:RefOrder>7</b:RefOrder>
  </b:Source>
  <b:Source>
    <b:Tag>Fre19</b:Tag>
    <b:SourceType>ArticleInAPeriodical</b:SourceType>
    <b:Guid>{FBCEF7D6-544F-4656-849A-3CDA774BEEDB}</b:Guid>
    <b:Author>
      <b:Author>
        <b:NameList>
          <b:Person>
            <b:Last>Frei</b:Last>
            <b:First>Nula</b:First>
          </b:Person>
        </b:NameList>
      </b:Author>
    </b:Author>
    <b:Title>Mitsprache von Menschen mit Behinderungen in politischen Prozessen</b:Title>
    <b:Year>2019</b:Year>
    <b:Month>Juli</b:Month>
    <b:Day>15</b:Day>
    <b:PeriodicalTitle>Schweizerisches Kompetenzzentrum für Menschenrechte (SKMR)</b:PeriodicalTitle>
    <b:RefOrder>8</b:RefOrder>
  </b:Source>
  <b:Source>
    <b:Tag>Wor11</b:Tag>
    <b:SourceType>Report</b:SourceType>
    <b:Guid>{B1C4A259-D25A-4AAB-B7A1-DF485DDA96B9}</b:Guid>
    <b:Title>World report on disability</b:Title>
    <b:Year>2011</b:Year>
    <b:Publisher>Weltbank</b:Publisher>
    <b:Author>
      <b:Author>
        <b:NameList>
          <b:Person>
            <b:Last>World Health Organization (WHO)</b:Last>
          </b:Person>
        </b:NameList>
      </b:Author>
    </b:Author>
    <b:RefOrder>9</b:RefOrder>
  </b:Source>
  <b:Source>
    <b:Tag>Gay07</b:Tag>
    <b:SourceType>BookSection</b:SourceType>
    <b:Guid>{AE85A18C-4D47-4E16-A020-131606CB450A}</b:Guid>
    <b:Title>Moving Out, Moving Up: Housing Mobility and the Political Participation of the Poor</b:Title>
    <b:Year>2009</b:Year>
    <b:Publisher>Harvard University Press</b:Publisher>
    <b:City>Cambridge MA</b:City>
    <b:BookTitle>Working paper</b:BookTitle>
    <b:Pages>1982-2007</b:Pages>
    <b:Author>
      <b:Author>
        <b:NameList>
          <b:Person>
            <b:Last>Gay</b:Last>
            <b:First>C.</b:First>
          </b:Person>
        </b:NameList>
      </b:Author>
    </b:Author>
    <b:RefOrder>10</b:RefOrder>
  </b:Source>
  <b:Source>
    <b:Tag>Eva20</b:Tag>
    <b:SourceType>ArticleInAPeriodical</b:SourceType>
    <b:Guid>{F0B27745-FA39-4A65-9197-BA6DCBD4BA07}</b:Guid>
    <b:Title>Disability and political representation: Analysing the obstacles to elected office in the UK</b:Title>
    <b:Year>2020</b:Year>
    <b:PeriodicalTitle>International Political Science Review</b:PeriodicalTitle>
    <b:Author>
      <b:Author>
        <b:NameList>
          <b:Person>
            <b:Last>Evans</b:Last>
            <b:First>E.</b:First>
          </b:Person>
          <b:Person>
            <b:Last>Reher</b:Last>
            <b:First>S.</b:First>
          </b:Person>
        </b:NameList>
      </b:Author>
    </b:Author>
    <b:RefOrder>11</b:RefOrder>
  </b:Source>
  <b:Source>
    <b:Tag>Sac15</b:Tag>
    <b:SourceType>ArticleInAPeriodical</b:SourceType>
    <b:Guid>{FCA4F36C-E689-4860-A9AC-AB1B81CA7AE7}</b:Guid>
    <b:Title>Disability and political participation in Ghana: an alternative perspective</b:Title>
    <b:PeriodicalTitle>Scandinavian Journal of Disability Research</b:PeriodicalTitle>
    <b:Year>2015</b:Year>
    <b:Pages>366-381</b:Pages>
    <b:Author>
      <b:Author>
        <b:NameList>
          <b:Person>
            <b:Last>Sackey</b:Last>
            <b:First>E.</b:First>
          </b:Person>
        </b:NameList>
      </b:Author>
    </b:Author>
    <b:RefOrder>12</b:RefOrder>
  </b:Source>
  <b:Source>
    <b:Tag>Wal20</b:Tag>
    <b:SourceType>ArticleInAPeriodical</b:SourceType>
    <b:Guid>{2AA00B6E-AA53-4F16-B40D-FCD3FB171C4E}</b:Guid>
    <b:Title>Politically disabled: Barriers and facilitating factors affecting people with disabilities in political life within the European Union</b:Title>
    <b:Year>2020</b:Year>
    <b:PeriodicalTitle>Disability &amp; Society</b:PeriodicalTitle>
    <b:Pages>1-24</b:Pages>
    <b:Author>
      <b:Author>
        <b:NameList>
          <b:Person>
            <b:Last>Waltz</b:Last>
            <b:First>M.</b:First>
          </b:Person>
          <b:Person>
            <b:Last>Schippers</b:Last>
            <b:First>A.</b:First>
          </b:Person>
        </b:NameList>
      </b:Author>
    </b:Author>
    <b:RefOrder>13</b:RefOrder>
  </b:Source>
  <b:Source>
    <b:Tag>Lov16</b:Tag>
    <b:SourceType>ArticleInAPeriodical</b:SourceType>
    <b:Guid>{50B4C560-E2D2-4976-B719-E308FEC0CD58}</b:Guid>
    <b:Title>The supply and demand model of candidate selection: some reflections</b:Title>
    <b:PeriodicalTitle>Government and Opposition</b:PeriodicalTitle>
    <b:Year>2016</b:Year>
    <b:Pages>513</b:Pages>
    <b:Author>
      <b:Author>
        <b:NameList>
          <b:Person>
            <b:Last>Lovenduski</b:Last>
            <b:First>J.</b:First>
          </b:Person>
        </b:NameList>
      </b:Author>
    </b:Author>
    <b:RefOrder>14</b:RefOrder>
  </b:Source>
  <b:Source>
    <b:Tag>Lev18</b:Tag>
    <b:SourceType>ArticleInAPeriodical</b:SourceType>
    <b:Guid>{B635C5A8-A50C-4246-B851-3BD0963A23CA}</b:Guid>
    <b:Title>Searching for persons with disabilities in Canadian provincial office</b:Title>
    <b:PeriodicalTitle>Canadian Journal of Disability Studies</b:PeriodicalTitle>
    <b:Year>2018</b:Year>
    <b:Pages>526-556</b:Pages>
    <b:Author>
      <b:Author>
        <b:NameList>
          <b:Person>
            <b:Last>Levesque</b:Last>
            <b:First>M.</b:First>
          </b:Person>
        </b:NameList>
      </b:Author>
    </b:Author>
    <b:RefOrder>15</b:RefOrder>
  </b:Source>
  <b:Source>
    <b:Tag>Bro17</b:Tag>
    <b:SourceType>Report</b:SourceType>
    <b:Guid>{3B13E12E-EC5A-469D-A02F-8FEFBB3CA0F6}</b:Guid>
    <b:Title>Open House? Reflections on the Possibility and Practice of MPs Job-Sharing</b:Title>
    <b:Year>2017</b:Year>
    <b:Author>
      <b:Author>
        <b:NameList>
          <b:Person>
            <b:Last>Brothers</b:Last>
            <b:First>R.</b:First>
          </b:Person>
        </b:NameList>
      </b:Author>
    </b:Author>
    <b:RefOrder>16</b:RefOrder>
  </b:Source>
  <b:Source>
    <b:Tag>Pro261</b:Tag>
    <b:SourceType>Report</b:SourceType>
    <b:Guid>{0BE6C33C-E03F-4832-BEA7-6F529D4AA017}</b:Guid>
    <b:Author>
      <b:Author>
        <b:Corporate>Pro Infirmis</b:Corporate>
      </b:Author>
    </b:Author>
    <b:Title>Inklusionsindex 2026</b:Title>
    <b:Year>2026</b:Year>
    <b:Publisher>Grünenfelder Zumbach</b:Publisher>
    <b:City>Zürich</b:City>
    <b:RefOrder>17</b:RefOrder>
  </b:Source>
</b:Sources>
</file>

<file path=customXml/itemProps1.xml><?xml version="1.0" encoding="utf-8"?>
<ds:datastoreItem xmlns:ds="http://schemas.openxmlformats.org/officeDocument/2006/customXml" ds:itemID="{E3F9FDA9-7FB6-4D8D-862D-895C44714D11}">
  <ds:schemaRefs>
    <ds:schemaRef ds:uri="http://schemas.microsoft.com/office/2006/metadata/properties"/>
    <ds:schemaRef ds:uri="http://schemas.microsoft.com/office/infopath/2007/PartnerControls"/>
    <ds:schemaRef ds:uri="4fd9addd-010e-4f5f-8f1c-4194eaaa354f"/>
    <ds:schemaRef ds:uri="76555f21-dda2-40b2-9e67-0c5126acc9bb"/>
  </ds:schemaRefs>
</ds:datastoreItem>
</file>

<file path=customXml/itemProps2.xml><?xml version="1.0" encoding="utf-8"?>
<ds:datastoreItem xmlns:ds="http://schemas.openxmlformats.org/officeDocument/2006/customXml" ds:itemID="{E47EC88C-8D21-434D-9DE7-8252E3B8ED27}">
  <ds:schemaRefs>
    <ds:schemaRef ds:uri="http://schemas.microsoft.com/sharepoint/v3/contenttype/forms"/>
  </ds:schemaRefs>
</ds:datastoreItem>
</file>

<file path=customXml/itemProps3.xml><?xml version="1.0" encoding="utf-8"?>
<ds:datastoreItem xmlns:ds="http://schemas.openxmlformats.org/officeDocument/2006/customXml" ds:itemID="{CDE1FC94-D45C-422E-9F5F-832AFC9B47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555f21-dda2-40b2-9e67-0c5126acc9bb"/>
    <ds:schemaRef ds:uri="4fd9addd-010e-4f5f-8f1c-4194eaaa35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3EE403D-8BBB-4A78-8F20-81D1F3AAF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Artikellayout_Zeitschrift_DE (3).dotx</Template>
  <TotalTime>0</TotalTime>
  <Pages>6</Pages>
  <Words>2646</Words>
  <Characters>16670</Characters>
  <Application>Microsoft Office Word</Application>
  <DocSecurity>0</DocSecurity>
  <Lines>138</Lines>
  <Paragraphs>38</Paragraphs>
  <ScaleCrop>false</ScaleCrop>
  <HeadingPairs>
    <vt:vector size="2" baseType="variant">
      <vt:variant>
        <vt:lpstr>Titel</vt:lpstr>
      </vt:variant>
      <vt:variant>
        <vt:i4>1</vt:i4>
      </vt:variant>
    </vt:vector>
  </HeadingPairs>
  <TitlesOfParts>
    <vt:vector size="1" baseType="lpstr">
      <vt:lpstr>Demokratie für alle_x000d_</vt:lpstr>
    </vt:vector>
  </TitlesOfParts>
  <Company/>
  <LinksUpToDate>false</LinksUpToDate>
  <CharactersWithSpaces>19278</CharactersWithSpaces>
  <SharedDoc>false</SharedDoc>
  <HLinks>
    <vt:vector size="30" baseType="variant">
      <vt:variant>
        <vt:i4>5570566</vt:i4>
      </vt:variant>
      <vt:variant>
        <vt:i4>90</vt:i4>
      </vt:variant>
      <vt:variant>
        <vt:i4>0</vt:i4>
      </vt:variant>
      <vt:variant>
        <vt:i4>5</vt:i4>
      </vt:variant>
      <vt:variant>
        <vt:lpwstr>https://www.proinfirmis.ch/inklusion/politische-partizipation/behindertensession/resolution.html</vt:lpwstr>
      </vt:variant>
      <vt:variant>
        <vt:lpwstr/>
      </vt:variant>
      <vt:variant>
        <vt:i4>720986</vt:i4>
      </vt:variant>
      <vt:variant>
        <vt:i4>87</vt:i4>
      </vt:variant>
      <vt:variant>
        <vt:i4>0</vt:i4>
      </vt:variant>
      <vt:variant>
        <vt:i4>5</vt:i4>
      </vt:variant>
      <vt:variant>
        <vt:lpwstr>https://www.proinfirmis.ch/ueber-uns/inklusionsindex.html</vt:lpwstr>
      </vt:variant>
      <vt:variant>
        <vt:lpwstr/>
      </vt:variant>
      <vt:variant>
        <vt:i4>4063333</vt:i4>
      </vt:variant>
      <vt:variant>
        <vt:i4>84</vt:i4>
      </vt:variant>
      <vt:variant>
        <vt:i4>0</vt:i4>
      </vt:variant>
      <vt:variant>
        <vt:i4>5</vt:i4>
      </vt:variant>
      <vt:variant>
        <vt:lpwstr>https://www.ebgb.admin.ch/de/behindertengleichstellungsgesetz-behig</vt:lpwstr>
      </vt:variant>
      <vt:variant>
        <vt:lpwstr/>
      </vt:variant>
      <vt:variant>
        <vt:i4>5505076</vt:i4>
      </vt:variant>
      <vt:variant>
        <vt:i4>81</vt:i4>
      </vt:variant>
      <vt:variant>
        <vt:i4>0</vt:i4>
      </vt:variant>
      <vt:variant>
        <vt:i4>5</vt:i4>
      </vt:variant>
      <vt:variant>
        <vt:lpwstr>mailto:jasmin.baertschi@proinfirmis.ch</vt:lpwstr>
      </vt:variant>
      <vt:variant>
        <vt:lpwstr/>
      </vt:variant>
      <vt:variant>
        <vt:i4>7209066</vt:i4>
      </vt:variant>
      <vt:variant>
        <vt:i4>0</vt:i4>
      </vt:variant>
      <vt:variant>
        <vt:i4>0</vt:i4>
      </vt:variant>
      <vt:variant>
        <vt:i4>5</vt:i4>
      </vt:variant>
      <vt:variant>
        <vt:lpwstr>https://doi.org/10.57161/z20xx-yy-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Demokratie für alle_x000d_</dc:title>
  <dc:subject/>
  <dc:creator>Jasmin Bärtschi_x000d_</dc:creator>
  <cp:keywords>Inklusionsindex, Selbstvertretung, politische Teilhabe, politische Bildung, Stimmrecht, Mitbestimmung / indice d'inclusion, autoreprésentation, participation politique, éducation politique, droit de vote, participation aux décisions</cp:keywords>
  <cp:lastModifiedBy>Gut, Damaris</cp:lastModifiedBy>
  <cp:revision>23</cp:revision>
  <cp:lastPrinted>2022-07-01T21:31:00Z</cp:lastPrinted>
  <dcterms:created xsi:type="dcterms:W3CDTF">2026-08-18T09:46:00Z</dcterms:created>
  <dcterms:modified xsi:type="dcterms:W3CDTF">2026-08-26T10:11:00Z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0x010100C27681858B7D484080A6C8E6830BC98C</vt:lpwstr>
  </property>
  <property fmtid="{D5CDD505-2E9C-101B-9397-08002B2CF9AE}" pid="3" name="MediaServiceImageTags">
    <vt:lpwstr/>
  </property>
  <property fmtid="{D5CDD505-2E9C-101B-9397-08002B2CF9AE}" pid="4" name="ZOTERO_PREF_1">
    <vt:lpwstr>&lt;data data-version="3" zotero-version="5.0.96.3"&gt;&lt;session id="QVTIewH6"/&gt;&lt;style id="http://www.zotero.org/styles/apa" locale="fr-FR" hasBibliography="1" bibliographyStyleHasBeenSet="1"/&gt;&lt;prefs&gt;&lt;pref name="fieldType" value="Bookmark"/&gt;&lt;pref name="automatic</vt:lpwstr>
  </property>
  <property fmtid="{D5CDD505-2E9C-101B-9397-08002B2CF9AE}" pid="5" name="ZOTERO_PREF_2">
    <vt:lpwstr>JournalAbbreviations" value="true"/&gt;&lt;/prefs&gt;&lt;/data&gt;</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 11th edition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7th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 6th edition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10th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http://www.zotero.org/styles/modern-humanities-research-association</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Id 8_1">
    <vt:lpwstr>http://www.zotero.org/styles/modern-language-association</vt:lpwstr>
  </property>
  <property fmtid="{D5CDD505-2E9C-101B-9397-08002B2CF9AE}" pid="23" name="Mendeley Recent Style Name 8_1">
    <vt:lpwstr>Modern Language Association 8th edition</vt:lpwstr>
  </property>
  <property fmtid="{D5CDD505-2E9C-101B-9397-08002B2CF9AE}" pid="24" name="Mendeley Recent Style Id 9_1">
    <vt:lpwstr>http://www.zotero.org/styles/nature</vt:lpwstr>
  </property>
  <property fmtid="{D5CDD505-2E9C-101B-9397-08002B2CF9AE}" pid="25" name="Mendeley Recent Style Name 9_1">
    <vt:lpwstr>Nature</vt:lpwstr>
  </property>
  <property fmtid="{D5CDD505-2E9C-101B-9397-08002B2CF9AE}" pid="26" name="ZOTERO_BREF_LJpYRCftHTcs_1">
    <vt:lpwstr>ZOTERO_ITEM CSL_CITATION {"citationID":"UR6fXmLH","properties":{"formattedCitation":"(Bourke-Taylor et al., 2010)","plainCitation":"(Bourke-Taylor et al., 2010)","noteIndex":0},"citationItems":[{"id":2,"uris":["http://zotero.org/users/local/VFQK57b2/items</vt:lpwstr>
  </property>
  <property fmtid="{D5CDD505-2E9C-101B-9397-08002B2CF9AE}" pid="27" name="ZOTERO_BREF_LJpYRCftHTcs_2">
    <vt:lpwstr>/ELZKDGJZ"],"uri":["http://zotero.org/users/local/VFQK57b2/items/ELZKDGJZ"],"itemData":{"id":2,"type":"article-journal","container-title":"Australian Occupational Therapy Journal","DOI":"10.1111/j.1440-1630.2009.00817.x","issue":"2","language":"en","page"</vt:lpwstr>
  </property>
  <property fmtid="{D5CDD505-2E9C-101B-9397-08002B2CF9AE}" pid="28" name="ZOTERO_BREF_LJpYRCftHTcs_3">
    <vt:lpwstr>:"127–36","title":"Impact of caring for a school-aged child with a disability: understanding mothers' perspectives","volume":"57","author":[{"family":"Bourke-Taylor","given":"H."},{"family":"Howie","given":"L."},{"family":"Law","given":"M."}],"issued":{"d</vt:lpwstr>
  </property>
  <property fmtid="{D5CDD505-2E9C-101B-9397-08002B2CF9AE}" pid="29" name="ZOTERO_BREF_LJpYRCftHTcs_4">
    <vt:lpwstr>ate-parts":[["2010"]]},"citation-key":"bourke-taylorImpactCaringSchoolaged2010"}}],"schema":"https://github.com/citation-style-language/schema/raw/master/csl-citation.json"}</vt:lpwstr>
  </property>
  <property fmtid="{D5CDD505-2E9C-101B-9397-08002B2CF9AE}" pid="30" name="ZOTERO_BREF_0lLwaBULNIz3_1">
    <vt:lpwstr>ZOTERO_BIBL {"uncited":[],"omitted":[],"custom":[]} CSL_BIBLIOGRAPHY</vt:lpwstr>
  </property>
</Properties>
</file>