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C742F" w14:textId="77777777" w:rsidR="00D9066A" w:rsidRDefault="00D9066A" w:rsidP="00D9066A">
      <w:pPr>
        <w:pStyle w:val="Titel"/>
      </w:pPr>
      <w:r>
        <w:t>Co-Teaching-Formen gezielt einsetzen</w:t>
      </w:r>
    </w:p>
    <w:p w14:paraId="28220E3C" w14:textId="77777777" w:rsidR="00D9066A" w:rsidRDefault="00D9066A" w:rsidP="00D9066A">
      <w:pPr>
        <w:pStyle w:val="Untertitel"/>
        <w:rPr>
          <w:rFonts w:cs="Open Sans SemiCondensed"/>
        </w:rPr>
      </w:pPr>
      <w:r>
        <w:rPr>
          <w:rFonts w:cs="Open Sans SemiCondensed"/>
        </w:rPr>
        <w:t>Das Potenzial von Co-Teaching-Formen auf der Tiefenebene</w:t>
      </w:r>
    </w:p>
    <w:p w14:paraId="3D88E17F" w14:textId="77777777" w:rsidR="00D9066A" w:rsidRDefault="00D9066A" w:rsidP="00D9066A">
      <w:pPr>
        <w:pStyle w:val="Author"/>
        <w:rPr>
          <w:lang w:val="de-CH"/>
        </w:rPr>
      </w:pPr>
      <w:r>
        <w:rPr>
          <w:lang w:val="de-CH"/>
        </w:rPr>
        <w:t xml:space="preserve">Bea </w:t>
      </w:r>
      <w:proofErr w:type="spellStart"/>
      <w:r>
        <w:rPr>
          <w:lang w:val="de-CH"/>
        </w:rPr>
        <w:t>Zumwald</w:t>
      </w:r>
      <w:proofErr w:type="spellEnd"/>
    </w:p>
    <w:p w14:paraId="473FACD6" w14:textId="77777777" w:rsidR="00D9066A" w:rsidRDefault="00D9066A" w:rsidP="00D9066A">
      <w:pPr>
        <w:pStyle w:val="Abstract"/>
        <w:rPr>
          <w:rFonts w:cs="Open Sans SemiCondensed"/>
        </w:rPr>
      </w:pPr>
      <w:r>
        <w:rPr>
          <w:rFonts w:cs="Open Sans SemiCondensed"/>
        </w:rPr>
        <w:t>Zusammenfassung</w:t>
      </w:r>
      <w:r>
        <w:rPr>
          <w:rFonts w:cs="Open Sans SemiCondensed"/>
        </w:rPr>
        <w:br/>
        <w:t xml:space="preserve">Co-Teaching von Lehrpersonen und Schulischen </w:t>
      </w:r>
      <w:proofErr w:type="spellStart"/>
      <w:proofErr w:type="gramStart"/>
      <w:r>
        <w:rPr>
          <w:rFonts w:cs="Open Sans SemiCondensed"/>
        </w:rPr>
        <w:t>Heilpädagog:innen</w:t>
      </w:r>
      <w:proofErr w:type="spellEnd"/>
      <w:proofErr w:type="gramEnd"/>
      <w:r>
        <w:rPr>
          <w:rFonts w:cs="Open Sans SemiCondensed"/>
        </w:rPr>
        <w:t xml:space="preserve"> ist ein Kernelement inklusiver Schule. Es wird erwartet, dass Co-Teaching das Lernen der </w:t>
      </w:r>
      <w:proofErr w:type="spellStart"/>
      <w:proofErr w:type="gramStart"/>
      <w:r>
        <w:rPr>
          <w:rFonts w:cs="Open Sans SemiCondensed"/>
        </w:rPr>
        <w:t>Schüler:innen</w:t>
      </w:r>
      <w:proofErr w:type="spellEnd"/>
      <w:proofErr w:type="gramEnd"/>
      <w:r>
        <w:rPr>
          <w:rFonts w:cs="Open Sans SemiCondensed"/>
        </w:rPr>
        <w:t xml:space="preserve"> unterstützt und den Unterricht differenzierter sowie inklusiver macht. Zudem soll es Lehr- und Fachpersonen entlasten sowie ihre Professionalisierung fördern. Im vorliegenden Artikel werden Co-Teaching-Formen als Organisationsformen auf der Oberflächenebene untersucht. Basierend auf empirischen Studien wird das Potenzial der einzelnen Co-Teaching-Formen diskutiert. Dies bietet die Grundlage dafür, dass Lehr- und Fachpersonen Co-Teaching zielorientierter einsetzen können.</w:t>
      </w:r>
    </w:p>
    <w:p w14:paraId="70D67690" w14:textId="77777777" w:rsidR="00D9066A" w:rsidRDefault="00D9066A" w:rsidP="00D9066A">
      <w:pPr>
        <w:pStyle w:val="Abstract"/>
        <w:rPr>
          <w:lang w:val="fr-CH"/>
        </w:rPr>
      </w:pPr>
      <w:r>
        <w:rPr>
          <w:lang w:val="fr-CH"/>
        </w:rPr>
        <w:t>Résumé</w:t>
      </w:r>
      <w:r>
        <w:rPr>
          <w:lang w:val="fr-CH"/>
        </w:rPr>
        <w:br/>
        <w:t xml:space="preserve">Le </w:t>
      </w:r>
      <w:proofErr w:type="spellStart"/>
      <w:r>
        <w:rPr>
          <w:lang w:val="fr-CH"/>
        </w:rPr>
        <w:t>coenseignement</w:t>
      </w:r>
      <w:proofErr w:type="spellEnd"/>
      <w:r>
        <w:rPr>
          <w:lang w:val="fr-CH"/>
        </w:rPr>
        <w:t xml:space="preserve"> entre enseignantes et enseignants réguliers et enseignantes et enseignants spécialisés est un élément central de l'école inclusive. Le </w:t>
      </w:r>
      <w:proofErr w:type="spellStart"/>
      <w:r>
        <w:rPr>
          <w:lang w:val="fr-CH"/>
        </w:rPr>
        <w:t>coenseignement</w:t>
      </w:r>
      <w:proofErr w:type="spellEnd"/>
      <w:r>
        <w:rPr>
          <w:lang w:val="fr-CH"/>
        </w:rPr>
        <w:t xml:space="preserve"> doit soutenir l'apprentissage des élèves et rendre l'enseignement plus différencié et in</w:t>
      </w:r>
      <w:proofErr w:type="gramStart"/>
      <w:r>
        <w:rPr>
          <w:lang w:val="fr-CH"/>
        </w:rPr>
        <w:t>clusif</w:t>
      </w:r>
      <w:proofErr w:type="gramEnd"/>
      <w:r>
        <w:rPr>
          <w:lang w:val="fr-CH"/>
        </w:rPr>
        <w:t>. En outre, il doit décharger tant les enseignantes et enseignants réguliers que spécialisés, et favoriser leur professionnalisation. Cet article examine les caractéristiques dites « de surface » (</w:t>
      </w:r>
      <w:proofErr w:type="spellStart"/>
      <w:r>
        <w:rPr>
          <w:lang w:val="fr-CH"/>
        </w:rPr>
        <w:t>Oberflächenebene</w:t>
      </w:r>
      <w:proofErr w:type="spellEnd"/>
      <w:r>
        <w:rPr>
          <w:lang w:val="fr-CH"/>
        </w:rPr>
        <w:t xml:space="preserve">), c’est-à-dire, les différentes formes de </w:t>
      </w:r>
      <w:proofErr w:type="spellStart"/>
      <w:r>
        <w:rPr>
          <w:lang w:val="fr-CH"/>
        </w:rPr>
        <w:t>coenseignement</w:t>
      </w:r>
      <w:proofErr w:type="spellEnd"/>
      <w:r>
        <w:rPr>
          <w:lang w:val="fr-CH"/>
        </w:rPr>
        <w:t xml:space="preserve"> au niveau de l’organisation. Partant d’études empiriques, il discute de leur potentiel, donnant une base aux enseignantes et enseignants réguliers et spécialisés dans l’utilisation plus ciblée du </w:t>
      </w:r>
      <w:proofErr w:type="spellStart"/>
      <w:r>
        <w:rPr>
          <w:lang w:val="fr-CH"/>
        </w:rPr>
        <w:t>coenseignement</w:t>
      </w:r>
      <w:proofErr w:type="spellEnd"/>
      <w:r>
        <w:rPr>
          <w:lang w:val="fr-CH"/>
        </w:rPr>
        <w:t>.</w:t>
      </w:r>
    </w:p>
    <w:p w14:paraId="6E8F76EF" w14:textId="77777777" w:rsidR="00D9066A" w:rsidRPr="00D9066A" w:rsidRDefault="00D9066A" w:rsidP="00D9066A">
      <w:pPr>
        <w:pStyle w:val="Textkrper3"/>
        <w:rPr>
          <w:rStyle w:val="Fett"/>
          <w:rFonts w:cs="Open Sans SemiCondensed"/>
          <w:lang w:val="fr-CH"/>
        </w:rPr>
      </w:pPr>
      <w:proofErr w:type="gramStart"/>
      <w:r>
        <w:rPr>
          <w:rStyle w:val="Fett"/>
          <w:rFonts w:cs="Open Sans SemiCondensed"/>
          <w:lang w:val="fr-CH"/>
        </w:rPr>
        <w:t>Keywords</w:t>
      </w:r>
      <w:r>
        <w:rPr>
          <w:lang w:val="fr-CH"/>
        </w:rPr>
        <w:t>:</w:t>
      </w:r>
      <w:proofErr w:type="gramEnd"/>
      <w:r>
        <w:rPr>
          <w:lang w:val="fr-CH"/>
        </w:rPr>
        <w:t xml:space="preserve"> </w:t>
      </w:r>
      <w:r w:rsidRPr="00C049B5">
        <w:t>Teamteaching, Multiprofessionalität, Kooperation, inklusiver Unterricht, Unterrichtsplanung /</w:t>
      </w:r>
      <w:r>
        <w:rPr>
          <w:lang w:val="fr-CH"/>
        </w:rPr>
        <w:t xml:space="preserve"> </w:t>
      </w:r>
      <w:proofErr w:type="spellStart"/>
      <w:r>
        <w:rPr>
          <w:lang w:val="fr-CH"/>
        </w:rPr>
        <w:t>coenseignement</w:t>
      </w:r>
      <w:proofErr w:type="spellEnd"/>
      <w:r>
        <w:rPr>
          <w:lang w:val="fr-CH"/>
        </w:rPr>
        <w:t xml:space="preserve">, </w:t>
      </w:r>
      <w:proofErr w:type="spellStart"/>
      <w:r>
        <w:rPr>
          <w:lang w:val="fr-CH"/>
        </w:rPr>
        <w:t>multiprofessionnalité</w:t>
      </w:r>
      <w:proofErr w:type="spellEnd"/>
      <w:r>
        <w:rPr>
          <w:lang w:val="fr-CH"/>
        </w:rPr>
        <w:t>, coopération, enseignement inclusif, planification de l'enseignement</w:t>
      </w:r>
      <w:r>
        <w:rPr>
          <w:rStyle w:val="Fett"/>
          <w:rFonts w:cs="Open Sans SemiCondensed"/>
          <w:lang w:val="fr-CH"/>
        </w:rPr>
        <w:t xml:space="preserve"> </w:t>
      </w:r>
    </w:p>
    <w:p w14:paraId="10D29C26" w14:textId="77777777" w:rsidR="00D9066A" w:rsidRPr="00D9066A" w:rsidRDefault="00D9066A" w:rsidP="00D9066A">
      <w:pPr>
        <w:pStyle w:val="Textkrper3"/>
        <w:rPr>
          <w:lang w:val="fr-CH"/>
        </w:rPr>
      </w:pPr>
      <w:proofErr w:type="gramStart"/>
      <w:r>
        <w:rPr>
          <w:rStyle w:val="Fett"/>
          <w:rFonts w:cs="Open Sans SemiCondensed"/>
          <w:lang w:val="fr-CH"/>
        </w:rPr>
        <w:t>DOI</w:t>
      </w:r>
      <w:r>
        <w:rPr>
          <w:rFonts w:cs="Open Sans SemiCondensed"/>
          <w:lang w:val="fr-CH"/>
        </w:rPr>
        <w:t>:</w:t>
      </w:r>
      <w:proofErr w:type="gramEnd"/>
      <w:r>
        <w:rPr>
          <w:rFonts w:cs="Open Sans SemiCondensed"/>
          <w:lang w:val="fr-CH"/>
        </w:rPr>
        <w:t xml:space="preserve"> </w:t>
      </w:r>
      <w:hyperlink r:id="rId11" w:history="1">
        <w:r>
          <w:rPr>
            <w:rStyle w:val="Hyperlink"/>
            <w:spacing w:val="0"/>
            <w:lang w:val="fr-CH"/>
          </w:rPr>
          <w:t>https://doi.org/10.57161/z2025-01-02</w:t>
        </w:r>
      </w:hyperlink>
      <w:hyperlink w:history="1"/>
    </w:p>
    <w:p w14:paraId="7ABD11E0" w14:textId="77777777" w:rsidR="00D9066A" w:rsidRDefault="00D9066A" w:rsidP="00D9066A">
      <w:pPr>
        <w:pStyle w:val="Textkrper3"/>
      </w:pPr>
      <w:r>
        <w:t>Schweizerische Zeitschrift für Heilpädagogik, Jg. 31, 01/2025</w:t>
      </w:r>
    </w:p>
    <w:p w14:paraId="4263C7CB" w14:textId="2FDB3257" w:rsidR="00D9066A" w:rsidRDefault="00D9066A" w:rsidP="00D9066A">
      <w:pPr>
        <w:pStyle w:val="Textkrper3"/>
        <w:rPr>
          <w:lang w:val="fr-CH"/>
        </w:rPr>
      </w:pPr>
      <w:r>
        <w:rPr>
          <w:noProof/>
        </w:rPr>
        <w:drawing>
          <wp:inline distT="0" distB="0" distL="0" distR="0" wp14:anchorId="57B2F072" wp14:editId="195A14C3">
            <wp:extent cx="1143000" cy="404495"/>
            <wp:effectExtent l="0" t="0" r="0" b="0"/>
            <wp:docPr id="374094090" name="Grafik 2" descr="Creative Common BY"/>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F495AF" w14:textId="5CA26251" w:rsidR="00D9066A" w:rsidRDefault="00D9066A" w:rsidP="00D9066A">
      <w:pPr>
        <w:pStyle w:val="berschrift1"/>
      </w:pPr>
      <w:r>
        <w:t>Einleitung</w:t>
      </w:r>
    </w:p>
    <w:p w14:paraId="2A1F135F" w14:textId="77777777" w:rsidR="00D9066A" w:rsidRDefault="00D9066A" w:rsidP="00D9066A">
      <w:pPr>
        <w:pStyle w:val="Textkrper"/>
        <w:ind w:firstLine="0"/>
      </w:pPr>
      <w:r>
        <w:t xml:space="preserve">Die Kooperation beziehungsweise das Co-Teaching von Lehrpersonen und Schulischen </w:t>
      </w:r>
      <w:proofErr w:type="spellStart"/>
      <w:proofErr w:type="gramStart"/>
      <w:r>
        <w:t>Heilpädagog:innen</w:t>
      </w:r>
      <w:proofErr w:type="spellEnd"/>
      <w:proofErr w:type="gramEnd"/>
      <w:r>
        <w:t xml:space="preserve"> ist ein Kernthema in der Diskussion um inklusive Schulformen. Diese Form der Zusammenarbeit soll positive Effekte auf das Lernen der Kinder und die Inklusion haben. Die Forschung hat jedoch mehrfach darauf hingewiesen, dass empirisch nicht geklärt ist, inwieweit Kooperation tatsächlich wirkt </w:t>
      </w:r>
      <w:r>
        <w:rPr>
          <w:noProof/>
        </w:rPr>
        <w:t>(Grosche &amp; Moser Opitz, 2023)</w:t>
      </w:r>
      <w:r>
        <w:t xml:space="preserve">. Manche Forschungsergebnisse zeigen sogar, dass ihr Effekt klein oder nicht vorhanden ist </w:t>
      </w:r>
      <w:r>
        <w:rPr>
          <w:noProof/>
        </w:rPr>
        <w:t>(Hattie, 2013)</w:t>
      </w:r>
      <w:r>
        <w:t xml:space="preserve">. Oft werden unterschiedliche Formen der Zusammenarbeit gebündelt, wenn die Wirksamkeit von Kooperation untersucht wird </w:t>
      </w:r>
      <w:r>
        <w:rPr>
          <w:noProof/>
        </w:rPr>
        <w:t>(Hattie, 2013)</w:t>
      </w:r>
      <w:r>
        <w:t xml:space="preserve">. Bereits </w:t>
      </w:r>
      <w:r>
        <w:rPr>
          <w:noProof/>
        </w:rPr>
        <w:t>Bauer (2008)</w:t>
      </w:r>
      <w:r>
        <w:t xml:space="preserve"> hat jedoch betont, dass wirksame Kooperation mehrdimensional ist und verschiedene Formen und Modi kombiniert. Auch </w:t>
      </w:r>
      <w:r>
        <w:rPr>
          <w:noProof/>
        </w:rPr>
        <w:t>Grosche et al. (2020)</w:t>
      </w:r>
      <w:r>
        <w:t xml:space="preserve"> gehen davon aus, dass Austausch, Arbeitsteilung und Ko-Konstruktion für verschiedene Ziele unterschiedlich wirksam sind. Das bedeutet, dass Lehrpersonen und Schulische </w:t>
      </w:r>
      <w:proofErr w:type="spellStart"/>
      <w:proofErr w:type="gramStart"/>
      <w:r>
        <w:t>Heilpädagog:innen</w:t>
      </w:r>
      <w:proofErr w:type="spellEnd"/>
      <w:proofErr w:type="gramEnd"/>
      <w:r>
        <w:t xml:space="preserve"> sich überlegen müssen, welches Ziel sie verfolgen, wenn sie die Form ihrer Zusammenarbeit planen.</w:t>
      </w:r>
    </w:p>
    <w:p w14:paraId="0536F137" w14:textId="075338C7" w:rsidR="00D9066A" w:rsidRDefault="00D9066A" w:rsidP="00D9066A">
      <w:pPr>
        <w:pStyle w:val="Textkrper"/>
      </w:pPr>
      <w:r>
        <w:t xml:space="preserve">Das Ziel des vorliegenden Artikels ist, das Potenzial der verschiedenen Co-Teaching-Formen genauer zu untersuchen, sodass sie gezielt für den Unterricht eingesetzt werden können. Dafür wird auf das Konzept von Oberflächen- und Tiefenmerkmalen von Unterricht zurückgegriffen. Nach </w:t>
      </w:r>
      <w:r>
        <w:rPr>
          <w:noProof/>
        </w:rPr>
        <w:t>Hildebrandt et al. (2020)</w:t>
      </w:r>
      <w:r>
        <w:t xml:space="preserve"> sowie </w:t>
      </w:r>
      <w:r>
        <w:rPr>
          <w:noProof/>
        </w:rPr>
        <w:t>Grosche und Moser Opitz (2023)</w:t>
      </w:r>
      <w:r>
        <w:t xml:space="preserve"> macht es dieses Konzept möglich, das kooperative Unterrichten und dessen Effekte zu fassen. Im Folgenden wird deshalb zuerst geklärt, was unter Oberflächen- und Tiefenmerkmalen zu verstehen ist. Zweitens werden die Co-Teaching-Formen als Oberflächenmerkmale beschrieben. In einem dritten Schritt wird exemplarisch aufgezeigt, welches </w:t>
      </w:r>
      <w:r>
        <w:lastRenderedPageBreak/>
        <w:t>Potenzial die einzelnen Co-Teaching-Formen aufweisen. Die Forschungsliteratur diskutiert dieses Potenzial oft nur theoretisch. Der vorliegende Artikel bezieht zusätzlich auch Erkenntnisse aus empirischen Studien ein.</w:t>
      </w:r>
    </w:p>
    <w:p w14:paraId="27D08C52" w14:textId="77777777" w:rsidR="00D9066A" w:rsidRDefault="00D9066A" w:rsidP="00D9066A">
      <w:pPr>
        <w:pStyle w:val="berschrift1"/>
      </w:pPr>
      <w:r>
        <w:t>Oberflächen- und Tiefenmerkmale</w:t>
      </w:r>
    </w:p>
    <w:p w14:paraId="06A3E841" w14:textId="77777777" w:rsidR="00D9066A" w:rsidRDefault="00D9066A" w:rsidP="00D9066A">
      <w:pPr>
        <w:pStyle w:val="Textkrper"/>
        <w:ind w:firstLine="0"/>
      </w:pPr>
      <w:r>
        <w:t xml:space="preserve">Das Konzept von Oberflächen- und Tiefenmerkmalen entstammt der Unterrichtsforschung. Es zielt darauf ab, eine Verbindung zwischen dem Lehren der Lehrpersonen und dem Lernen der </w:t>
      </w:r>
      <w:proofErr w:type="spellStart"/>
      <w:proofErr w:type="gramStart"/>
      <w:r>
        <w:t>Schüler:innen</w:t>
      </w:r>
      <w:proofErr w:type="spellEnd"/>
      <w:proofErr w:type="gramEnd"/>
      <w:r>
        <w:t xml:space="preserve"> herzustellen (</w:t>
      </w:r>
      <w:proofErr w:type="spellStart"/>
      <w:r>
        <w:t>Decristan</w:t>
      </w:r>
      <w:proofErr w:type="spellEnd"/>
      <w:r>
        <w:t xml:space="preserve"> et al., 2020). Gemäss </w:t>
      </w:r>
      <w:r>
        <w:rPr>
          <w:noProof/>
        </w:rPr>
        <w:t>Hess und Lipowsky (2020)</w:t>
      </w:r>
      <w:r>
        <w:t xml:space="preserve"> lassen sich Oberflächenmerkmale als «methodisch-organisatorische Gestaltungsmerkmale des Unterrichts» (S. 118) verstehen, wie zum Beispiel die Umsetzung verschiedener Sozialformen. Es sind Organisationsformen, «die nicht auf direktem Weg kognitive Prozesse anregen, aber einen mehr oder weniger geeigneten Rahmen schaffen können, um die Voraussetzungen für die Anregung von Denkprozessen bereitzustellen» (ebd.). Bei den Tiefenmerkmalen wird davon ausgegangen, dass sie «direkt die mentalen Verarbeitungsprozesse der Lernenden adressieren» (ebd.). Deshalb stehen auf der Tiefenebene die Interaktionen der Lehr- und Fachpersonen mit den </w:t>
      </w:r>
      <w:proofErr w:type="spellStart"/>
      <w:proofErr w:type="gramStart"/>
      <w:r>
        <w:t>Schüler:innen</w:t>
      </w:r>
      <w:proofErr w:type="spellEnd"/>
      <w:proofErr w:type="gramEnd"/>
      <w:r>
        <w:t xml:space="preserve"> sowie deren Auseinandersetzung mit dem Lerninhalt im Fokus. </w:t>
      </w:r>
      <w:proofErr w:type="spellStart"/>
      <w:r>
        <w:t>Decristan</w:t>
      </w:r>
      <w:proofErr w:type="spellEnd"/>
      <w:r>
        <w:t xml:space="preserve"> et al. (2020) verweisen dazu auf die Basisdimensionen von Unterrichtsqualität: Die Forschung zeigt, dass kognitive Aktivierung, konstruktive Unterstützung und Klassenführung das Lernen der </w:t>
      </w:r>
      <w:proofErr w:type="spellStart"/>
      <w:proofErr w:type="gramStart"/>
      <w:r>
        <w:t>Schüler:innen</w:t>
      </w:r>
      <w:proofErr w:type="spellEnd"/>
      <w:proofErr w:type="gramEnd"/>
      <w:r>
        <w:t xml:space="preserve"> auf der Tiefenebene fördern (</w:t>
      </w:r>
      <w:proofErr w:type="spellStart"/>
      <w:r>
        <w:t>Kleickmann</w:t>
      </w:r>
      <w:proofErr w:type="spellEnd"/>
      <w:r>
        <w:t xml:space="preserve"> et al., 2020). </w:t>
      </w:r>
    </w:p>
    <w:p w14:paraId="5911BD82" w14:textId="2D9D1A6A" w:rsidR="00D9066A" w:rsidRDefault="00D9066A" w:rsidP="00D9066A">
      <w:pPr>
        <w:pStyle w:val="Textkrper"/>
      </w:pPr>
      <w:r>
        <w:rPr>
          <w:noProof/>
        </w:rPr>
        <mc:AlternateContent>
          <mc:Choice Requires="wps">
            <w:drawing>
              <wp:anchor distT="45720" distB="45720" distL="46990" distR="46990" simplePos="0" relativeHeight="251659264" behindDoc="0" locked="0" layoutInCell="1" allowOverlap="0" wp14:anchorId="0D0D70F4" wp14:editId="5AB22D3F">
                <wp:simplePos x="0" y="0"/>
                <wp:positionH relativeFrom="page">
                  <wp:align>left</wp:align>
                </wp:positionH>
                <wp:positionV relativeFrom="paragraph">
                  <wp:posOffset>2495550</wp:posOffset>
                </wp:positionV>
                <wp:extent cx="6581775" cy="527050"/>
                <wp:effectExtent l="0" t="0" r="0" b="6350"/>
                <wp:wrapTopAndBottom/>
                <wp:docPr id="1246472476" name="Textfe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81775" cy="527539"/>
                        </a:xfrm>
                        <a:prstGeom prst="rect">
                          <a:avLst/>
                        </a:prstGeom>
                        <a:noFill/>
                        <a:ln w="9525">
                          <a:noFill/>
                          <a:miter lim="800000"/>
                          <a:headEnd/>
                          <a:tailEnd/>
                        </a:ln>
                      </wps:spPr>
                      <wps:txbx>
                        <w:txbxContent>
                          <w:p w14:paraId="6C7819C9" w14:textId="7BBE208A" w:rsidR="00D9066A" w:rsidRDefault="00D9066A" w:rsidP="00D9066A">
                            <w:pPr>
                              <w:pStyle w:val="Hervorhebung1"/>
                            </w:pPr>
                            <w:r>
                              <w:t>Die Diskussion um Oberflächen- und Tiefenmerkmale fokussiert primär auf das Lernen der Kinder.</w:t>
                            </w:r>
                            <w:r w:rsidR="00B30125">
                              <w:t xml:space="preserve"> </w:t>
                            </w:r>
                            <w:r w:rsidR="00B30125" w:rsidRPr="00B30125">
                              <w:t>Die erhofften Effekte der Kooperation gehen aber darüber hinaus.</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D70F4" id="_x0000_t202" coordsize="21600,21600" o:spt="202" path="m,l,21600r21600,l21600,xe">
                <v:stroke joinstyle="miter"/>
                <v:path gradientshapeok="t" o:connecttype="rect"/>
              </v:shapetype>
              <v:shape id="Textfeld 3" o:spid="_x0000_s1026" type="#_x0000_t202" alt="&quot;&quot;" style="position:absolute;left:0;text-align:left;margin-left:0;margin-top:196.5pt;width:518.25pt;height:41.5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" o:allowoverlap="f" filled="f" stroked="f">
                <v:textbox inset="29mm,,2.5mm">
                  <w:txbxContent>
                    <w:p w14:paraId="6C7819C9" w14:textId="7BBE208A" w:rsidR="00D9066A" w:rsidRDefault="00D9066A" w:rsidP="00D9066A">
                      <w:pPr>
                        <w:pStyle w:val="Hervorhebung1"/>
                      </w:pPr>
                      <w:r>
                        <w:t>Die Diskussion um Oberflächen- und Tiefenmerkmale fokussiert primär auf das Lernen der Kinder.</w:t>
                      </w:r>
                      <w:r w:rsidR="00B30125">
                        <w:t xml:space="preserve"> </w:t>
                      </w:r>
                      <w:r w:rsidR="00B30125" w:rsidRPr="00B30125">
                        <w:t>Die erhofften Effekte der Kooperation gehen aber darüber hinaus.</w:t>
                      </w:r>
                    </w:p>
                  </w:txbxContent>
                </v:textbox>
                <w10:wrap type="topAndBottom" anchorx="page"/>
              </v:shape>
            </w:pict>
          </mc:Fallback>
        </mc:AlternateContent>
      </w:r>
      <w:r>
        <w:t xml:space="preserve">Reyer (2004) unterscheidet bei den Tiefenmerkmalen die generative von der rezeptiven Funktion. Im Rahmen der Unterrichtsplanung ist die generative Funktion relevant: Lehrpersonen gestalten ausgehend von einem Ziel, das sie auf der Tiefenebene erreichen wollen, die passende Oberfläche (Cook &amp; </w:t>
      </w:r>
      <w:proofErr w:type="spellStart"/>
      <w:r>
        <w:t>McDuffie-Landrum</w:t>
      </w:r>
      <w:proofErr w:type="spellEnd"/>
      <w:r>
        <w:t>, 2019). Dabei bestimmt das Ziel die methodisch-organisatorische Gestaltung des Unterrichts nicht definitiv. Die Lehrpersonen schaffen vielmehr einen Raum, in dem das Ziel erreicht werden kann. Oberflächenmerkmale eignen sich somit unterschiedlich gut, um ein bestimmtes Ziel zu erreichen (</w:t>
      </w:r>
      <w:proofErr w:type="spellStart"/>
      <w:r>
        <w:t>Decristan</w:t>
      </w:r>
      <w:proofErr w:type="spellEnd"/>
      <w:r>
        <w:t xml:space="preserve"> et al., 2020). Den Versuch, von der Oberflächengestaltung direkt auf einen Effekt bei den Tiefenmerkmalen zu schliessen, bezeichnet Reyer (2004) als rezeptive Funktion der Tiefenmerkmale. Allermeist kann jedoch nicht von einem direkten Zusammenhang zwischen der Unterrichtsgestaltung auf der Oberflächenebene und Effekten bezüglich Tiefenmerkmalen ausgegangen werden </w:t>
      </w:r>
      <w:r>
        <w:rPr>
          <w:noProof/>
        </w:rPr>
        <w:t>(Decristan et al., 2020)</w:t>
      </w:r>
      <w:r>
        <w:t xml:space="preserve">. </w:t>
      </w:r>
      <w:r>
        <w:rPr>
          <w:noProof/>
        </w:rPr>
        <w:t>Hess und Lipowsky (2020)</w:t>
      </w:r>
      <w:r>
        <w:t xml:space="preserve"> zeigen jedoch, dass zum Beispiel die Sozialform damit zusammenhängt, auf welchem kognitiven Niveau die Fragen sind, welche die Lehrperson den </w:t>
      </w:r>
      <w:proofErr w:type="spellStart"/>
      <w:proofErr w:type="gramStart"/>
      <w:r>
        <w:t>Schüler:innen</w:t>
      </w:r>
      <w:proofErr w:type="spellEnd"/>
      <w:proofErr w:type="gramEnd"/>
      <w:r>
        <w:t xml:space="preserve"> stellt: Die Lehrperson stellt im Plenum anspruchsvollere Fragen als in Phasen, in denen die </w:t>
      </w:r>
      <w:proofErr w:type="spellStart"/>
      <w:r>
        <w:t>Schüler:innen</w:t>
      </w:r>
      <w:proofErr w:type="spellEnd"/>
      <w:r>
        <w:t xml:space="preserve"> allein oder in Gruppen arbeiten. </w:t>
      </w:r>
    </w:p>
    <w:p w14:paraId="18A01166" w14:textId="77777777" w:rsidR="00D9066A" w:rsidRDefault="00D9066A" w:rsidP="00D9066A">
      <w:pPr>
        <w:pStyle w:val="Textkrper"/>
        <w:ind w:firstLine="0"/>
      </w:pPr>
      <w:r>
        <w:t>Bisher ist weder empirisch noch theoretisch geklärt, in welchem Verhältnis die Oberflächen- und Tiefenmerkmale stehen (</w:t>
      </w:r>
      <w:proofErr w:type="spellStart"/>
      <w:r>
        <w:t>Decristan</w:t>
      </w:r>
      <w:proofErr w:type="spellEnd"/>
      <w:r>
        <w:t xml:space="preserve"> et al., 2020). Auch für das Co-Teaching von Lehrperson und Schulischen </w:t>
      </w:r>
      <w:proofErr w:type="spellStart"/>
      <w:proofErr w:type="gramStart"/>
      <w:r>
        <w:t>Heilpädagog:innen</w:t>
      </w:r>
      <w:proofErr w:type="spellEnd"/>
      <w:proofErr w:type="gramEnd"/>
      <w:r>
        <w:t xml:space="preserve"> fehlt bisher eine systematische Diskussion darüber, wie Oberflächen- und Tiefenmerkmale zusammenhängen. Die Diskussion um Oberflächen- und Tiefenmerkmale fokussiert primär auf das Lernen der Kinder. Die erhofften Effekte der Kooperation gehen aber darüber hinaus. Erwartet werden auch Auswirkungen auf die Lehr- und Fachpersonen. Deshalb beleuchtet dieser Artikel die Co-Teaching-Formen als kooperationsbezogene Oberflächenmerkmale.</w:t>
      </w:r>
    </w:p>
    <w:p w14:paraId="4FC8427B" w14:textId="77777777" w:rsidR="00D9066A" w:rsidRDefault="00D9066A" w:rsidP="00D9066A">
      <w:pPr>
        <w:pStyle w:val="berschrift1"/>
      </w:pPr>
      <w:r>
        <w:t>Co-Teaching-Formen als Oberflächenmerkmale</w:t>
      </w:r>
    </w:p>
    <w:p w14:paraId="50AB4D03" w14:textId="680F7EC3" w:rsidR="00D9066A" w:rsidRDefault="00D9066A" w:rsidP="00D9066A">
      <w:pPr>
        <w:pStyle w:val="Textkrper"/>
        <w:ind w:firstLine="0"/>
      </w:pPr>
      <w:r>
        <w:t>Co-Teaching meint, dass zwei Personen – eine Lehrperson und eine Schulische Heilpädagogin oder zwei Lehrpersonen</w:t>
      </w:r>
      <w:r w:rsidR="00B1721E">
        <w:t> </w:t>
      </w:r>
      <w:r>
        <w:t xml:space="preserve">– für eine bestimmte Zeit gemeinsam für die </w:t>
      </w:r>
      <w:proofErr w:type="spellStart"/>
      <w:proofErr w:type="gramStart"/>
      <w:r>
        <w:t>Schüler:innen</w:t>
      </w:r>
      <w:proofErr w:type="spellEnd"/>
      <w:proofErr w:type="gramEnd"/>
      <w:r>
        <w:t xml:space="preserve"> einer Klasse zuständig sind. Es können verschiedene Formen des Co-</w:t>
      </w:r>
      <w:proofErr w:type="spellStart"/>
      <w:r>
        <w:t>Teachings</w:t>
      </w:r>
      <w:proofErr w:type="spellEnd"/>
      <w:r>
        <w:t xml:space="preserve"> unterschieden werden. Co-Teaching umfasst drei Aspekte: </w:t>
      </w:r>
      <w:r>
        <w:rPr>
          <w:i/>
          <w:iCs/>
        </w:rPr>
        <w:t>Co-Planung</w:t>
      </w:r>
      <w:r>
        <w:t xml:space="preserve">, </w:t>
      </w:r>
      <w:r>
        <w:rPr>
          <w:i/>
          <w:iCs/>
        </w:rPr>
        <w:t>Co-Instruktion</w:t>
      </w:r>
      <w:r>
        <w:t xml:space="preserve"> und </w:t>
      </w:r>
      <w:r>
        <w:rPr>
          <w:i/>
          <w:iCs/>
        </w:rPr>
        <w:t>Co-Assessment</w:t>
      </w:r>
      <w:r>
        <w:t xml:space="preserve"> als gemeinsames Beurteilen </w:t>
      </w:r>
      <w:r>
        <w:rPr>
          <w:noProof/>
        </w:rPr>
        <w:t>(Murawski &amp; Lochner, 2011).</w:t>
      </w:r>
      <w:r>
        <w:t xml:space="preserve"> Die Co-Teaching-Formen </w:t>
      </w:r>
      <w:r>
        <w:rPr>
          <w:noProof/>
        </w:rPr>
        <w:t>(Friend &amp; Cook, 2010)</w:t>
      </w:r>
      <w:r>
        <w:t xml:space="preserve"> werden primär für die </w:t>
      </w:r>
      <w:r>
        <w:rPr>
          <w:i/>
          <w:iCs/>
        </w:rPr>
        <w:t>Co-Instruktion</w:t>
      </w:r>
      <w:r>
        <w:t xml:space="preserve"> angewendet, die </w:t>
      </w:r>
      <w:r>
        <w:rPr>
          <w:i/>
          <w:iCs/>
        </w:rPr>
        <w:t>Co-Planung</w:t>
      </w:r>
      <w:r>
        <w:t xml:space="preserve"> und das </w:t>
      </w:r>
      <w:r>
        <w:rPr>
          <w:i/>
          <w:iCs/>
        </w:rPr>
        <w:t>Co-Assessment</w:t>
      </w:r>
      <w:r>
        <w:t xml:space="preserve"> lassen sich jedoch genauso strukturieren. Für das Ziel des vorliegenden Artikels werden die folgenden Formen unterschieden (vgl. Tab. 1):</w:t>
      </w:r>
    </w:p>
    <w:p w14:paraId="56B64E3F" w14:textId="77777777" w:rsidR="00D9066A" w:rsidRDefault="00D9066A" w:rsidP="00D9066A">
      <w:pPr>
        <w:pStyle w:val="TabelleBeschriftung"/>
        <w:rPr>
          <w:lang w:val="en-US"/>
        </w:rPr>
      </w:pPr>
      <w:proofErr w:type="spellStart"/>
      <w:r>
        <w:rPr>
          <w:lang w:val="en-US"/>
        </w:rPr>
        <w:lastRenderedPageBreak/>
        <w:t>Tabelle</w:t>
      </w:r>
      <w:proofErr w:type="spellEnd"/>
      <w:r>
        <w:rPr>
          <w:lang w:val="en-US"/>
        </w:rPr>
        <w:t xml:space="preserve"> 1: Co-Teaching-</w:t>
      </w:r>
      <w:proofErr w:type="spellStart"/>
      <w:r>
        <w:rPr>
          <w:lang w:val="en-US"/>
        </w:rPr>
        <w:t>Formen</w:t>
      </w:r>
      <w:proofErr w:type="spellEnd"/>
      <w:r>
        <w:rPr>
          <w:lang w:val="en-US"/>
        </w:rPr>
        <w:t xml:space="preserve"> (</w:t>
      </w:r>
      <w:proofErr w:type="spellStart"/>
      <w:r>
        <w:rPr>
          <w:lang w:val="en-US"/>
        </w:rPr>
        <w:t>angelehnt</w:t>
      </w:r>
      <w:proofErr w:type="spellEnd"/>
      <w:r>
        <w:rPr>
          <w:lang w:val="en-US"/>
        </w:rPr>
        <w:t xml:space="preserve"> </w:t>
      </w:r>
      <w:proofErr w:type="gramStart"/>
      <w:r>
        <w:rPr>
          <w:lang w:val="en-US"/>
        </w:rPr>
        <w:t>an</w:t>
      </w:r>
      <w:proofErr w:type="gramEnd"/>
      <w:r>
        <w:rPr>
          <w:lang w:val="en-US"/>
        </w:rPr>
        <w:t xml:space="preserve"> Friend &amp; Cook, 2010)</w:t>
      </w:r>
    </w:p>
    <w:tbl>
      <w:tblPr>
        <w:tblStyle w:val="Listentabelle3Akzent6"/>
        <w:tblW w:w="8925" w:type="dxa"/>
        <w:tblLayout w:type="fixed"/>
        <w:tblLook w:val="04A0" w:firstRow="1" w:lastRow="0" w:firstColumn="1" w:lastColumn="0" w:noHBand="0" w:noVBand="1"/>
      </w:tblPr>
      <w:tblGrid>
        <w:gridCol w:w="279"/>
        <w:gridCol w:w="2410"/>
        <w:gridCol w:w="6236"/>
      </w:tblGrid>
      <w:tr w:rsidR="00D9066A" w14:paraId="25C389F7" w14:textId="77777777" w:rsidTr="00D9066A">
        <w:trPr>
          <w:cnfStyle w:val="100000000000" w:firstRow="1" w:lastRow="0" w:firstColumn="0" w:lastColumn="0" w:oddVBand="0" w:evenVBand="0" w:oddHBand="0" w:evenHBand="0" w:firstRowFirstColumn="0" w:firstRowLastColumn="0" w:lastRowFirstColumn="0" w:lastRowLastColumn="0"/>
          <w:trHeight w:val="86"/>
        </w:trPr>
        <w:tc>
          <w:tcPr>
            <w:cnfStyle w:val="001000000100" w:firstRow="0" w:lastRow="0" w:firstColumn="1" w:lastColumn="0" w:oddVBand="0" w:evenVBand="0" w:oddHBand="0" w:evenHBand="0" w:firstRowFirstColumn="1" w:firstRowLastColumn="0" w:lastRowFirstColumn="0" w:lastRowLastColumn="0"/>
            <w:tcW w:w="279" w:type="dxa"/>
            <w:tcBorders>
              <w:top w:val="single" w:sz="4" w:space="0" w:color="A98899" w:themeColor="accent6"/>
              <w:left w:val="single" w:sz="4" w:space="0" w:color="A98899" w:themeColor="accent6"/>
            </w:tcBorders>
            <w:shd w:val="clear" w:color="auto" w:fill="E5EB6D" w:themeFill="accent3" w:themeFillTint="99"/>
          </w:tcPr>
          <w:p w14:paraId="2AE49EC7" w14:textId="77777777" w:rsidR="00D9066A" w:rsidRDefault="00D9066A">
            <w:pPr>
              <w:pStyle w:val="Compact"/>
              <w:rPr>
                <w:color w:val="262626" w:themeColor="text1" w:themeTint="D9"/>
                <w:lang w:val="en-US"/>
              </w:rPr>
            </w:pPr>
          </w:p>
        </w:tc>
        <w:tc>
          <w:tcPr>
            <w:tcW w:w="2410" w:type="dxa"/>
            <w:tcBorders>
              <w:top w:val="single" w:sz="4" w:space="0" w:color="A98899" w:themeColor="accent6"/>
              <w:left w:val="nil"/>
              <w:bottom w:val="nil"/>
              <w:right w:val="nil"/>
            </w:tcBorders>
            <w:shd w:val="clear" w:color="auto" w:fill="E5EB6D" w:themeFill="accent3" w:themeFillTint="99"/>
            <w:hideMark/>
          </w:tcPr>
          <w:p w14:paraId="1FAC149B" w14:textId="447BB68B" w:rsidR="00D9066A" w:rsidRDefault="003C4A1E">
            <w:pPr>
              <w:pStyle w:val="Compact"/>
              <w:cnfStyle w:val="100000000000" w:firstRow="1" w:lastRow="0" w:firstColumn="0" w:lastColumn="0" w:oddVBand="0" w:evenVBand="0" w:oddHBand="0" w:evenHBand="0" w:firstRowFirstColumn="0" w:firstRowLastColumn="0" w:lastRowFirstColumn="0" w:lastRowLastColumn="0"/>
              <w:rPr>
                <w:color w:val="262626" w:themeColor="text1" w:themeTint="D9"/>
                <w:lang w:val="en-US"/>
              </w:rPr>
            </w:pPr>
            <w:r>
              <w:rPr>
                <w:color w:val="262626" w:themeColor="text1" w:themeTint="D9"/>
                <w:lang w:val="en-US"/>
              </w:rPr>
              <w:t>Co-Teaching-Form</w:t>
            </w:r>
          </w:p>
        </w:tc>
        <w:tc>
          <w:tcPr>
            <w:tcW w:w="6237" w:type="dxa"/>
            <w:tcBorders>
              <w:top w:val="single" w:sz="4" w:space="0" w:color="A98899" w:themeColor="accent6"/>
              <w:left w:val="nil"/>
              <w:bottom w:val="nil"/>
              <w:right w:val="single" w:sz="4" w:space="0" w:color="A98899" w:themeColor="accent6"/>
            </w:tcBorders>
            <w:shd w:val="clear" w:color="auto" w:fill="E5EB6D" w:themeFill="accent3" w:themeFillTint="99"/>
            <w:hideMark/>
          </w:tcPr>
          <w:p w14:paraId="279F4FC2" w14:textId="77777777" w:rsidR="00D9066A" w:rsidRDefault="00D9066A">
            <w:pPr>
              <w:pStyle w:val="Compact"/>
              <w:cnfStyle w:val="100000000000" w:firstRow="1" w:lastRow="0" w:firstColumn="0" w:lastColumn="0" w:oddVBand="0" w:evenVBand="0" w:oddHBand="0" w:evenHBand="0" w:firstRowFirstColumn="0" w:firstRowLastColumn="0" w:lastRowFirstColumn="0" w:lastRowLastColumn="0"/>
              <w:rPr>
                <w:color w:val="auto"/>
                <w:lang w:val="en-US"/>
              </w:rPr>
            </w:pPr>
            <w:proofErr w:type="spellStart"/>
            <w:r>
              <w:rPr>
                <w:color w:val="auto"/>
                <w:lang w:val="en-US"/>
              </w:rPr>
              <w:t>Erklärung</w:t>
            </w:r>
            <w:proofErr w:type="spellEnd"/>
          </w:p>
        </w:tc>
      </w:tr>
      <w:tr w:rsidR="00D9066A" w14:paraId="73B332A9" w14:textId="77777777" w:rsidTr="00D9066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59907CF4" w14:textId="77777777" w:rsidR="00D9066A" w:rsidRDefault="00D9066A">
            <w:pPr>
              <w:pStyle w:val="Compact"/>
              <w:rPr>
                <w:b w:val="0"/>
                <w:bCs w:val="0"/>
                <w:color w:val="auto"/>
                <w:lang w:val="en-US"/>
              </w:rPr>
            </w:pPr>
            <w:r>
              <w:rPr>
                <w:b w:val="0"/>
                <w:bCs w:val="0"/>
                <w:lang w:val="en-US"/>
              </w:rPr>
              <w:t>1</w:t>
            </w:r>
          </w:p>
        </w:tc>
        <w:tc>
          <w:tcPr>
            <w:tcW w:w="2410" w:type="dxa"/>
            <w:tcBorders>
              <w:top w:val="nil"/>
              <w:left w:val="nil"/>
              <w:bottom w:val="nil"/>
              <w:right w:val="nil"/>
            </w:tcBorders>
            <w:hideMark/>
          </w:tcPr>
          <w:p w14:paraId="17168DA3" w14:textId="77777777" w:rsidR="00D9066A" w:rsidRDefault="00D9066A">
            <w:pPr>
              <w:pStyle w:val="Compact"/>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One </w:t>
            </w:r>
            <w:proofErr w:type="gramStart"/>
            <w:r>
              <w:rPr>
                <w:lang w:val="en-US"/>
              </w:rPr>
              <w:t>teach</w:t>
            </w:r>
            <w:proofErr w:type="gramEnd"/>
            <w:r>
              <w:rPr>
                <w:lang w:val="en-US"/>
              </w:rPr>
              <w:t xml:space="preserve"> – one observe</w:t>
            </w:r>
          </w:p>
        </w:tc>
        <w:tc>
          <w:tcPr>
            <w:tcW w:w="6237" w:type="dxa"/>
            <w:tcBorders>
              <w:top w:val="nil"/>
              <w:left w:val="nil"/>
              <w:bottom w:val="nil"/>
              <w:right w:val="single" w:sz="4" w:space="0" w:color="A98899" w:themeColor="accent6"/>
            </w:tcBorders>
            <w:hideMark/>
          </w:tcPr>
          <w:p w14:paraId="57445665" w14:textId="77777777" w:rsidR="00D9066A" w:rsidRPr="00D9066A" w:rsidRDefault="00D9066A">
            <w:pPr>
              <w:pStyle w:val="Compact"/>
              <w:cnfStyle w:val="000000100000" w:firstRow="0" w:lastRow="0" w:firstColumn="0" w:lastColumn="0" w:oddVBand="0" w:evenVBand="0" w:oddHBand="1" w:evenHBand="0" w:firstRowFirstColumn="0" w:firstRowLastColumn="0" w:lastRowFirstColumn="0" w:lastRowLastColumn="0"/>
            </w:pPr>
            <w:r w:rsidRPr="00D9066A">
              <w:t>Eine Person unterrichtet oder bereitet vor, die andere beobachtet.</w:t>
            </w:r>
          </w:p>
        </w:tc>
      </w:tr>
      <w:tr w:rsidR="00D9066A" w14:paraId="3D81E3E0" w14:textId="77777777" w:rsidTr="00D9066A">
        <w:trPr>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3CAB72A8" w14:textId="77777777" w:rsidR="00D9066A" w:rsidRDefault="00D9066A">
            <w:pPr>
              <w:pStyle w:val="Compact"/>
              <w:rPr>
                <w:b w:val="0"/>
                <w:bCs w:val="0"/>
                <w:lang w:val="en-US"/>
              </w:rPr>
            </w:pPr>
            <w:r>
              <w:rPr>
                <w:b w:val="0"/>
                <w:bCs w:val="0"/>
                <w:lang w:val="en-US"/>
              </w:rPr>
              <w:t>2</w:t>
            </w:r>
          </w:p>
        </w:tc>
        <w:tc>
          <w:tcPr>
            <w:tcW w:w="2410" w:type="dxa"/>
            <w:tcBorders>
              <w:top w:val="nil"/>
              <w:left w:val="nil"/>
              <w:bottom w:val="nil"/>
              <w:right w:val="nil"/>
            </w:tcBorders>
            <w:hideMark/>
          </w:tcPr>
          <w:p w14:paraId="185A7B37" w14:textId="77777777" w:rsidR="00D9066A" w:rsidRDefault="00D9066A">
            <w:pPr>
              <w:pStyle w:val="Compact"/>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One </w:t>
            </w:r>
            <w:proofErr w:type="gramStart"/>
            <w:r>
              <w:rPr>
                <w:lang w:val="en-US"/>
              </w:rPr>
              <w:t>teach</w:t>
            </w:r>
            <w:proofErr w:type="gramEnd"/>
            <w:r>
              <w:rPr>
                <w:lang w:val="en-US"/>
              </w:rPr>
              <w:t xml:space="preserve"> – one support</w:t>
            </w:r>
          </w:p>
        </w:tc>
        <w:tc>
          <w:tcPr>
            <w:tcW w:w="6237" w:type="dxa"/>
            <w:tcBorders>
              <w:top w:val="nil"/>
              <w:left w:val="nil"/>
              <w:bottom w:val="nil"/>
              <w:right w:val="single" w:sz="4" w:space="0" w:color="A98899" w:themeColor="accent6"/>
            </w:tcBorders>
            <w:hideMark/>
          </w:tcPr>
          <w:p w14:paraId="62359AD6" w14:textId="77777777" w:rsidR="00D9066A" w:rsidRPr="00D9066A" w:rsidRDefault="00D9066A">
            <w:pPr>
              <w:pStyle w:val="Compact"/>
              <w:cnfStyle w:val="000000000000" w:firstRow="0" w:lastRow="0" w:firstColumn="0" w:lastColumn="0" w:oddVBand="0" w:evenVBand="0" w:oddHBand="0" w:evenHBand="0" w:firstRowFirstColumn="0" w:firstRowLastColumn="0" w:lastRowFirstColumn="0" w:lastRowLastColumn="0"/>
            </w:pPr>
            <w:r w:rsidRPr="00D9066A">
              <w:t>Eine Person unterrichtet oder bereitet vor, die andere unterstützt.</w:t>
            </w:r>
          </w:p>
        </w:tc>
      </w:tr>
      <w:tr w:rsidR="00D9066A" w14:paraId="3967D357" w14:textId="77777777" w:rsidTr="00D9066A">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3B0FE3F0" w14:textId="77777777" w:rsidR="00D9066A" w:rsidRDefault="00D9066A">
            <w:pPr>
              <w:pStyle w:val="Compact"/>
              <w:rPr>
                <w:b w:val="0"/>
                <w:bCs w:val="0"/>
                <w:lang w:val="en-US"/>
              </w:rPr>
            </w:pPr>
            <w:r>
              <w:rPr>
                <w:b w:val="0"/>
                <w:bCs w:val="0"/>
                <w:lang w:val="en-US"/>
              </w:rPr>
              <w:t>3</w:t>
            </w:r>
          </w:p>
        </w:tc>
        <w:tc>
          <w:tcPr>
            <w:tcW w:w="2410" w:type="dxa"/>
            <w:tcBorders>
              <w:top w:val="nil"/>
              <w:left w:val="nil"/>
              <w:bottom w:val="nil"/>
              <w:right w:val="nil"/>
            </w:tcBorders>
            <w:hideMark/>
          </w:tcPr>
          <w:p w14:paraId="6BA846AD" w14:textId="77777777" w:rsidR="00D9066A" w:rsidRDefault="00D9066A">
            <w:pPr>
              <w:pStyle w:val="Compact"/>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One </w:t>
            </w:r>
            <w:proofErr w:type="gramStart"/>
            <w:r>
              <w:rPr>
                <w:lang w:val="en-US"/>
              </w:rPr>
              <w:t>teach</w:t>
            </w:r>
            <w:proofErr w:type="gramEnd"/>
            <w:r>
              <w:rPr>
                <w:lang w:val="en-US"/>
              </w:rPr>
              <w:t xml:space="preserve"> – one coach</w:t>
            </w:r>
          </w:p>
        </w:tc>
        <w:tc>
          <w:tcPr>
            <w:tcW w:w="6237" w:type="dxa"/>
            <w:tcBorders>
              <w:top w:val="nil"/>
              <w:left w:val="nil"/>
              <w:bottom w:val="nil"/>
              <w:right w:val="single" w:sz="4" w:space="0" w:color="A98899" w:themeColor="accent6"/>
            </w:tcBorders>
            <w:hideMark/>
          </w:tcPr>
          <w:p w14:paraId="31AC488B" w14:textId="77777777" w:rsidR="00D9066A" w:rsidRPr="00D9066A" w:rsidRDefault="00D9066A">
            <w:pPr>
              <w:pStyle w:val="Compact"/>
              <w:cnfStyle w:val="000000100000" w:firstRow="0" w:lastRow="0" w:firstColumn="0" w:lastColumn="0" w:oddVBand="0" w:evenVBand="0" w:oddHBand="1" w:evenHBand="0" w:firstRowFirstColumn="0" w:firstRowLastColumn="0" w:lastRowFirstColumn="0" w:lastRowLastColumn="0"/>
            </w:pPr>
            <w:r w:rsidRPr="00D9066A">
              <w:t>Eine Person unterrichtet oder bereitet vor, die andere coacht.</w:t>
            </w:r>
          </w:p>
        </w:tc>
      </w:tr>
      <w:tr w:rsidR="00D9066A" w14:paraId="41F53E26" w14:textId="77777777" w:rsidTr="00D9066A">
        <w:trPr>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5F237816" w14:textId="77777777" w:rsidR="00D9066A" w:rsidRDefault="00D9066A">
            <w:pPr>
              <w:pStyle w:val="Compact"/>
              <w:rPr>
                <w:b w:val="0"/>
                <w:bCs w:val="0"/>
                <w:lang w:val="en-US"/>
              </w:rPr>
            </w:pPr>
            <w:r>
              <w:rPr>
                <w:b w:val="0"/>
                <w:bCs w:val="0"/>
                <w:lang w:val="en-US"/>
              </w:rPr>
              <w:t>4</w:t>
            </w:r>
          </w:p>
        </w:tc>
        <w:tc>
          <w:tcPr>
            <w:tcW w:w="2410" w:type="dxa"/>
            <w:tcBorders>
              <w:top w:val="nil"/>
              <w:left w:val="nil"/>
              <w:bottom w:val="nil"/>
              <w:right w:val="nil"/>
            </w:tcBorders>
            <w:hideMark/>
          </w:tcPr>
          <w:p w14:paraId="6EC2C8C5" w14:textId="77777777" w:rsidR="00D9066A" w:rsidRDefault="00D9066A">
            <w:pPr>
              <w:pStyle w:val="Compact"/>
              <w:cnfStyle w:val="000000000000" w:firstRow="0" w:lastRow="0" w:firstColumn="0" w:lastColumn="0" w:oddVBand="0" w:evenVBand="0" w:oddHBand="0" w:evenHBand="0" w:firstRowFirstColumn="0" w:firstRowLastColumn="0" w:lastRowFirstColumn="0" w:lastRowLastColumn="0"/>
              <w:rPr>
                <w:lang w:val="en-US"/>
              </w:rPr>
            </w:pPr>
            <w:r>
              <w:rPr>
                <w:lang w:val="en-US"/>
              </w:rPr>
              <w:t>Teaming</w:t>
            </w:r>
          </w:p>
        </w:tc>
        <w:tc>
          <w:tcPr>
            <w:tcW w:w="6237" w:type="dxa"/>
            <w:tcBorders>
              <w:top w:val="nil"/>
              <w:left w:val="nil"/>
              <w:bottom w:val="nil"/>
              <w:right w:val="single" w:sz="4" w:space="0" w:color="A98899" w:themeColor="accent6"/>
            </w:tcBorders>
            <w:hideMark/>
          </w:tcPr>
          <w:p w14:paraId="419D132B" w14:textId="77777777" w:rsidR="00D9066A" w:rsidRPr="00D9066A" w:rsidRDefault="00D9066A">
            <w:pPr>
              <w:pStyle w:val="Compact"/>
              <w:cnfStyle w:val="000000000000" w:firstRow="0" w:lastRow="0" w:firstColumn="0" w:lastColumn="0" w:oddVBand="0" w:evenVBand="0" w:oddHBand="0" w:evenHBand="0" w:firstRowFirstColumn="0" w:firstRowLastColumn="0" w:lastRowFirstColumn="0" w:lastRowLastColumn="0"/>
            </w:pPr>
            <w:r w:rsidRPr="00D9066A">
              <w:t>Beide Personen unterrichten gemeinsam oder bereiten gemeinsam vor.</w:t>
            </w:r>
          </w:p>
        </w:tc>
      </w:tr>
      <w:tr w:rsidR="00D9066A" w14:paraId="44961878" w14:textId="77777777" w:rsidTr="00D9066A">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785E165C" w14:textId="77777777" w:rsidR="00D9066A" w:rsidRDefault="00D9066A">
            <w:pPr>
              <w:pStyle w:val="Compact"/>
              <w:rPr>
                <w:b w:val="0"/>
                <w:bCs w:val="0"/>
                <w:lang w:val="en-US"/>
              </w:rPr>
            </w:pPr>
            <w:r>
              <w:rPr>
                <w:b w:val="0"/>
                <w:bCs w:val="0"/>
                <w:lang w:val="en-US"/>
              </w:rPr>
              <w:t>5</w:t>
            </w:r>
          </w:p>
        </w:tc>
        <w:tc>
          <w:tcPr>
            <w:tcW w:w="2410" w:type="dxa"/>
            <w:tcBorders>
              <w:top w:val="nil"/>
              <w:left w:val="nil"/>
              <w:bottom w:val="nil"/>
              <w:right w:val="nil"/>
            </w:tcBorders>
            <w:hideMark/>
          </w:tcPr>
          <w:p w14:paraId="4C8CD077" w14:textId="77777777" w:rsidR="00D9066A" w:rsidRDefault="00D9066A">
            <w:pPr>
              <w:pStyle w:val="Compact"/>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Lernprozessbegleitung</w:t>
            </w:r>
            <w:proofErr w:type="spellEnd"/>
          </w:p>
        </w:tc>
        <w:tc>
          <w:tcPr>
            <w:tcW w:w="6237" w:type="dxa"/>
            <w:tcBorders>
              <w:top w:val="nil"/>
              <w:left w:val="nil"/>
              <w:bottom w:val="nil"/>
              <w:right w:val="single" w:sz="4" w:space="0" w:color="A98899" w:themeColor="accent6"/>
            </w:tcBorders>
            <w:hideMark/>
          </w:tcPr>
          <w:p w14:paraId="5126479C" w14:textId="77777777" w:rsidR="00D9066A" w:rsidRPr="00D9066A" w:rsidRDefault="00D9066A">
            <w:pPr>
              <w:pStyle w:val="Compact"/>
              <w:jc w:val="left"/>
              <w:cnfStyle w:val="000000100000" w:firstRow="0" w:lastRow="0" w:firstColumn="0" w:lastColumn="0" w:oddVBand="0" w:evenVBand="0" w:oddHBand="1" w:evenHBand="0" w:firstRowFirstColumn="0" w:firstRowLastColumn="0" w:lastRowFirstColumn="0" w:lastRowLastColumn="0"/>
            </w:pPr>
            <w:r w:rsidRPr="00D9066A">
              <w:t xml:space="preserve">Beide Personen unterstützen die Lernprozesse der </w:t>
            </w:r>
            <w:proofErr w:type="spellStart"/>
            <w:proofErr w:type="gramStart"/>
            <w:r w:rsidRPr="00D9066A">
              <w:t>Schüler:innen</w:t>
            </w:r>
            <w:proofErr w:type="spellEnd"/>
            <w:proofErr w:type="gramEnd"/>
            <w:r w:rsidRPr="00D9066A">
              <w:t xml:space="preserve"> während </w:t>
            </w:r>
            <w:r w:rsidRPr="00D9066A">
              <w:br/>
              <w:t xml:space="preserve">Einzel- oder Gruppenarbeiten. </w:t>
            </w:r>
          </w:p>
        </w:tc>
      </w:tr>
      <w:tr w:rsidR="00D9066A" w14:paraId="41DB5C01" w14:textId="77777777" w:rsidTr="00D9066A">
        <w:trPr>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4D35838B" w14:textId="77777777" w:rsidR="00D9066A" w:rsidRDefault="00D9066A">
            <w:pPr>
              <w:pStyle w:val="Compact"/>
              <w:rPr>
                <w:b w:val="0"/>
                <w:bCs w:val="0"/>
                <w:lang w:val="en-US"/>
              </w:rPr>
            </w:pPr>
            <w:r>
              <w:rPr>
                <w:b w:val="0"/>
                <w:bCs w:val="0"/>
                <w:lang w:val="en-US"/>
              </w:rPr>
              <w:t>6</w:t>
            </w:r>
          </w:p>
        </w:tc>
        <w:tc>
          <w:tcPr>
            <w:tcW w:w="2410" w:type="dxa"/>
            <w:tcBorders>
              <w:top w:val="nil"/>
              <w:left w:val="nil"/>
              <w:bottom w:val="nil"/>
              <w:right w:val="nil"/>
            </w:tcBorders>
            <w:hideMark/>
          </w:tcPr>
          <w:p w14:paraId="19043E12" w14:textId="77777777" w:rsidR="00D9066A" w:rsidRDefault="00D9066A">
            <w:pPr>
              <w:pStyle w:val="Compact"/>
              <w:cnfStyle w:val="000000000000" w:firstRow="0" w:lastRow="0" w:firstColumn="0" w:lastColumn="0" w:oddVBand="0" w:evenVBand="0" w:oddHBand="0" w:evenHBand="0" w:firstRowFirstColumn="0" w:firstRowLastColumn="0" w:lastRowFirstColumn="0" w:lastRowLastColumn="0"/>
              <w:rPr>
                <w:lang w:val="en-US"/>
              </w:rPr>
            </w:pPr>
            <w:r>
              <w:rPr>
                <w:lang w:val="en-US"/>
              </w:rPr>
              <w:t>Station-Teaching</w:t>
            </w:r>
          </w:p>
        </w:tc>
        <w:tc>
          <w:tcPr>
            <w:tcW w:w="6237" w:type="dxa"/>
            <w:tcBorders>
              <w:top w:val="nil"/>
              <w:left w:val="nil"/>
              <w:bottom w:val="nil"/>
              <w:right w:val="single" w:sz="4" w:space="0" w:color="A98899" w:themeColor="accent6"/>
            </w:tcBorders>
            <w:hideMark/>
          </w:tcPr>
          <w:p w14:paraId="52CDF275" w14:textId="77777777" w:rsidR="00D9066A" w:rsidRDefault="00D9066A">
            <w:pPr>
              <w:pStyle w:val="Compact"/>
              <w:jc w:val="left"/>
              <w:cnfStyle w:val="000000000000" w:firstRow="0" w:lastRow="0" w:firstColumn="0" w:lastColumn="0" w:oddVBand="0" w:evenVBand="0" w:oddHBand="0" w:evenHBand="0" w:firstRowFirstColumn="0" w:firstRowLastColumn="0" w:lastRowFirstColumn="0" w:lastRowLastColumn="0"/>
              <w:rPr>
                <w:lang w:val="en-US"/>
              </w:rPr>
            </w:pPr>
            <w:r w:rsidRPr="00D9066A">
              <w:t xml:space="preserve">Beide Personen unterrichten eine Gruppe, eine oder mehrere Gruppen von </w:t>
            </w:r>
            <w:proofErr w:type="spellStart"/>
            <w:proofErr w:type="gramStart"/>
            <w:r w:rsidRPr="00D9066A">
              <w:t>Schüler:innen</w:t>
            </w:r>
            <w:proofErr w:type="spellEnd"/>
            <w:proofErr w:type="gramEnd"/>
            <w:r w:rsidRPr="00D9066A">
              <w:t xml:space="preserve"> arbeiten eigenständig an Aufträgen. </w:t>
            </w:r>
            <w:r>
              <w:rPr>
                <w:lang w:val="en-US"/>
              </w:rPr>
              <w:t xml:space="preserve">Nach </w:t>
            </w:r>
            <w:proofErr w:type="spellStart"/>
            <w:r>
              <w:rPr>
                <w:lang w:val="en-US"/>
              </w:rPr>
              <w:t>einer</w:t>
            </w:r>
            <w:proofErr w:type="spellEnd"/>
            <w:r>
              <w:rPr>
                <w:lang w:val="en-US"/>
              </w:rPr>
              <w:t xml:space="preserve"> </w:t>
            </w:r>
            <w:proofErr w:type="spellStart"/>
            <w:r>
              <w:rPr>
                <w:lang w:val="en-US"/>
              </w:rPr>
              <w:t>gewissen</w:t>
            </w:r>
            <w:proofErr w:type="spellEnd"/>
            <w:r>
              <w:rPr>
                <w:lang w:val="en-US"/>
              </w:rPr>
              <w:t xml:space="preserve"> Zeit </w:t>
            </w:r>
            <w:proofErr w:type="spellStart"/>
            <w:r>
              <w:rPr>
                <w:lang w:val="en-US"/>
              </w:rPr>
              <w:t>rotieren</w:t>
            </w:r>
            <w:proofErr w:type="spellEnd"/>
            <w:r>
              <w:rPr>
                <w:lang w:val="en-US"/>
              </w:rPr>
              <w:t xml:space="preserve"> die Gruppen.</w:t>
            </w:r>
          </w:p>
        </w:tc>
      </w:tr>
      <w:tr w:rsidR="00D9066A" w14:paraId="0064DEAA" w14:textId="77777777" w:rsidTr="00D9066A">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nil"/>
              <w:right w:val="nil"/>
            </w:tcBorders>
            <w:hideMark/>
          </w:tcPr>
          <w:p w14:paraId="1765629D" w14:textId="77777777" w:rsidR="00D9066A" w:rsidRDefault="00D9066A">
            <w:pPr>
              <w:pStyle w:val="Compact"/>
              <w:rPr>
                <w:b w:val="0"/>
                <w:bCs w:val="0"/>
                <w:lang w:val="en-US"/>
              </w:rPr>
            </w:pPr>
            <w:r>
              <w:rPr>
                <w:b w:val="0"/>
                <w:bCs w:val="0"/>
                <w:lang w:val="en-US"/>
              </w:rPr>
              <w:t>7</w:t>
            </w:r>
          </w:p>
        </w:tc>
        <w:tc>
          <w:tcPr>
            <w:tcW w:w="2410" w:type="dxa"/>
            <w:tcBorders>
              <w:top w:val="nil"/>
              <w:left w:val="nil"/>
              <w:bottom w:val="nil"/>
              <w:right w:val="nil"/>
            </w:tcBorders>
            <w:hideMark/>
          </w:tcPr>
          <w:p w14:paraId="2784E91E" w14:textId="77777777" w:rsidR="00D9066A" w:rsidRDefault="00D9066A">
            <w:pPr>
              <w:pStyle w:val="Compact"/>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Paralleles</w:t>
            </w:r>
            <w:proofErr w:type="spellEnd"/>
            <w:r>
              <w:rPr>
                <w:lang w:val="en-US"/>
              </w:rPr>
              <w:t xml:space="preserve"> </w:t>
            </w:r>
            <w:proofErr w:type="spellStart"/>
            <w:r>
              <w:rPr>
                <w:lang w:val="en-US"/>
              </w:rPr>
              <w:t>Unterrichten</w:t>
            </w:r>
            <w:proofErr w:type="spellEnd"/>
          </w:p>
        </w:tc>
        <w:tc>
          <w:tcPr>
            <w:tcW w:w="6237" w:type="dxa"/>
            <w:tcBorders>
              <w:top w:val="nil"/>
              <w:left w:val="nil"/>
              <w:bottom w:val="nil"/>
              <w:right w:val="single" w:sz="4" w:space="0" w:color="A98899" w:themeColor="accent6"/>
            </w:tcBorders>
            <w:hideMark/>
          </w:tcPr>
          <w:p w14:paraId="30EFF3B3" w14:textId="77777777" w:rsidR="00D9066A" w:rsidRPr="00D9066A" w:rsidRDefault="00D9066A">
            <w:pPr>
              <w:pStyle w:val="Compact"/>
              <w:cnfStyle w:val="000000100000" w:firstRow="0" w:lastRow="0" w:firstColumn="0" w:lastColumn="0" w:oddVBand="0" w:evenVBand="0" w:oddHBand="1" w:evenHBand="0" w:firstRowFirstColumn="0" w:firstRowLastColumn="0" w:lastRowFirstColumn="0" w:lastRowLastColumn="0"/>
            </w:pPr>
            <w:r w:rsidRPr="00D9066A">
              <w:t>Beide Personen unterrichten je eine Halbklasse oder bereiten vor.</w:t>
            </w:r>
          </w:p>
        </w:tc>
      </w:tr>
      <w:tr w:rsidR="00D9066A" w14:paraId="79F78AAE" w14:textId="77777777" w:rsidTr="00D9066A">
        <w:trPr>
          <w:trHeight w:val="177"/>
        </w:trPr>
        <w:tc>
          <w:tcPr>
            <w:cnfStyle w:val="001000000000" w:firstRow="0" w:lastRow="0" w:firstColumn="1" w:lastColumn="0" w:oddVBand="0" w:evenVBand="0" w:oddHBand="0" w:evenHBand="0" w:firstRowFirstColumn="0" w:firstRowLastColumn="0" w:lastRowFirstColumn="0" w:lastRowLastColumn="0"/>
            <w:tcW w:w="279" w:type="dxa"/>
            <w:tcBorders>
              <w:top w:val="nil"/>
              <w:left w:val="single" w:sz="4" w:space="0" w:color="A98899" w:themeColor="accent6"/>
              <w:bottom w:val="single" w:sz="4" w:space="0" w:color="A98899" w:themeColor="accent6"/>
              <w:right w:val="nil"/>
            </w:tcBorders>
            <w:hideMark/>
          </w:tcPr>
          <w:p w14:paraId="38BEE1EC" w14:textId="77777777" w:rsidR="00D9066A" w:rsidRDefault="00D9066A">
            <w:pPr>
              <w:pStyle w:val="Compact"/>
              <w:rPr>
                <w:b w:val="0"/>
                <w:bCs w:val="0"/>
                <w:lang w:val="en-US"/>
              </w:rPr>
            </w:pPr>
            <w:r>
              <w:rPr>
                <w:b w:val="0"/>
                <w:bCs w:val="0"/>
                <w:lang w:val="en-US"/>
              </w:rPr>
              <w:t>8</w:t>
            </w:r>
          </w:p>
        </w:tc>
        <w:tc>
          <w:tcPr>
            <w:tcW w:w="2410" w:type="dxa"/>
            <w:tcBorders>
              <w:top w:val="nil"/>
              <w:left w:val="nil"/>
              <w:bottom w:val="single" w:sz="4" w:space="0" w:color="A98899" w:themeColor="accent6"/>
              <w:right w:val="nil"/>
            </w:tcBorders>
            <w:hideMark/>
          </w:tcPr>
          <w:p w14:paraId="0DEDDD20" w14:textId="77777777" w:rsidR="00D9066A" w:rsidRDefault="00D9066A">
            <w:pPr>
              <w:pStyle w:val="Compact"/>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Alternatives </w:t>
            </w:r>
            <w:proofErr w:type="spellStart"/>
            <w:r>
              <w:rPr>
                <w:lang w:val="en-US"/>
              </w:rPr>
              <w:t>Unterrichten</w:t>
            </w:r>
            <w:proofErr w:type="spellEnd"/>
          </w:p>
        </w:tc>
        <w:tc>
          <w:tcPr>
            <w:tcW w:w="6237" w:type="dxa"/>
            <w:tcBorders>
              <w:top w:val="nil"/>
              <w:left w:val="nil"/>
              <w:bottom w:val="single" w:sz="4" w:space="0" w:color="A98899" w:themeColor="accent6"/>
              <w:right w:val="single" w:sz="4" w:space="0" w:color="A98899" w:themeColor="accent6"/>
            </w:tcBorders>
            <w:hideMark/>
          </w:tcPr>
          <w:p w14:paraId="7948D3F0" w14:textId="77777777" w:rsidR="00D9066A" w:rsidRPr="00D9066A" w:rsidRDefault="00D9066A">
            <w:pPr>
              <w:pStyle w:val="Compact"/>
              <w:jc w:val="left"/>
              <w:cnfStyle w:val="000000000000" w:firstRow="0" w:lastRow="0" w:firstColumn="0" w:lastColumn="0" w:oddVBand="0" w:evenVBand="0" w:oddHBand="0" w:evenHBand="0" w:firstRowFirstColumn="0" w:firstRowLastColumn="0" w:lastRowFirstColumn="0" w:lastRowLastColumn="0"/>
            </w:pPr>
            <w:r w:rsidRPr="00D9066A">
              <w:t xml:space="preserve">Eine Person unterrichtet die Klasse oder bereitet vor, die andere Person </w:t>
            </w:r>
            <w:r w:rsidRPr="00D9066A">
              <w:br/>
              <w:t>unterrichtet eine Gruppe/ein Kind beziehungsweise bereitet dafür vor.</w:t>
            </w:r>
          </w:p>
        </w:tc>
      </w:tr>
    </w:tbl>
    <w:p w14:paraId="28903604" w14:textId="77777777" w:rsidR="00D9066A" w:rsidRDefault="00D9066A" w:rsidP="00D9066A">
      <w:pPr>
        <w:pStyle w:val="Textkrper"/>
        <w:ind w:firstLine="0"/>
      </w:pPr>
      <w:r>
        <w:t xml:space="preserve">Diese Co-Teaching-Formen beschreiben Möglichkeiten, wie die Doppelbesetzung organisiert werden kann. Aus diesem Grund sind sie als Oberflächenmerkmale zu betrachten. Für die Planung des Unterrichts ist entscheidend, dass Lehrpersonen und Schulische </w:t>
      </w:r>
      <w:proofErr w:type="spellStart"/>
      <w:proofErr w:type="gramStart"/>
      <w:r>
        <w:t>Heilpädagog:innen</w:t>
      </w:r>
      <w:proofErr w:type="spellEnd"/>
      <w:proofErr w:type="gramEnd"/>
      <w:r>
        <w:t xml:space="preserve"> eine Co-Teaching-Form wählen, die auf der Tiefenebene den gewünschten Effekt hat.</w:t>
      </w:r>
    </w:p>
    <w:p w14:paraId="3F74F438" w14:textId="77777777" w:rsidR="00D9066A" w:rsidRDefault="00D9066A" w:rsidP="00D9066A">
      <w:pPr>
        <w:pStyle w:val="berschrift1"/>
      </w:pPr>
      <w:r>
        <w:t>Erwartete und erwartbare Effekte der Co-Teaching-Formen auf Tiefenebene</w:t>
      </w:r>
    </w:p>
    <w:p w14:paraId="04C9EE1A" w14:textId="0B3C831A" w:rsidR="00D9066A" w:rsidRDefault="00D9066A" w:rsidP="00D9066A">
      <w:pPr>
        <w:pStyle w:val="Textkrper"/>
        <w:ind w:firstLine="0"/>
      </w:pPr>
      <w:r>
        <w:t xml:space="preserve">Es wird erwartet, dass sich Co-Teaching positiv auf die Tiefenebene auswirkt: auf das Lernen und Verhalten der </w:t>
      </w:r>
      <w:proofErr w:type="spellStart"/>
      <w:proofErr w:type="gramStart"/>
      <w:r>
        <w:t>Schüler:innen</w:t>
      </w:r>
      <w:proofErr w:type="spellEnd"/>
      <w:proofErr w:type="gramEnd"/>
      <w:r>
        <w:t xml:space="preserve"> </w:t>
      </w:r>
      <w:r>
        <w:rPr>
          <w:noProof/>
        </w:rPr>
        <w:t>(Karten &amp; Muraswski, 2020)</w:t>
      </w:r>
      <w:r>
        <w:t xml:space="preserve">, auf die Inklusion </w:t>
      </w:r>
      <w:r>
        <w:rPr>
          <w:noProof/>
        </w:rPr>
        <w:t>(ebd.)</w:t>
      </w:r>
      <w:r>
        <w:t xml:space="preserve"> und die Differenzierung </w:t>
      </w:r>
      <w:r>
        <w:rPr>
          <w:noProof/>
        </w:rPr>
        <w:t>(Murawski &amp; Lochner, 2011)</w:t>
      </w:r>
      <w:r>
        <w:t xml:space="preserve"> sowie die Professionalisierung. Zudem kann </w:t>
      </w:r>
      <w:r w:rsidR="00CD553B" w:rsidRPr="00CD553B">
        <w:t xml:space="preserve">Co-Teaching </w:t>
      </w:r>
      <w:r>
        <w:t xml:space="preserve">Lehrpersonen entlasten </w:t>
      </w:r>
      <w:r>
        <w:rPr>
          <w:noProof/>
        </w:rPr>
        <w:t>(Hildebrand et al., 2017).</w:t>
      </w:r>
      <w:r>
        <w:t xml:space="preserve"> Um diese Wirkung zu ermöglichen, müssen Lehrpersonen und Schulische </w:t>
      </w:r>
      <w:proofErr w:type="spellStart"/>
      <w:proofErr w:type="gramStart"/>
      <w:r>
        <w:t>Heilpädagog:innen</w:t>
      </w:r>
      <w:proofErr w:type="spellEnd"/>
      <w:proofErr w:type="gramEnd"/>
      <w:r>
        <w:t xml:space="preserve"> gezielt die passenden Co-Teaching-Formen einsetzen </w:t>
      </w:r>
      <w:r>
        <w:rPr>
          <w:noProof/>
        </w:rPr>
        <w:t>(Cook &amp; McDuffie-Landrum, 2019)</w:t>
      </w:r>
      <w:r>
        <w:t xml:space="preserve"> (vgl. generative Funktion der Tiefenmerkmale). Ausgehend von empirischen Studien (vgl. rezeptive Funktion) und theoretischen Überlegungen wird nachfolgend das Potenzial der Co-Teaching-Formen exemplarisch diskutiert. </w:t>
      </w:r>
    </w:p>
    <w:p w14:paraId="51C0022F" w14:textId="77777777" w:rsidR="00D9066A" w:rsidRDefault="00D9066A" w:rsidP="00D9066A">
      <w:pPr>
        <w:pStyle w:val="berschrift2"/>
      </w:pPr>
      <w:r>
        <w:t xml:space="preserve">Lernen und Verhalten der </w:t>
      </w:r>
      <w:proofErr w:type="spellStart"/>
      <w:proofErr w:type="gramStart"/>
      <w:r>
        <w:t>Schüler:innen</w:t>
      </w:r>
      <w:proofErr w:type="spellEnd"/>
      <w:proofErr w:type="gramEnd"/>
    </w:p>
    <w:p w14:paraId="4E209B64" w14:textId="77777777" w:rsidR="00D9066A" w:rsidRDefault="00D9066A" w:rsidP="00D9066A">
      <w:pPr>
        <w:pStyle w:val="Textkrper"/>
        <w:ind w:firstLine="0"/>
        <w:rPr>
          <w:lang w:val="de-DE"/>
        </w:rPr>
      </w:pPr>
      <w:r>
        <w:t xml:space="preserve">Für die </w:t>
      </w:r>
      <w:r>
        <w:rPr>
          <w:i/>
          <w:iCs/>
        </w:rPr>
        <w:t>Co-Planung</w:t>
      </w:r>
      <w:r>
        <w:t xml:space="preserve"> ist relevant, dass Lehrpersonen und Schulische </w:t>
      </w:r>
      <w:proofErr w:type="spellStart"/>
      <w:proofErr w:type="gramStart"/>
      <w:r>
        <w:t>Heilpädagog:innen</w:t>
      </w:r>
      <w:proofErr w:type="spellEnd"/>
      <w:proofErr w:type="gramEnd"/>
      <w:r>
        <w:t xml:space="preserve"> Unterrichtssequenzen planen, in denen sie die Basisdimensionen von Unterrichtsqualität (kognitive Aktivierung, Strukturierung, förderliche Unterstützung; </w:t>
      </w:r>
      <w:proofErr w:type="spellStart"/>
      <w:r>
        <w:t>Kleickmann</w:t>
      </w:r>
      <w:proofErr w:type="spellEnd"/>
      <w:r>
        <w:t xml:space="preserve"> et al., 2020) möglichst umsetzen. Dies kann gemeinsam oder arbeitsteilig und in allen Co-Teaching-Formen geschehen. Insbesondere für Lehrpersonen, welche Kinder mit besonderem Förderbedarf unterrichten, bietet es sich an, im Teaming zu planen. Dadurch kann das Lernen dieser Kinder optimiert oder deren Verhaltensregulation vorbesprochen werden (Hildebrandt et al., 2017). </w:t>
      </w:r>
    </w:p>
    <w:p w14:paraId="53F62EC2" w14:textId="77777777" w:rsidR="00D9066A" w:rsidRDefault="00D9066A" w:rsidP="00D9066A">
      <w:pPr>
        <w:pStyle w:val="Textkrper"/>
      </w:pPr>
      <w:r>
        <w:t xml:space="preserve">Aus pädagogisch-psychologischer Perspektive sind für die </w:t>
      </w:r>
      <w:r>
        <w:rPr>
          <w:i/>
          <w:iCs/>
        </w:rPr>
        <w:t>Co-Instruktion</w:t>
      </w:r>
      <w:r>
        <w:t xml:space="preserve"> zwei Vorgänge wichtig: Die Lehr-/Fachpersonen interagieren mit den </w:t>
      </w:r>
      <w:proofErr w:type="spellStart"/>
      <w:proofErr w:type="gramStart"/>
      <w:r>
        <w:t>Schüler:innen</w:t>
      </w:r>
      <w:proofErr w:type="spellEnd"/>
      <w:proofErr w:type="gramEnd"/>
      <w:r>
        <w:t xml:space="preserve"> und die </w:t>
      </w:r>
      <w:proofErr w:type="spellStart"/>
      <w:r>
        <w:t>Schüler:innen</w:t>
      </w:r>
      <w:proofErr w:type="spellEnd"/>
      <w:r>
        <w:t xml:space="preserve"> setzen sich mit dem Unterrichtsinhalt auseinander. Die für das Lernen günstigen Basisdimensionen von Unterrichtsqualität können in allen Co-Teaching-Formen umgesetzt werden. Die gemeinsame Lernprozessbegleitung, aber auch das Station-Teaching, das Parallele und Alternative Unterrichten können das Lernen der </w:t>
      </w:r>
      <w:proofErr w:type="spellStart"/>
      <w:proofErr w:type="gramStart"/>
      <w:r>
        <w:t>Schüler:innen</w:t>
      </w:r>
      <w:proofErr w:type="spellEnd"/>
      <w:proofErr w:type="gramEnd"/>
      <w:r>
        <w:t xml:space="preserve"> zusätzlich fördern, da zwei Erwachsene mehr </w:t>
      </w:r>
      <w:proofErr w:type="spellStart"/>
      <w:r>
        <w:t>Schüler:innen</w:t>
      </w:r>
      <w:proofErr w:type="spellEnd"/>
      <w:r>
        <w:t xml:space="preserve"> individuell adressieren können </w:t>
      </w:r>
      <w:r>
        <w:rPr>
          <w:noProof/>
        </w:rPr>
        <w:t>(Lochner et al., 2019)</w:t>
      </w:r>
      <w:r>
        <w:t xml:space="preserve">. Die aktive Lernzeit der </w:t>
      </w:r>
      <w:proofErr w:type="spellStart"/>
      <w:proofErr w:type="gramStart"/>
      <w:r>
        <w:t>Schüler:innen</w:t>
      </w:r>
      <w:proofErr w:type="spellEnd"/>
      <w:proofErr w:type="gramEnd"/>
      <w:r>
        <w:t xml:space="preserve"> ist im Teaming und der gemeinsamen Lernbegleitung höher als im Alternativen Unterrichten, insbesondere bei Kindern mit sozial-emotionalem Förderbedarf </w:t>
      </w:r>
      <w:r>
        <w:rPr>
          <w:noProof/>
        </w:rPr>
        <w:lastRenderedPageBreak/>
        <w:t>(Textor, 2005)</w:t>
      </w:r>
      <w:r>
        <w:t xml:space="preserve">. </w:t>
      </w:r>
      <w:proofErr w:type="spellStart"/>
      <w:r>
        <w:rPr>
          <w:i/>
          <w:iCs/>
        </w:rPr>
        <w:t>One</w:t>
      </w:r>
      <w:proofErr w:type="spellEnd"/>
      <w:r>
        <w:rPr>
          <w:i/>
          <w:iCs/>
        </w:rPr>
        <w:t xml:space="preserve"> </w:t>
      </w:r>
      <w:proofErr w:type="spellStart"/>
      <w:r>
        <w:rPr>
          <w:i/>
          <w:iCs/>
        </w:rPr>
        <w:t>teach</w:t>
      </w:r>
      <w:proofErr w:type="spellEnd"/>
      <w:r>
        <w:rPr>
          <w:i/>
          <w:iCs/>
        </w:rPr>
        <w:t xml:space="preserve"> – </w:t>
      </w:r>
      <w:proofErr w:type="spellStart"/>
      <w:r>
        <w:rPr>
          <w:i/>
          <w:iCs/>
        </w:rPr>
        <w:t>one</w:t>
      </w:r>
      <w:proofErr w:type="spellEnd"/>
      <w:r>
        <w:rPr>
          <w:i/>
          <w:iCs/>
        </w:rPr>
        <w:t xml:space="preserve"> support</w:t>
      </w:r>
      <w:r>
        <w:t xml:space="preserve"> ist eine effektive Co-Teaching-Form, wenn sie alle Lernenden unterstützt, die Co-Lehrpersonen die führende Rolle abwechselnd übernehmen und sie evidenzbasierte Praktiken anwenden (</w:t>
      </w:r>
      <w:proofErr w:type="spellStart"/>
      <w:r>
        <w:rPr>
          <w:noProof/>
        </w:rPr>
        <w:t>Strogilos</w:t>
      </w:r>
      <w:proofErr w:type="spellEnd"/>
      <w:r>
        <w:rPr>
          <w:noProof/>
        </w:rPr>
        <w:t xml:space="preserve"> &amp; King</w:t>
      </w:r>
      <w:r>
        <w:rPr>
          <w:rFonts w:ascii="Cambria Math" w:hAnsi="Cambria Math" w:cs="Cambria Math"/>
          <w:noProof/>
        </w:rPr>
        <w:t>‐</w:t>
      </w:r>
      <w:r>
        <w:rPr>
          <w:noProof/>
        </w:rPr>
        <w:t>Sears, 2019)</w:t>
      </w:r>
      <w:r>
        <w:t xml:space="preserve">. Alternatives Unterrichten in homogenen Gruppen führt zu guten Lernergebnissen, wenn die Instruktion für spezifische Ziele an die Lernvoraussetzungen der </w:t>
      </w:r>
      <w:proofErr w:type="spellStart"/>
      <w:proofErr w:type="gramStart"/>
      <w:r>
        <w:t>Schüler:innen</w:t>
      </w:r>
      <w:proofErr w:type="spellEnd"/>
      <w:proofErr w:type="gramEnd"/>
      <w:r>
        <w:t xml:space="preserve"> angepasst wird </w:t>
      </w:r>
      <w:r>
        <w:rPr>
          <w:noProof/>
        </w:rPr>
        <w:t>(Grünke, 2006)</w:t>
      </w:r>
      <w:r>
        <w:t xml:space="preserve">. Ein letzter Punkt betrifft die Klassenführung: Im Teaming können Lehrpersonen die Prinzipien des </w:t>
      </w:r>
      <w:r>
        <w:rPr>
          <w:i/>
          <w:iCs/>
        </w:rPr>
        <w:t>Classroom Managements</w:t>
      </w:r>
      <w:r>
        <w:t xml:space="preserve"> nach </w:t>
      </w:r>
      <w:r>
        <w:rPr>
          <w:noProof/>
        </w:rPr>
        <w:t>Kounin</w:t>
      </w:r>
      <w:r>
        <w:t xml:space="preserve"> (z. B. Allgegenwärtigkeit) besser umsetzen, als wenn eine Person allein unterrichtet </w:t>
      </w:r>
      <w:r>
        <w:rPr>
          <w:noProof/>
        </w:rPr>
        <w:t>(Lahtz, 2013)</w:t>
      </w:r>
      <w:r>
        <w:t>.</w:t>
      </w:r>
    </w:p>
    <w:p w14:paraId="266CA3BE" w14:textId="77777777" w:rsidR="00D9066A" w:rsidRDefault="00D9066A" w:rsidP="00D9066A">
      <w:pPr>
        <w:pStyle w:val="berschrift2"/>
      </w:pPr>
      <w:r>
        <w:t>Adaptivität und Differenzierung</w:t>
      </w:r>
    </w:p>
    <w:p w14:paraId="30D26CA4" w14:textId="77777777" w:rsidR="00D9066A" w:rsidRDefault="00D9066A" w:rsidP="00D9066A">
      <w:pPr>
        <w:pStyle w:val="Textkrper"/>
        <w:ind w:firstLine="0"/>
      </w:pPr>
      <w:r>
        <w:t xml:space="preserve">Co-Teaching ist häufig an zwei Erwartungen geknüpft: erstens, dass ein Lerngegenstand besser auf die </w:t>
      </w:r>
      <w:proofErr w:type="spellStart"/>
      <w:proofErr w:type="gramStart"/>
      <w:r>
        <w:t>Schüler:innen</w:t>
      </w:r>
      <w:proofErr w:type="spellEnd"/>
      <w:proofErr w:type="gramEnd"/>
      <w:r>
        <w:t xml:space="preserve"> abgestimmt werden kann </w:t>
      </w:r>
      <w:r>
        <w:rPr>
          <w:noProof/>
        </w:rPr>
        <w:t>(Karten &amp; Murawski, 2020) u</w:t>
      </w:r>
      <w:proofErr w:type="spellStart"/>
      <w:r>
        <w:t>nd</w:t>
      </w:r>
      <w:proofErr w:type="spellEnd"/>
      <w:r>
        <w:t xml:space="preserve"> zweitens, dass die Förderziele von Kindern mit besonderem Bildungsbedarf grundlegend in den Klassenunterricht einbezogen werden </w:t>
      </w:r>
      <w:r>
        <w:rPr>
          <w:noProof/>
        </w:rPr>
        <w:t>(Cook &amp; McDuffie-Landrum, 2019)</w:t>
      </w:r>
      <w:r>
        <w:t xml:space="preserve">. </w:t>
      </w:r>
    </w:p>
    <w:p w14:paraId="139EA766" w14:textId="77777777" w:rsidR="00D9066A" w:rsidRDefault="00D9066A" w:rsidP="00D9066A">
      <w:pPr>
        <w:pStyle w:val="Textkrper"/>
      </w:pPr>
      <w:r>
        <w:t xml:space="preserve">Bei der </w:t>
      </w:r>
      <w:r>
        <w:rPr>
          <w:i/>
          <w:iCs/>
        </w:rPr>
        <w:t>Co-Planung</w:t>
      </w:r>
      <w:r>
        <w:t xml:space="preserve"> im Teaming sind vermehrt </w:t>
      </w:r>
      <w:proofErr w:type="spellStart"/>
      <w:r>
        <w:t>ko</w:t>
      </w:r>
      <w:proofErr w:type="spellEnd"/>
      <w:r>
        <w:t xml:space="preserve">-konstruktiv individualisierende und personalisierte Lernsettings vorgesehen </w:t>
      </w:r>
      <w:r>
        <w:rPr>
          <w:noProof/>
        </w:rPr>
        <w:t>(Stebler et al., 2021)</w:t>
      </w:r>
      <w:r>
        <w:t>, als wenn jede Person individuell plant. Nach Lütje-Klose</w:t>
      </w:r>
      <w:r>
        <w:rPr>
          <w:noProof/>
        </w:rPr>
        <w:t xml:space="preserve"> et al. (2018) </w:t>
      </w:r>
      <w:r>
        <w:t xml:space="preserve">haben Schulen mit hohen Leistungswerten für </w:t>
      </w:r>
      <w:proofErr w:type="spellStart"/>
      <w:proofErr w:type="gramStart"/>
      <w:r>
        <w:t>Schüler:innen</w:t>
      </w:r>
      <w:proofErr w:type="spellEnd"/>
      <w:proofErr w:type="gramEnd"/>
      <w:r>
        <w:t xml:space="preserve"> mit Förderbedarf Lernen «ein hohes Maß an […] gemeinsam entwickelten Konzepten zur adaptiven Unterrichtung und Förderung von Kindern mit heterogenen Eingangsvoraussetzungen» (S. 115).</w:t>
      </w:r>
    </w:p>
    <w:p w14:paraId="4888A309" w14:textId="77777777" w:rsidR="00D9066A" w:rsidRDefault="00D9066A" w:rsidP="00D9066A">
      <w:pPr>
        <w:pStyle w:val="Textkrper"/>
      </w:pPr>
      <w:r>
        <w:t xml:space="preserve">Bei der </w:t>
      </w:r>
      <w:r>
        <w:rPr>
          <w:i/>
          <w:iCs/>
        </w:rPr>
        <w:t>Co-Instruktion</w:t>
      </w:r>
      <w:r>
        <w:t xml:space="preserve"> ist die Co-Teaching-Form nicht relevant für die Adaptivität der individuellen Lernbegleitung. Station Teaching, Alternatives und Paralleles Unterrichten haben jedoch ein besonderes Potenzial, um Lernangebote zu differenzieren </w:t>
      </w:r>
      <w:r>
        <w:rPr>
          <w:noProof/>
        </w:rPr>
        <w:t>(Cook &amp; McDuffie-Landrum, 2019)</w:t>
      </w:r>
      <w:r>
        <w:t xml:space="preserve">. In der gemeinsamen Lernbegleitung können durch die kleine </w:t>
      </w:r>
      <w:proofErr w:type="spellStart"/>
      <w:r>
        <w:t>Lehrpersonen-</w:t>
      </w:r>
      <w:proofErr w:type="gramStart"/>
      <w:r>
        <w:t>Schüler:innen</w:t>
      </w:r>
      <w:proofErr w:type="gramEnd"/>
      <w:r>
        <w:t>-Ratio</w:t>
      </w:r>
      <w:proofErr w:type="spellEnd"/>
      <w:r>
        <w:t xml:space="preserve"> mehr </w:t>
      </w:r>
      <w:proofErr w:type="spellStart"/>
      <w:r>
        <w:t>Schüler:innen</w:t>
      </w:r>
      <w:proofErr w:type="spellEnd"/>
      <w:r>
        <w:t xml:space="preserve"> in der gleichen Zeit begleitet werden. </w:t>
      </w:r>
    </w:p>
    <w:p w14:paraId="3CE365D7" w14:textId="77777777" w:rsidR="00D9066A" w:rsidRDefault="00D9066A" w:rsidP="00D9066A">
      <w:pPr>
        <w:pStyle w:val="berschrift2"/>
      </w:pPr>
      <w:r>
        <w:t>Inklusion</w:t>
      </w:r>
    </w:p>
    <w:p w14:paraId="7AC6AD36" w14:textId="77777777" w:rsidR="00D9066A" w:rsidRDefault="00D9066A" w:rsidP="00D9066A">
      <w:pPr>
        <w:pStyle w:val="Textkrper"/>
        <w:ind w:firstLine="0"/>
        <w:rPr>
          <w:noProof/>
        </w:rPr>
      </w:pPr>
      <w:r>
        <w:t xml:space="preserve">Co-Teaching kann die fachlichen und überfachlichen Kompetenzen der </w:t>
      </w:r>
      <w:proofErr w:type="spellStart"/>
      <w:proofErr w:type="gramStart"/>
      <w:r>
        <w:t>Schüler:innen</w:t>
      </w:r>
      <w:proofErr w:type="spellEnd"/>
      <w:proofErr w:type="gramEnd"/>
      <w:r>
        <w:t xml:space="preserve"> fördern. Gleichzeitig kann es sich auch positiv auf die Teilhabe auswirken. Laut </w:t>
      </w:r>
      <w:r>
        <w:rPr>
          <w:noProof/>
        </w:rPr>
        <w:t>Fluijt et al. (2016)</w:t>
      </w:r>
      <w:r>
        <w:t xml:space="preserve"> erhöht die </w:t>
      </w:r>
      <w:r>
        <w:rPr>
          <w:i/>
          <w:iCs/>
        </w:rPr>
        <w:t>Co-Planung</w:t>
      </w:r>
      <w:r>
        <w:t xml:space="preserve"> im Teaming, wenn Lehr- und Fachpersonen gemeinsam reflektieren, die Sensibilität für Inklusion und sie erweitert das Verständnis von Inklusion, sodass nicht nur Kinder mit Förderbedarf im Fokus stehen. Die geteilten inklusiven Werte, die </w:t>
      </w:r>
      <w:r>
        <w:rPr>
          <w:noProof/>
        </w:rPr>
        <w:t>Lütje-Klose et al. (2018)</w:t>
      </w:r>
      <w:r>
        <w:rPr>
          <w:noProof/>
          <w:sz w:val="18"/>
          <w:szCs w:val="18"/>
        </w:rPr>
        <w:t xml:space="preserve"> </w:t>
      </w:r>
      <w:r>
        <w:t xml:space="preserve">in </w:t>
      </w:r>
      <w:proofErr w:type="spellStart"/>
      <w:r>
        <w:t>ko</w:t>
      </w:r>
      <w:proofErr w:type="spellEnd"/>
      <w:r>
        <w:t>-konstruktiven Planungssequenzen nachzeichnen konnten, gehen einher mit «kollektiv verfolgten didaktisch-methodischen Prinzipien, die das inklusionspädagogische Spannungsfeld von Individualisierung und Herstellung von Gemeinsamkeit […] gezielt aufnehmen»</w:t>
      </w:r>
      <w:r>
        <w:rPr>
          <w:noProof/>
        </w:rPr>
        <w:t xml:space="preserve"> (S. 115)</w:t>
      </w:r>
      <w:r>
        <w:t xml:space="preserve">. </w:t>
      </w:r>
      <w:r>
        <w:rPr>
          <w:noProof/>
        </w:rPr>
        <w:t xml:space="preserve">Cook und McDuffie-Landrum (2019) schlagen vor, dass Lehrpersonen wann immer möglich in der ganzen Klasse Inhalte vermitteln und Methoden anwenden sollen, wenn diese für alle Schüler:innen adaptiert werden können. Wenn ein Inhalt oder eine Methode nur für bestimmte Kinder passt, sollen sie eher das Station-Teaching wählen. Da in diesem Setting der Inhalt eins von mehreren differenzierten Angeboten ist, ist der Unterricht inklusiver, als wenn diese Kinder im Alternativen Unterrichten von der Klasse separiert werden. </w:t>
      </w:r>
    </w:p>
    <w:p w14:paraId="32EFF517" w14:textId="77777777" w:rsidR="00D9066A" w:rsidRDefault="00D9066A" w:rsidP="00D9066A">
      <w:pPr>
        <w:pStyle w:val="Textkrper"/>
        <w:rPr>
          <w:noProof/>
        </w:rPr>
      </w:pPr>
      <w:r>
        <w:t xml:space="preserve">Bei der </w:t>
      </w:r>
      <w:r>
        <w:rPr>
          <w:i/>
          <w:iCs/>
        </w:rPr>
        <w:t>Co-Instruktion</w:t>
      </w:r>
      <w:r>
        <w:t xml:space="preserve"> sind Co-Teaching-Formen zielführend, die die </w:t>
      </w:r>
      <w:proofErr w:type="spellStart"/>
      <w:r>
        <w:t>Besonderung</w:t>
      </w:r>
      <w:proofErr w:type="spellEnd"/>
      <w:r>
        <w:t xml:space="preserve"> einzelner Kinder verhindern. </w:t>
      </w:r>
      <w:r>
        <w:rPr>
          <w:noProof/>
          <w:lang w:val="de-DE"/>
        </w:rPr>
        <w:t>Weiss und Lloyd (2002)</w:t>
      </w:r>
      <w:r>
        <w:rPr>
          <w:lang w:val="de-DE"/>
        </w:rPr>
        <w:t xml:space="preserve"> finden diesen Effekt beim Teaming. </w:t>
      </w:r>
      <w:r>
        <w:t xml:space="preserve">Auch </w:t>
      </w:r>
      <w:r>
        <w:rPr>
          <w:noProof/>
        </w:rPr>
        <w:t>Wiener und Tardiff (2004)</w:t>
      </w:r>
      <w:r>
        <w:t xml:space="preserve"> zeigen, dass Kinder mit klassenintegrierter Förderung engere Freundschaften aufbauen und weniger Verhaltensprobleme haben als Kinder in </w:t>
      </w:r>
      <w:proofErr w:type="spellStart"/>
      <w:r>
        <w:t>separativen</w:t>
      </w:r>
      <w:proofErr w:type="spellEnd"/>
      <w:r>
        <w:t xml:space="preserve"> Settings.</w:t>
      </w:r>
    </w:p>
    <w:p w14:paraId="3A9A5297" w14:textId="77777777" w:rsidR="00D9066A" w:rsidRDefault="00D9066A" w:rsidP="00D9066A">
      <w:pPr>
        <w:pStyle w:val="berschrift2"/>
      </w:pPr>
      <w:r>
        <w:t xml:space="preserve">Professionalisierung von Lehrpersonen und Schulischen </w:t>
      </w:r>
      <w:proofErr w:type="spellStart"/>
      <w:proofErr w:type="gramStart"/>
      <w:r>
        <w:t>Heilpädagog:innen</w:t>
      </w:r>
      <w:proofErr w:type="spellEnd"/>
      <w:proofErr w:type="gramEnd"/>
      <w:r>
        <w:t xml:space="preserve"> </w:t>
      </w:r>
    </w:p>
    <w:p w14:paraId="4D5F3F86" w14:textId="77777777" w:rsidR="00D9066A" w:rsidRDefault="00D9066A" w:rsidP="00D9066A">
      <w:pPr>
        <w:pStyle w:val="Textkrper"/>
        <w:ind w:firstLine="0"/>
      </w:pPr>
      <w:r>
        <w:t>Professionalisierung bedeutet, dass die Lehrenden ihr Wissen, ihre Kompetenzen und ihre Haltungen weiterentwickeln. Diese Weiterentwicklung wird durch Austausch, Reflexion und Ko-Konstruktion angeregt. Die Forschung betont insbesondere den Wert von Ko-Konstruktion: «</w:t>
      </w:r>
      <w:proofErr w:type="spellStart"/>
      <w:r>
        <w:t>Kokonstruktion</w:t>
      </w:r>
      <w:proofErr w:type="spellEnd"/>
      <w:r>
        <w:t xml:space="preserve"> erkennt man an zyklischen, intensiven und interdependenten Aushandlungen und Reflexionen der Innovation und ihrer Konkretisierungen» </w:t>
      </w:r>
      <w:r>
        <w:rPr>
          <w:noProof/>
        </w:rPr>
        <w:t>(Grosche et al., 2020, S. 467)</w:t>
      </w:r>
      <w:r>
        <w:t>.</w:t>
      </w:r>
    </w:p>
    <w:p w14:paraId="5A14DB42" w14:textId="77777777" w:rsidR="00D9066A" w:rsidRDefault="00D9066A" w:rsidP="00D9066A">
      <w:pPr>
        <w:pStyle w:val="Textkrper"/>
      </w:pPr>
      <w:r>
        <w:t xml:space="preserve">Besonders die </w:t>
      </w:r>
      <w:r>
        <w:rPr>
          <w:i/>
          <w:iCs/>
        </w:rPr>
        <w:t xml:space="preserve">Co-Planung </w:t>
      </w:r>
      <w:r>
        <w:t xml:space="preserve">kann zur Professionalisierung beitragen, wenn Lehr- und Fachpersonen im Teaming planen und reflektieren </w:t>
      </w:r>
      <w:r>
        <w:rPr>
          <w:noProof/>
        </w:rPr>
        <w:t>(Hildebrandt et al., 2017)</w:t>
      </w:r>
      <w:r>
        <w:t xml:space="preserve">. Auch </w:t>
      </w:r>
      <w:r>
        <w:rPr>
          <w:noProof/>
        </w:rPr>
        <w:t>Fluijt et al. (2016)</w:t>
      </w:r>
      <w:r>
        <w:t xml:space="preserve"> weisen darauf hin, dass die Nachbearbeitung </w:t>
      </w:r>
      <w:r>
        <w:lastRenderedPageBreak/>
        <w:t xml:space="preserve">und die gemeinsame Reflexion des gehaltenen Unterrichts beziehungsweise das gegenseitige Feedback zum Unterricht wichtig sind. </w:t>
      </w:r>
      <w:r>
        <w:rPr>
          <w:noProof/>
        </w:rPr>
        <w:t>Grosche et al. (2020)</w:t>
      </w:r>
      <w:r>
        <w:t xml:space="preserve"> vermuten, dass die intensivere Auseinandersetzung mit Fragen zu Unterricht und Lernen zu professionellerem Handeln führt. </w:t>
      </w:r>
    </w:p>
    <w:p w14:paraId="6D2C5C2C" w14:textId="77777777" w:rsidR="00D9066A" w:rsidRDefault="00D9066A" w:rsidP="00D9066A">
      <w:pPr>
        <w:pStyle w:val="Textkrper"/>
      </w:pPr>
      <w:r>
        <w:t xml:space="preserve">Bei der </w:t>
      </w:r>
      <w:r>
        <w:rPr>
          <w:i/>
          <w:iCs/>
        </w:rPr>
        <w:t>Co-Instruktion</w:t>
      </w:r>
      <w:r>
        <w:t xml:space="preserve"> sind Co-Teaching-Formen hilfreich, bei denen die Lehrpersonen in einen gemeinsamen Handlungsstrang involviert sind. So können sie entweder voneinander lernen oder die gemeinsamen Erfahrungen gemeinsam reflektieren </w:t>
      </w:r>
      <w:r>
        <w:rPr>
          <w:noProof/>
        </w:rPr>
        <w:t>(Park et al., 2007)</w:t>
      </w:r>
      <w:r>
        <w:t xml:space="preserve">. Roth und Tobin (2005) zeichnen in ihren Studien detailliert nach, wie Lehrpersonen während des Teamings voneinander Handlungskompetenzen übernehmen. </w:t>
      </w:r>
    </w:p>
    <w:p w14:paraId="59D90516" w14:textId="77777777" w:rsidR="00D9066A" w:rsidRDefault="00D9066A" w:rsidP="00D9066A">
      <w:pPr>
        <w:pStyle w:val="berschrift2"/>
      </w:pPr>
      <w:r>
        <w:t xml:space="preserve">Entlastung von Lehrpersonen und Schulischen </w:t>
      </w:r>
      <w:proofErr w:type="spellStart"/>
      <w:proofErr w:type="gramStart"/>
      <w:r>
        <w:t>Heilpädagog:innen</w:t>
      </w:r>
      <w:proofErr w:type="spellEnd"/>
      <w:proofErr w:type="gramEnd"/>
    </w:p>
    <w:p w14:paraId="75A4F5A1" w14:textId="77777777" w:rsidR="00D9066A" w:rsidRDefault="00D9066A" w:rsidP="00D9066A">
      <w:pPr>
        <w:pStyle w:val="Textkrper"/>
        <w:ind w:firstLine="0"/>
      </w:pPr>
      <w:r>
        <w:t xml:space="preserve">Aus verschiedenen Studien lässt sich darauf schliessen, dass </w:t>
      </w:r>
      <w:proofErr w:type="spellStart"/>
      <w:r>
        <w:t>ko</w:t>
      </w:r>
      <w:proofErr w:type="spellEnd"/>
      <w:r>
        <w:t xml:space="preserve">-konstruktive und arbeitsteilige Co-Teaching-Formen Lehrpersonen entlasten können. In der </w:t>
      </w:r>
      <w:r>
        <w:rPr>
          <w:i/>
          <w:iCs/>
        </w:rPr>
        <w:t>Co-Planung</w:t>
      </w:r>
      <w:r>
        <w:t xml:space="preserve"> geschieht dies durch das Teaming, das heisst die gemeinsame Vorbereitung: </w:t>
      </w:r>
      <w:r>
        <w:rPr>
          <w:noProof/>
        </w:rPr>
        <w:t>Luder (2021) zeigt</w:t>
      </w:r>
      <w:r>
        <w:t xml:space="preserve">, dass sich Lehrpersonen, die sich intensiv über ihre Klasse austauschen, weniger überfordert fühlen. Das bedeutet: Wer vermehrt </w:t>
      </w:r>
      <w:proofErr w:type="spellStart"/>
      <w:r>
        <w:t>ko</w:t>
      </w:r>
      <w:proofErr w:type="spellEnd"/>
      <w:r>
        <w:t xml:space="preserve">-konstruktiv zusammenarbeitet, spürt eine geringere unterrichtsbezogene Belastung (ebd.). Allerdings weisen </w:t>
      </w:r>
      <w:r>
        <w:rPr>
          <w:noProof/>
        </w:rPr>
        <w:t>Grosche et al. (2020)</w:t>
      </w:r>
      <w:r>
        <w:t xml:space="preserve"> darauf hin, dass die Entlastung bei intensiven Kooperationsformen erst nach einer gewissen Zeit zu erwarten ist. </w:t>
      </w:r>
    </w:p>
    <w:p w14:paraId="54701D1E" w14:textId="4745AE1F" w:rsidR="00D9066A" w:rsidRDefault="00D9066A" w:rsidP="00D9066A">
      <w:pPr>
        <w:pStyle w:val="Textkrper"/>
      </w:pPr>
      <w:r>
        <w:t xml:space="preserve">In der </w:t>
      </w:r>
      <w:r>
        <w:rPr>
          <w:i/>
          <w:iCs/>
        </w:rPr>
        <w:t>Co-Instruktion</w:t>
      </w:r>
      <w:r>
        <w:t xml:space="preserve"> wirken Co-Teaching-Formen entlastend, die es den Lehrpersonen erlauben, gemeinsam Verantwortung zu übernehmen </w:t>
      </w:r>
      <w:r>
        <w:rPr>
          <w:noProof/>
        </w:rPr>
        <w:t>(Hildebrandt et al., 2017)</w:t>
      </w:r>
      <w:r>
        <w:t>. Dies kann primär im Teaming und in der gemeinsamen Lernbegleitung geschehen, aber auch im Station Teaching oder je nach Umsetzung auch im Parallelen Unterrichten.</w:t>
      </w:r>
    </w:p>
    <w:p w14:paraId="6C19FD02" w14:textId="77777777" w:rsidR="00D9066A" w:rsidRDefault="00D9066A" w:rsidP="00D9066A">
      <w:pPr>
        <w:pStyle w:val="berschrift1"/>
      </w:pPr>
      <w:r>
        <w:t>Fazit</w:t>
      </w:r>
    </w:p>
    <w:p w14:paraId="3C0C3242" w14:textId="77777777" w:rsidR="00D9066A" w:rsidRDefault="00D9066A" w:rsidP="00D9066A">
      <w:pPr>
        <w:pStyle w:val="Textkrper"/>
        <w:ind w:firstLine="0"/>
      </w:pPr>
      <w:r>
        <w:t xml:space="preserve">Co-Teaching-Formen als Oberflächenmerkmale haben jeweils bestimmte Eigenschaften, die zu gewissen Effekten auf der Tiefenebene führen, diese ermöglichen oder einschränken. Entsprechend sollten Lehrpersonen und Schulische </w:t>
      </w:r>
      <w:proofErr w:type="spellStart"/>
      <w:proofErr w:type="gramStart"/>
      <w:r>
        <w:t>Heilpädagog:innen</w:t>
      </w:r>
      <w:proofErr w:type="spellEnd"/>
      <w:proofErr w:type="gramEnd"/>
      <w:r>
        <w:t xml:space="preserve"> für die Co-Planung und die Co-Instruktion zielorientiert diejenigen Co-Teaching-Formen umsetzen, die auf das Ziel beziehungsweise die zu bearbeitende Aufgabe abgestimmt sind. Da viele Einschätzungen zum Potenzial der einzelnen Co-Teaching-Formen auf theoretischen Überlegungen beruhen, scheint es notwendig, diese durch weitere empirische Studien zu verifizieren und zu differenzieren.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D9066A" w14:paraId="465915D7" w14:textId="77777777" w:rsidTr="00D9066A">
        <w:tc>
          <w:tcPr>
            <w:tcW w:w="5000" w:type="pct"/>
            <w:vAlign w:val="center"/>
            <w:hideMark/>
          </w:tcPr>
          <w:p w14:paraId="3AF0E39F" w14:textId="395E077D" w:rsidR="00D9066A" w:rsidRDefault="00D9066A">
            <w:pPr>
              <w:pStyle w:val="Textkrper"/>
              <w:ind w:firstLine="0"/>
              <w:rPr>
                <w:lang w:val="fr-CH"/>
              </w:rPr>
            </w:pPr>
            <w:r>
              <w:rPr>
                <w:noProof/>
                <w:lang w:val="en-US"/>
              </w:rPr>
              <w:drawing>
                <wp:inline distT="0" distB="0" distL="0" distR="0" wp14:anchorId="06BF1AE9" wp14:editId="5D3E4806">
                  <wp:extent cx="1037590" cy="1037590"/>
                  <wp:effectExtent l="0" t="0" r="0" b="0"/>
                  <wp:docPr id="185387535" name="Grafik 1"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Menschliches Gesicht, Lächeln, Person, Porträt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tc>
      </w:tr>
      <w:tr w:rsidR="00D9066A" w14:paraId="38BE7302" w14:textId="77777777" w:rsidTr="00D9066A">
        <w:trPr>
          <w:trHeight w:val="80"/>
        </w:trPr>
        <w:tc>
          <w:tcPr>
            <w:tcW w:w="5000" w:type="pct"/>
          </w:tcPr>
          <w:p w14:paraId="62A7B318" w14:textId="77777777" w:rsidR="00D9066A" w:rsidRPr="00D9066A" w:rsidRDefault="00D9066A">
            <w:pPr>
              <w:pStyle w:val="Textkrper3"/>
            </w:pPr>
            <w:r w:rsidRPr="00D9066A">
              <w:t xml:space="preserve">Dr. Bea </w:t>
            </w:r>
            <w:proofErr w:type="spellStart"/>
            <w:r w:rsidRPr="00D9066A">
              <w:t>Zumwald</w:t>
            </w:r>
            <w:proofErr w:type="spellEnd"/>
            <w:r w:rsidRPr="00D9066A">
              <w:br/>
              <w:t xml:space="preserve">Dozentin </w:t>
            </w:r>
          </w:p>
          <w:p w14:paraId="568E7F54" w14:textId="77777777" w:rsidR="00D9066A" w:rsidRPr="00D9066A" w:rsidRDefault="00D9066A">
            <w:pPr>
              <w:pStyle w:val="Textkrper3"/>
            </w:pPr>
            <w:r w:rsidRPr="00D9066A">
              <w:t>Pädagogische Hochschule St. Gallen</w:t>
            </w:r>
          </w:p>
          <w:p w14:paraId="234F6ABC" w14:textId="4B09932E" w:rsidR="00D9066A" w:rsidRDefault="00D9066A" w:rsidP="00DC0460">
            <w:pPr>
              <w:pStyle w:val="Textkrper3"/>
              <w:rPr>
                <w:lang w:val="en-US"/>
              </w:rPr>
            </w:pPr>
            <w:hyperlink r:id="rId15" w:history="1">
              <w:r>
                <w:rPr>
                  <w:rStyle w:val="Hyperlink"/>
                  <w:spacing w:val="0"/>
                </w:rPr>
                <w:t>bea.zumwald@phsg.ch</w:t>
              </w:r>
            </w:hyperlink>
          </w:p>
        </w:tc>
      </w:tr>
    </w:tbl>
    <w:p w14:paraId="2AD26420" w14:textId="77777777" w:rsidR="00DC0460" w:rsidRDefault="00DC0460">
      <w:pPr>
        <w:spacing w:after="200" w:line="240" w:lineRule="auto"/>
        <w:rPr>
          <w:rFonts w:eastAsiaTheme="majorEastAsia" w:cs="Open Sans SemiCondensed"/>
          <w:b/>
          <w:bCs/>
          <w:color w:val="000000" w:themeColor="text1"/>
          <w:sz w:val="24"/>
          <w:szCs w:val="32"/>
        </w:rPr>
      </w:pPr>
      <w:r>
        <w:br w:type="page"/>
      </w:r>
    </w:p>
    <w:p w14:paraId="557BA230" w14:textId="5FA07C6E" w:rsidR="00D9066A" w:rsidRDefault="00D9066A" w:rsidP="00D9066A">
      <w:pPr>
        <w:pStyle w:val="berschrift1"/>
      </w:pPr>
      <w:r>
        <w:lastRenderedPageBreak/>
        <w:t>Literatur</w:t>
      </w:r>
    </w:p>
    <w:p w14:paraId="0309E32F" w14:textId="77777777" w:rsidR="00D9066A" w:rsidRDefault="00D9066A" w:rsidP="00D9066A">
      <w:pPr>
        <w:pStyle w:val="Literaturverzeichnis"/>
      </w:pPr>
      <w:r>
        <w:t xml:space="preserve">Bauer, K. O. (2008). Lehrerinteraktion und -kooperation. In W. Helsper &amp; J. Böhme (Hrsg.), </w:t>
      </w:r>
      <w:r>
        <w:rPr>
          <w:i/>
        </w:rPr>
        <w:t>Handbuch der Schulforschung</w:t>
      </w:r>
      <w:r>
        <w:t xml:space="preserve"> (S. 839–856). VS Verlag für Sozialwissenschaften.</w:t>
      </w:r>
    </w:p>
    <w:p w14:paraId="2D5D2A16" w14:textId="77777777" w:rsidR="00D9066A" w:rsidRDefault="00D9066A" w:rsidP="00D9066A">
      <w:pPr>
        <w:pStyle w:val="Literaturverzeichnis"/>
        <w:rPr>
          <w:bCs/>
          <w:iCs/>
        </w:rPr>
      </w:pPr>
      <w:r w:rsidRPr="00D9066A">
        <w:t xml:space="preserve">Cook, S. C. &amp; </w:t>
      </w:r>
      <w:proofErr w:type="spellStart"/>
      <w:r w:rsidRPr="00D9066A">
        <w:t>McDuffie-Landrum</w:t>
      </w:r>
      <w:proofErr w:type="spellEnd"/>
      <w:r w:rsidRPr="00D9066A">
        <w:t xml:space="preserve">, K. (2019). </w:t>
      </w:r>
      <w:r>
        <w:rPr>
          <w:lang w:val="en-US"/>
        </w:rPr>
        <w:t xml:space="preserve">Integrating Effective Practices </w:t>
      </w:r>
      <w:proofErr w:type="gramStart"/>
      <w:r>
        <w:rPr>
          <w:lang w:val="en-US"/>
        </w:rPr>
        <w:t>Into</w:t>
      </w:r>
      <w:proofErr w:type="gramEnd"/>
      <w:r>
        <w:rPr>
          <w:lang w:val="en-US"/>
        </w:rPr>
        <w:t xml:space="preserve"> Co-Teaching: Increasing Outcomes for Students With Disabilities. </w:t>
      </w:r>
      <w:r>
        <w:rPr>
          <w:i/>
        </w:rPr>
        <w:t xml:space="preserve">Intervention in </w:t>
      </w:r>
      <w:proofErr w:type="spellStart"/>
      <w:r>
        <w:rPr>
          <w:i/>
        </w:rPr>
        <w:t>school</w:t>
      </w:r>
      <w:proofErr w:type="spellEnd"/>
      <w:r>
        <w:rPr>
          <w:i/>
        </w:rPr>
        <w:t xml:space="preserve"> und </w:t>
      </w:r>
      <w:proofErr w:type="spellStart"/>
      <w:r>
        <w:rPr>
          <w:i/>
        </w:rPr>
        <w:t>clinic</w:t>
      </w:r>
      <w:proofErr w:type="spellEnd"/>
      <w:r>
        <w:rPr>
          <w:i/>
        </w:rPr>
        <w:t>, 55 </w:t>
      </w:r>
      <w:r>
        <w:t xml:space="preserve">(4), 221–229. </w:t>
      </w:r>
      <w:hyperlink r:id="rId16" w:history="1">
        <w:r>
          <w:rPr>
            <w:rStyle w:val="Hyperlink"/>
            <w:spacing w:val="0"/>
          </w:rPr>
          <w:t>https://doi.org/10.1177/1053451219855739</w:t>
        </w:r>
      </w:hyperlink>
      <w:hyperlink w:history="1"/>
    </w:p>
    <w:p w14:paraId="6A2467AE" w14:textId="77777777" w:rsidR="00D9066A" w:rsidRDefault="00D9066A" w:rsidP="00D9066A">
      <w:pPr>
        <w:pStyle w:val="Literaturverzeichnis"/>
      </w:pPr>
      <w:proofErr w:type="spellStart"/>
      <w:r>
        <w:t>Decristan</w:t>
      </w:r>
      <w:proofErr w:type="spellEnd"/>
      <w:r>
        <w:t xml:space="preserve">, J., Hess, M., Holzberger, D. &amp; Praetorius, A.-K. (2020). Oberflächen- und Tiefenmerkmale. Eine Reflexion zweier prominenter Begriffe der Unterrichtsforschung. In A.-K. Praetorius, J. </w:t>
      </w:r>
      <w:proofErr w:type="spellStart"/>
      <w:r>
        <w:t>Grünkorn</w:t>
      </w:r>
      <w:proofErr w:type="spellEnd"/>
      <w:r>
        <w:t xml:space="preserve"> &amp; E. Klieme (Hrsg.), </w:t>
      </w:r>
      <w:r>
        <w:rPr>
          <w:i/>
          <w:iCs/>
        </w:rPr>
        <w:t>Empirische Forschung zu Unterrichtsqualität. Theoretische Grundfragen und quantitative Modellierungen</w:t>
      </w:r>
      <w:r>
        <w:t xml:space="preserve"> (S. 102–116). Beltz Juventa.</w:t>
      </w:r>
    </w:p>
    <w:p w14:paraId="11AA7F51" w14:textId="77777777" w:rsidR="00D9066A" w:rsidRDefault="00D9066A" w:rsidP="00D9066A">
      <w:pPr>
        <w:pStyle w:val="Literaturverzeichnis"/>
        <w:rPr>
          <w:lang w:val="en-US"/>
        </w:rPr>
      </w:pPr>
      <w:proofErr w:type="spellStart"/>
      <w:r>
        <w:t>Fluijt</w:t>
      </w:r>
      <w:proofErr w:type="spellEnd"/>
      <w:r>
        <w:t xml:space="preserve">, D., Bakker, C. &amp; </w:t>
      </w:r>
      <w:proofErr w:type="spellStart"/>
      <w:r>
        <w:t>Struyf</w:t>
      </w:r>
      <w:proofErr w:type="spellEnd"/>
      <w:r>
        <w:t xml:space="preserve">, E. (2016). </w:t>
      </w:r>
      <w:r>
        <w:rPr>
          <w:lang w:val="en-US"/>
        </w:rPr>
        <w:t xml:space="preserve">Team-reflection: the missing link in co-teaching teams. </w:t>
      </w:r>
      <w:r>
        <w:rPr>
          <w:i/>
          <w:lang w:val="en-US"/>
        </w:rPr>
        <w:t>European journal of special needs education, 31 </w:t>
      </w:r>
      <w:r>
        <w:rPr>
          <w:lang w:val="en-US"/>
        </w:rPr>
        <w:t xml:space="preserve">(2), 187–201. </w:t>
      </w:r>
      <w:hyperlink r:id="rId17" w:history="1">
        <w:r>
          <w:rPr>
            <w:rStyle w:val="Hyperlink"/>
            <w:spacing w:val="0"/>
            <w:lang w:val="en-US"/>
          </w:rPr>
          <w:t>https://doi.org/10.1080/08856257.2015.1125690</w:t>
        </w:r>
      </w:hyperlink>
    </w:p>
    <w:p w14:paraId="54E2F8A0" w14:textId="77777777" w:rsidR="00D9066A" w:rsidRDefault="00D9066A" w:rsidP="00D9066A">
      <w:pPr>
        <w:pStyle w:val="Literaturverzeichnis"/>
        <w:ind w:left="0" w:firstLine="0"/>
      </w:pPr>
      <w:r>
        <w:rPr>
          <w:lang w:val="en-US"/>
        </w:rPr>
        <w:t xml:space="preserve">Friend, M. &amp; Cook, L. (2010). </w:t>
      </w:r>
      <w:r>
        <w:rPr>
          <w:i/>
          <w:lang w:val="en-US"/>
        </w:rPr>
        <w:t>Interactions: Collaboration Skills for School Professionals</w:t>
      </w:r>
      <w:r>
        <w:rPr>
          <w:lang w:val="en-US"/>
        </w:rPr>
        <w:t xml:space="preserve">. </w:t>
      </w:r>
      <w:r>
        <w:t>Pearson Education.</w:t>
      </w:r>
    </w:p>
    <w:p w14:paraId="226906CA" w14:textId="77777777" w:rsidR="00D9066A" w:rsidRDefault="00D9066A" w:rsidP="00D9066A">
      <w:pPr>
        <w:pStyle w:val="Literaturverzeichnis"/>
        <w:rPr>
          <w:rStyle w:val="Hyperlink"/>
          <w:spacing w:val="0"/>
        </w:rPr>
      </w:pPr>
      <w:r>
        <w:t xml:space="preserve">Grosche, M., Fussangel, K. &amp; </w:t>
      </w:r>
      <w:proofErr w:type="spellStart"/>
      <w:r>
        <w:t>Gräsel</w:t>
      </w:r>
      <w:proofErr w:type="spellEnd"/>
      <w:r>
        <w:t xml:space="preserve">, C. (2020). Kokonstruktive Kooperation zwischen Lehrkräften. Aktualisierung und Erweiterung der </w:t>
      </w:r>
      <w:proofErr w:type="spellStart"/>
      <w:r>
        <w:t>Kokonstruktionstheorie</w:t>
      </w:r>
      <w:proofErr w:type="spellEnd"/>
      <w:r>
        <w:t xml:space="preserve"> sowie deren Anwendung am Beispiel schulischer Inklusion. </w:t>
      </w:r>
      <w:r>
        <w:rPr>
          <w:i/>
        </w:rPr>
        <w:t>Zeitschrift für Pädagogik, 66 </w:t>
      </w:r>
      <w:r>
        <w:t xml:space="preserve">(4), 461–479. </w:t>
      </w:r>
      <w:hyperlink r:id="rId18" w:history="1">
        <w:r>
          <w:rPr>
            <w:rStyle w:val="Hyperlink"/>
            <w:spacing w:val="0"/>
          </w:rPr>
          <w:t>https://doi.org/10.25656/01:25803</w:t>
        </w:r>
      </w:hyperlink>
    </w:p>
    <w:p w14:paraId="3236461B" w14:textId="5AD69FD2" w:rsidR="00D9066A" w:rsidRDefault="00D9066A" w:rsidP="00D9066A">
      <w:pPr>
        <w:pStyle w:val="Literaturverzeichnis"/>
      </w:pPr>
      <w:r>
        <w:t xml:space="preserve">Grosche, M. &amp; Moser Opitz, E. (2023). Kooperation von Lehrkräften zur Umsetzung von inklusivem Unterricht – notwendige Bedingung, zu einfach gedacht oder überbewerteter Faktor? </w:t>
      </w:r>
      <w:r>
        <w:rPr>
          <w:i/>
        </w:rPr>
        <w:t xml:space="preserve">Unterrichtswissenschaft, </w:t>
      </w:r>
      <w:r w:rsidRPr="005025ED">
        <w:rPr>
          <w:iCs/>
        </w:rPr>
        <w:t>51</w:t>
      </w:r>
      <w:r w:rsidR="007B7B53" w:rsidRPr="005025ED">
        <w:rPr>
          <w:iCs/>
        </w:rPr>
        <w:t>,</w:t>
      </w:r>
      <w:r w:rsidR="007B7B53">
        <w:t xml:space="preserve"> </w:t>
      </w:r>
      <w:r w:rsidR="007B7B53" w:rsidRPr="007B7B53">
        <w:t>245–263</w:t>
      </w:r>
      <w:r w:rsidR="007B7B53">
        <w:t xml:space="preserve">. </w:t>
      </w:r>
      <w:hyperlink r:id="rId19" w:history="1">
        <w:r w:rsidR="007B7B53" w:rsidRPr="008C041C">
          <w:rPr>
            <w:rStyle w:val="Hyperlink"/>
            <w:spacing w:val="0"/>
          </w:rPr>
          <w:t>https://doi.org/10.1007/s42010-023-00172-3</w:t>
        </w:r>
      </w:hyperlink>
    </w:p>
    <w:p w14:paraId="672C41AA" w14:textId="77777777" w:rsidR="00D9066A" w:rsidRDefault="00D9066A" w:rsidP="00D9066A">
      <w:pPr>
        <w:pStyle w:val="Literaturverzeichnis"/>
      </w:pPr>
      <w:r>
        <w:t xml:space="preserve">Grünke, M. (2006). Fördermethoden. Zur Effektivität von Fördermethoden bei Kindern und Jugendlichen mit Lernstörungen. Eine Synopse vorliegender Metaanalysen. </w:t>
      </w:r>
      <w:r>
        <w:rPr>
          <w:i/>
        </w:rPr>
        <w:t>Kindheit und Entwicklung, 15 </w:t>
      </w:r>
      <w:r>
        <w:t xml:space="preserve">(4), 239–254. </w:t>
      </w:r>
    </w:p>
    <w:p w14:paraId="27DFF804" w14:textId="77777777" w:rsidR="00D9066A" w:rsidRDefault="00D9066A" w:rsidP="00D9066A">
      <w:pPr>
        <w:pStyle w:val="Literaturverzeichnis"/>
      </w:pPr>
      <w:r>
        <w:t xml:space="preserve">Hattie, J. (2013). </w:t>
      </w:r>
      <w:r>
        <w:rPr>
          <w:i/>
        </w:rPr>
        <w:t>Lernen sichtbar machen</w:t>
      </w:r>
      <w:r>
        <w:t>. Schneider Hohengehren.</w:t>
      </w:r>
    </w:p>
    <w:p w14:paraId="563A8273" w14:textId="77777777" w:rsidR="00D9066A" w:rsidRDefault="00D9066A" w:rsidP="00D9066A">
      <w:pPr>
        <w:pStyle w:val="Literaturverzeichnis"/>
      </w:pPr>
      <w:r>
        <w:t xml:space="preserve">Hess, M. &amp; </w:t>
      </w:r>
      <w:proofErr w:type="spellStart"/>
      <w:r>
        <w:t>Lipowsky</w:t>
      </w:r>
      <w:proofErr w:type="spellEnd"/>
      <w:r>
        <w:t>, F. (2020). Zur (</w:t>
      </w:r>
      <w:proofErr w:type="spellStart"/>
      <w:r>
        <w:t>Un</w:t>
      </w:r>
      <w:proofErr w:type="spellEnd"/>
      <w:r>
        <w:t xml:space="preserve">-)Abhängigkeit von Oberflächen- und Tiefenmerkmalen im Grundschulunterricht. Fragen von Lehrpersonen im öffentlichen Unterricht und in Schülerarbeitsphasen im Vergleich. In </w:t>
      </w:r>
      <w:r>
        <w:br/>
        <w:t xml:space="preserve">A.-K. Praetorius, J. </w:t>
      </w:r>
      <w:proofErr w:type="spellStart"/>
      <w:r>
        <w:t>Grünkorn</w:t>
      </w:r>
      <w:proofErr w:type="spellEnd"/>
      <w:r>
        <w:t xml:space="preserve"> &amp; E. Klieme (Hrsg.), </w:t>
      </w:r>
      <w:r>
        <w:rPr>
          <w:i/>
        </w:rPr>
        <w:t>Empirische Forschung zu Unterrichtsqualität. Theoretische Grundfragen und quantitative Modellierungen</w:t>
      </w:r>
      <w:r>
        <w:t xml:space="preserve"> (S. 117–131). Beltz Juventa.</w:t>
      </w:r>
    </w:p>
    <w:p w14:paraId="1DAB5D2E" w14:textId="77777777" w:rsidR="00D9066A" w:rsidRDefault="00D9066A" w:rsidP="00D9066A">
      <w:pPr>
        <w:pStyle w:val="Literaturverzeichnis"/>
      </w:pPr>
      <w:r>
        <w:t xml:space="preserve">Hildebrandt, E., Brühlmann, O., Ruess, A., Stommel, S., </w:t>
      </w:r>
      <w:proofErr w:type="spellStart"/>
      <w:r>
        <w:t>Rychener</w:t>
      </w:r>
      <w:proofErr w:type="spellEnd"/>
      <w:r>
        <w:t xml:space="preserve">, I. &amp; Schneider, H. (2020). </w:t>
      </w:r>
      <w:r>
        <w:rPr>
          <w:i/>
        </w:rPr>
        <w:t>Lernorientierte Zusammenarbeit. Beispiel aus dem 1. und 2. Zyklus mit dem Fokus Sprachförderung</w:t>
      </w:r>
      <w:r>
        <w:t>. Bildungsdirektion Kanton Zürich, Volksschulamt.</w:t>
      </w:r>
    </w:p>
    <w:p w14:paraId="52227AA9" w14:textId="77777777" w:rsidR="00D9066A" w:rsidRDefault="00D9066A" w:rsidP="00D9066A">
      <w:pPr>
        <w:pStyle w:val="Literaturverzeichnis"/>
      </w:pPr>
      <w:r>
        <w:t>Hildebrandt, E., Ruess, A., Stommel, S. &amp; Brühlmann, O. (2017). Planung im Teamteaching – Potentiale nutzen.</w:t>
      </w:r>
      <w:r>
        <w:rPr>
          <w:i/>
        </w:rPr>
        <w:t xml:space="preserve"> Schweizerische Zeitschrift für Bildungswissenschaften, 39 </w:t>
      </w:r>
      <w:r>
        <w:t xml:space="preserve">(3), 573–591. </w:t>
      </w:r>
      <w:hyperlink r:id="rId20" w:history="1">
        <w:r>
          <w:rPr>
            <w:rStyle w:val="Hyperlink"/>
            <w:spacing w:val="0"/>
          </w:rPr>
          <w:t>https://doi.org/10.24452/sjer.39.3.5047</w:t>
        </w:r>
      </w:hyperlink>
      <w:r>
        <w:t xml:space="preserve"> </w:t>
      </w:r>
    </w:p>
    <w:p w14:paraId="0FC89424" w14:textId="77777777" w:rsidR="00D9066A" w:rsidRDefault="00D9066A" w:rsidP="00D9066A">
      <w:pPr>
        <w:pStyle w:val="Literaturverzeichnis"/>
        <w:rPr>
          <w:lang w:val="en-US"/>
        </w:rPr>
      </w:pPr>
      <w:r>
        <w:t xml:space="preserve">Karten, T. J. &amp; Murawski, W. (2020). </w:t>
      </w:r>
      <w:r>
        <w:rPr>
          <w:i/>
          <w:lang w:val="en-US"/>
        </w:rPr>
        <w:t xml:space="preserve">Co-teaching do's, don'ts, und do </w:t>
      </w:r>
      <w:proofErr w:type="gramStart"/>
      <w:r>
        <w:rPr>
          <w:i/>
          <w:lang w:val="en-US"/>
        </w:rPr>
        <w:t>betters</w:t>
      </w:r>
      <w:proofErr w:type="gramEnd"/>
      <w:r>
        <w:rPr>
          <w:lang w:val="en-US"/>
        </w:rPr>
        <w:t>. Association for Supervision &amp; Curriculum Development.</w:t>
      </w:r>
    </w:p>
    <w:p w14:paraId="1CE7EE64" w14:textId="77777777" w:rsidR="00D9066A" w:rsidRDefault="00D9066A" w:rsidP="00D9066A">
      <w:pPr>
        <w:pStyle w:val="Literaturverzeichnis"/>
      </w:pPr>
      <w:proofErr w:type="spellStart"/>
      <w:r>
        <w:rPr>
          <w:lang w:val="en-US"/>
        </w:rPr>
        <w:t>Kleickmann</w:t>
      </w:r>
      <w:proofErr w:type="spellEnd"/>
      <w:r>
        <w:rPr>
          <w:lang w:val="en-US"/>
        </w:rPr>
        <w:t xml:space="preserve">, T., </w:t>
      </w:r>
      <w:proofErr w:type="spellStart"/>
      <w:r>
        <w:rPr>
          <w:lang w:val="en-US"/>
        </w:rPr>
        <w:t>Steffensky</w:t>
      </w:r>
      <w:proofErr w:type="spellEnd"/>
      <w:r>
        <w:rPr>
          <w:lang w:val="en-US"/>
        </w:rPr>
        <w:t xml:space="preserve">, M. &amp; Praetorius, A.-K. (2020). Quality of teaching in science education. </w:t>
      </w:r>
      <w:r>
        <w:t xml:space="preserve">More </w:t>
      </w:r>
      <w:proofErr w:type="spellStart"/>
      <w:r>
        <w:t>than</w:t>
      </w:r>
      <w:proofErr w:type="spellEnd"/>
      <w:r>
        <w:t xml:space="preserve"> </w:t>
      </w:r>
      <w:proofErr w:type="spellStart"/>
      <w:r>
        <w:t>Three</w:t>
      </w:r>
      <w:proofErr w:type="spellEnd"/>
      <w:r>
        <w:t xml:space="preserve"> Basic </w:t>
      </w:r>
      <w:proofErr w:type="spellStart"/>
      <w:r>
        <w:t>Dimensions</w:t>
      </w:r>
      <w:proofErr w:type="spellEnd"/>
      <w:r>
        <w:t xml:space="preserve">? In A.-K. Praetorius, J. </w:t>
      </w:r>
      <w:proofErr w:type="spellStart"/>
      <w:r>
        <w:t>Grünkorn</w:t>
      </w:r>
      <w:proofErr w:type="spellEnd"/>
      <w:r>
        <w:t xml:space="preserve"> &amp; E. Klieme (Hrsg.), </w:t>
      </w:r>
      <w:r>
        <w:rPr>
          <w:i/>
        </w:rPr>
        <w:t>Empirische Forschung zu Unterrichtsqualität. Theoretische Grundfragen und quantitative Modellierungen</w:t>
      </w:r>
      <w:r>
        <w:t xml:space="preserve"> (S. 37–55). Beltz Juventa.</w:t>
      </w:r>
    </w:p>
    <w:p w14:paraId="08B1267B" w14:textId="7F99D712" w:rsidR="00D9066A" w:rsidRDefault="00D9066A" w:rsidP="00D9066A">
      <w:pPr>
        <w:pStyle w:val="Literaturverzeichnis"/>
      </w:pPr>
      <w:proofErr w:type="spellStart"/>
      <w:r>
        <w:t>Lahtz</w:t>
      </w:r>
      <w:proofErr w:type="spellEnd"/>
      <w:r>
        <w:t xml:space="preserve">, T. (2013). </w:t>
      </w:r>
      <w:r>
        <w:rPr>
          <w:i/>
        </w:rPr>
        <w:t>Classroom Management und Co-Teaching an Integrierten Gesamtschulen</w:t>
      </w:r>
      <w:r>
        <w:t xml:space="preserve">. Paper präsentiert an der Gemeinsame Jahrestagung der Kommission Grundschulforschung und Didaktik der Primarstufe und der Sektion Sonderpädagogik der </w:t>
      </w:r>
      <w:proofErr w:type="spellStart"/>
      <w:r>
        <w:t>DGfE</w:t>
      </w:r>
      <w:proofErr w:type="spellEnd"/>
      <w:r>
        <w:t>, Braunschweig, 30.</w:t>
      </w:r>
      <w:r w:rsidR="001A37B9">
        <w:t>0</w:t>
      </w:r>
      <w:r>
        <w:t xml:space="preserve">9.2013. </w:t>
      </w:r>
    </w:p>
    <w:p w14:paraId="0F1E0059" w14:textId="4BDCD888" w:rsidR="00D9066A" w:rsidRDefault="00D9066A" w:rsidP="00D9066A">
      <w:pPr>
        <w:pStyle w:val="Literaturverzeichnis"/>
        <w:rPr>
          <w:lang w:val="en-US"/>
        </w:rPr>
      </w:pPr>
      <w:r>
        <w:t xml:space="preserve">Lochner, W., Murawski, W. &amp; Daley, J. (2019). </w:t>
      </w:r>
      <w:r>
        <w:rPr>
          <w:lang w:val="en-US"/>
        </w:rPr>
        <w:t xml:space="preserve">The Effect of Co-teaching on Student Cognitive Engagement. </w:t>
      </w:r>
      <w:r>
        <w:rPr>
          <w:i/>
          <w:lang w:val="en-US"/>
        </w:rPr>
        <w:t>Theory &amp; Practice in Rural Education, 9</w:t>
      </w:r>
      <w:r>
        <w:rPr>
          <w:lang w:val="en-US"/>
        </w:rPr>
        <w:t xml:space="preserve">, 6–19. </w:t>
      </w:r>
      <w:hyperlink r:id="rId21" w:history="1">
        <w:r>
          <w:rPr>
            <w:rStyle w:val="Hyperlink"/>
            <w:spacing w:val="0"/>
            <w:lang w:val="en-US"/>
          </w:rPr>
          <w:t>https://doi.org/10.3776/tpre.2019.v9n2p6-19</w:t>
        </w:r>
      </w:hyperlink>
    </w:p>
    <w:p w14:paraId="0D000AA3" w14:textId="77777777" w:rsidR="00D9066A" w:rsidRDefault="00D9066A" w:rsidP="00D9066A">
      <w:pPr>
        <w:pStyle w:val="Literaturverzeichnis"/>
      </w:pPr>
      <w:r>
        <w:t xml:space="preserve">Luder, R. (2021). </w:t>
      </w:r>
      <w:r>
        <w:rPr>
          <w:i/>
        </w:rPr>
        <w:t>Integrative Förderung in der Schweiz: eine empirische Studie zur praktischen Umsetzung sonderpädagogischer Unterstützung und Förderung in integrativen Regelklassen in der Schweiz.</w:t>
      </w:r>
      <w:r>
        <w:t xml:space="preserve"> Habilitationsschrift, Universität Freiburg.</w:t>
      </w:r>
    </w:p>
    <w:p w14:paraId="55A4BA73" w14:textId="77777777" w:rsidR="00D9066A" w:rsidRDefault="00D9066A" w:rsidP="00D9066A">
      <w:pPr>
        <w:pStyle w:val="Literaturverzeichnis"/>
      </w:pPr>
      <w:r>
        <w:lastRenderedPageBreak/>
        <w:t>Lütje-Klose, B., Neumann, P., Gorges, J. &amp; Wild, E. (2018). Die Bielefelder Längsschnittstudie zum Lernen in inklusiven und exklusiven Förderarrangements (</w:t>
      </w:r>
      <w:proofErr w:type="spellStart"/>
      <w:r>
        <w:t>BiLieF</w:t>
      </w:r>
      <w:proofErr w:type="spellEnd"/>
      <w:r>
        <w:t xml:space="preserve">). Zentrale Befunde. </w:t>
      </w:r>
      <w:r>
        <w:rPr>
          <w:i/>
        </w:rPr>
        <w:t>Die Deutsche Schule, 110 </w:t>
      </w:r>
      <w:r>
        <w:t xml:space="preserve">(2), 109–123. </w:t>
      </w:r>
      <w:hyperlink r:id="rId22" w:history="1">
        <w:r>
          <w:rPr>
            <w:rStyle w:val="Hyperlink"/>
            <w:spacing w:val="0"/>
          </w:rPr>
          <w:t>https://doi.org/10.31244/dds.2018.02.02</w:t>
        </w:r>
      </w:hyperlink>
    </w:p>
    <w:p w14:paraId="2B91A033" w14:textId="77777777" w:rsidR="00D9066A" w:rsidRDefault="00D9066A" w:rsidP="00D9066A">
      <w:pPr>
        <w:pStyle w:val="Literaturverzeichnis"/>
        <w:rPr>
          <w:lang w:val="en-US"/>
        </w:rPr>
      </w:pPr>
      <w:r>
        <w:t xml:space="preserve">Murawski, W. W. &amp; Lochner, W. W. (2011). </w:t>
      </w:r>
      <w:r>
        <w:rPr>
          <w:lang w:val="en-US"/>
        </w:rPr>
        <w:t xml:space="preserve">Observing Co-Teaching: What to Ask For, Look For, and Listen For. </w:t>
      </w:r>
      <w:r>
        <w:rPr>
          <w:i/>
          <w:lang w:val="en-US"/>
        </w:rPr>
        <w:t>Intervention in school und clinic, 46 </w:t>
      </w:r>
      <w:r>
        <w:rPr>
          <w:lang w:val="en-US"/>
        </w:rPr>
        <w:t xml:space="preserve">(3), 174–183. </w:t>
      </w:r>
      <w:hyperlink r:id="rId23" w:history="1">
        <w:r>
          <w:rPr>
            <w:rStyle w:val="Hyperlink"/>
            <w:spacing w:val="0"/>
            <w:lang w:val="en-US"/>
          </w:rPr>
          <w:t>https://doi.org/10.1177/1053451210378165</w:t>
        </w:r>
      </w:hyperlink>
    </w:p>
    <w:p w14:paraId="0CBB96E1" w14:textId="77777777" w:rsidR="00D9066A" w:rsidRDefault="00D9066A" w:rsidP="00D9066A">
      <w:pPr>
        <w:pStyle w:val="Literaturverzeichnis"/>
        <w:rPr>
          <w:lang w:val="en-US"/>
        </w:rPr>
      </w:pPr>
      <w:r>
        <w:rPr>
          <w:lang w:val="en-US"/>
        </w:rPr>
        <w:t xml:space="preserve">Park, S., Steve Oliver, J., Star Johnson, T., Graham, P. &amp; Oppong, N. K. (2007). Colleagues’ roles in the professional development of teachers: Results from a research study of National Board certification. </w:t>
      </w:r>
      <w:r>
        <w:rPr>
          <w:i/>
          <w:lang w:val="en-US"/>
        </w:rPr>
        <w:t>Teaching und Teacher Education, 23 </w:t>
      </w:r>
      <w:r>
        <w:rPr>
          <w:lang w:val="en-US"/>
        </w:rPr>
        <w:t xml:space="preserve">(4), 368–389. </w:t>
      </w:r>
      <w:hyperlink r:id="rId24" w:history="1">
        <w:r>
          <w:rPr>
            <w:rStyle w:val="Hyperlink"/>
            <w:spacing w:val="0"/>
            <w:lang w:val="en-US"/>
          </w:rPr>
          <w:t>https://doi.org/10.1016/j.tate.2006.12.013</w:t>
        </w:r>
      </w:hyperlink>
    </w:p>
    <w:p w14:paraId="1397DAC2" w14:textId="77777777" w:rsidR="00D9066A" w:rsidRDefault="00D9066A" w:rsidP="00D9066A">
      <w:pPr>
        <w:pStyle w:val="Literaturverzeichnis"/>
      </w:pPr>
      <w:r>
        <w:rPr>
          <w:lang w:val="en-US"/>
        </w:rPr>
        <w:t xml:space="preserve">Reyer, T. (2004). </w:t>
      </w:r>
      <w:r>
        <w:rPr>
          <w:i/>
        </w:rPr>
        <w:t>Oberflächenmerkmale und Tiefenstrukturen im Unterricht. Exemplarische Analysen im Physikunterricht der gymnasialen Sekundarstufe</w:t>
      </w:r>
      <w:r>
        <w:t>. Logos.</w:t>
      </w:r>
    </w:p>
    <w:p w14:paraId="43AFED9D" w14:textId="0A69FD3E" w:rsidR="00D9066A" w:rsidRDefault="00D9066A" w:rsidP="00D9066A">
      <w:pPr>
        <w:pStyle w:val="Literaturverzeichnis"/>
      </w:pPr>
      <w:r>
        <w:t>Stebler, R., Galle, M., Pauli, C. &amp; Reusser, K. (2021). «Ohne Zusammenarbeit würde das gar nicht gehen»</w:t>
      </w:r>
      <w:r w:rsidR="006247E6">
        <w:t xml:space="preserve"> </w:t>
      </w:r>
      <w:r>
        <w:t xml:space="preserve">– Kokonstruktive Lehrpersonen-Kooperation bei der Unterrichtsentwicklung zu personalisiertem Lernen. </w:t>
      </w:r>
      <w:r>
        <w:rPr>
          <w:i/>
        </w:rPr>
        <w:t>Zeitschrift für Bildungsforschung, 11 </w:t>
      </w:r>
      <w:r>
        <w:t xml:space="preserve">(2), 343–361. </w:t>
      </w:r>
      <w:hyperlink r:id="rId25" w:history="1">
        <w:r>
          <w:rPr>
            <w:rStyle w:val="Hyperlink"/>
            <w:spacing w:val="0"/>
          </w:rPr>
          <w:t>https://doi.org/10.1007/s35834-021-00315-5</w:t>
        </w:r>
      </w:hyperlink>
    </w:p>
    <w:p w14:paraId="4F3B6F29" w14:textId="77777777" w:rsidR="00D9066A" w:rsidRDefault="00D9066A" w:rsidP="00D9066A">
      <w:pPr>
        <w:pStyle w:val="Literaturverzeichnis"/>
        <w:rPr>
          <w:lang w:val="en-US"/>
        </w:rPr>
      </w:pPr>
      <w:proofErr w:type="spellStart"/>
      <w:r>
        <w:t>Strogilos</w:t>
      </w:r>
      <w:proofErr w:type="spellEnd"/>
      <w:r>
        <w:t>, V. &amp; King</w:t>
      </w:r>
      <w:r>
        <w:rPr>
          <w:rFonts w:ascii="Times New Roman" w:hAnsi="Times New Roman" w:cs="Times New Roman"/>
        </w:rPr>
        <w:t>‐</w:t>
      </w:r>
      <w:r>
        <w:t xml:space="preserve">Sears, M. E. (2019). </w:t>
      </w:r>
      <w:r>
        <w:rPr>
          <w:lang w:val="en-US"/>
        </w:rPr>
        <w:t>Co</w:t>
      </w:r>
      <w:r>
        <w:rPr>
          <w:rFonts w:ascii="Times New Roman" w:hAnsi="Times New Roman" w:cs="Times New Roman"/>
          <w:lang w:val="en-US"/>
        </w:rPr>
        <w:t>‐</w:t>
      </w:r>
      <w:r>
        <w:rPr>
          <w:lang w:val="en-US"/>
        </w:rPr>
        <w:t>teaching is extra help und fun: perspectives on co</w:t>
      </w:r>
      <w:r>
        <w:rPr>
          <w:rFonts w:ascii="Times New Roman" w:hAnsi="Times New Roman" w:cs="Times New Roman"/>
          <w:lang w:val="en-US"/>
        </w:rPr>
        <w:t>‐</w:t>
      </w:r>
      <w:r>
        <w:rPr>
          <w:lang w:val="en-US"/>
        </w:rPr>
        <w:t>teaching from middle school students und co</w:t>
      </w:r>
      <w:r>
        <w:rPr>
          <w:rFonts w:ascii="Times New Roman" w:hAnsi="Times New Roman" w:cs="Times New Roman"/>
          <w:lang w:val="en-US"/>
        </w:rPr>
        <w:t>‐</w:t>
      </w:r>
      <w:r>
        <w:rPr>
          <w:lang w:val="en-US"/>
        </w:rPr>
        <w:t xml:space="preserve">teachers. </w:t>
      </w:r>
      <w:r>
        <w:rPr>
          <w:i/>
          <w:lang w:val="en-US"/>
        </w:rPr>
        <w:t>Journal of Research in Special Educational Needs, 19 </w:t>
      </w:r>
      <w:r>
        <w:rPr>
          <w:lang w:val="en-US"/>
        </w:rPr>
        <w:t xml:space="preserve">(2), 92–102. </w:t>
      </w:r>
      <w:hyperlink r:id="rId26" w:history="1">
        <w:r>
          <w:rPr>
            <w:rStyle w:val="Hyperlink"/>
            <w:spacing w:val="0"/>
            <w:lang w:val="en-US"/>
          </w:rPr>
          <w:t>https://doi.org/10.1111/1471-3802.12427</w:t>
        </w:r>
      </w:hyperlink>
    </w:p>
    <w:p w14:paraId="36244A8B" w14:textId="77777777" w:rsidR="00D9066A" w:rsidRDefault="00D9066A" w:rsidP="00D9066A">
      <w:pPr>
        <w:pStyle w:val="Literaturverzeichnis"/>
        <w:rPr>
          <w:lang w:val="en-US"/>
        </w:rPr>
      </w:pPr>
      <w:r>
        <w:t xml:space="preserve">Textor, A. (2005). Verhaltensförderlicher Unterricht. Ergebnisse von Unterrichtsbeobachtungen. In U. Preuss-Lausitz (Hrsg.), </w:t>
      </w:r>
      <w:r>
        <w:rPr>
          <w:i/>
        </w:rPr>
        <w:t>Verhaltensauffällige Kinder integrieren. Zur Förderung der emotionalen und sozialen Entwicklung</w:t>
      </w:r>
      <w:r>
        <w:t xml:space="preserve"> </w:t>
      </w:r>
      <w:r>
        <w:br/>
        <w:t xml:space="preserve">(S. 187–225). </w:t>
      </w:r>
      <w:r>
        <w:rPr>
          <w:lang w:val="en-US"/>
        </w:rPr>
        <w:t>Beltz.</w:t>
      </w:r>
    </w:p>
    <w:p w14:paraId="64ECC7CA" w14:textId="5F27D575" w:rsidR="00D9066A" w:rsidRPr="007B7B53" w:rsidRDefault="00D9066A" w:rsidP="007B7B53">
      <w:pPr>
        <w:pStyle w:val="Literaturverzeichnis"/>
        <w:rPr>
          <w:lang w:val="en-GB"/>
        </w:rPr>
      </w:pPr>
      <w:r>
        <w:rPr>
          <w:lang w:val="en-US"/>
        </w:rPr>
        <w:t xml:space="preserve">Weiss, M. &amp; Lloyd, J. (2002). Congruence Between Roles und Actions of Secondary Special Educators in Co-Taught und Special Education Settings. </w:t>
      </w:r>
      <w:r>
        <w:rPr>
          <w:i/>
        </w:rPr>
        <w:t xml:space="preserve">The Journal </w:t>
      </w:r>
      <w:proofErr w:type="spellStart"/>
      <w:r>
        <w:rPr>
          <w:i/>
        </w:rPr>
        <w:t>of</w:t>
      </w:r>
      <w:proofErr w:type="spellEnd"/>
      <w:r>
        <w:rPr>
          <w:i/>
        </w:rPr>
        <w:t xml:space="preserve"> Special Education, 36</w:t>
      </w:r>
      <w:r>
        <w:t xml:space="preserve">, 58–68. </w:t>
      </w:r>
      <w:hyperlink r:id="rId27" w:history="1">
        <w:r>
          <w:rPr>
            <w:rStyle w:val="Hyperlink"/>
            <w:spacing w:val="0"/>
          </w:rPr>
          <w:t>https://doi.org/10.1177/00224669020360020101</w:t>
        </w:r>
      </w:hyperlink>
    </w:p>
    <w:sectPr w:rsidR="00D9066A" w:rsidRPr="007B7B53" w:rsidSect="00BD6366">
      <w:headerReference w:type="default" r:id="rId28"/>
      <w:footerReference w:type="default" r:id="rId29"/>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15F6" w14:textId="77777777" w:rsidR="00D01CA8" w:rsidRDefault="00D01CA8">
      <w:pPr>
        <w:spacing w:line="240" w:lineRule="auto"/>
      </w:pPr>
      <w:r>
        <w:separator/>
      </w:r>
    </w:p>
  </w:endnote>
  <w:endnote w:type="continuationSeparator" w:id="0">
    <w:p w14:paraId="0EE00FF0" w14:textId="77777777" w:rsidR="00D01CA8" w:rsidRDefault="00D01CA8">
      <w:pPr>
        <w:spacing w:line="240" w:lineRule="auto"/>
      </w:pPr>
      <w:r>
        <w:continuationSeparator/>
      </w:r>
    </w:p>
  </w:endnote>
  <w:endnote w:type="continuationNotice" w:id="1">
    <w:p w14:paraId="7E3FDDBD" w14:textId="77777777" w:rsidR="00D01CA8" w:rsidRDefault="00D01C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6B2F5F4-ADF3-4073-8AFF-ECB43808BCBF}"/>
    <w:embedBold r:id="rId2" w:fontKey="{580D78B2-3AEF-42D8-9036-1D079BA741CF}"/>
    <w:embedItalic r:id="rId3" w:fontKey="{5203B203-9F26-48B2-9F24-9C511401E93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4" w:fontKey="{96AEEB1B-3024-4726-800D-483FAA678303}"/>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95F2EBE3-9651-43D9-9ECE-3E7C6AD653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CECD"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465E940D" wp14:editId="35629309">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590E51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E940D" id="Rechteck 1" o:spid="_x0000_s1027"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3590E51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E904" w14:textId="77777777" w:rsidR="00D01CA8" w:rsidRPr="00777A2F" w:rsidRDefault="00D01CA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A2B16A4" w14:textId="77777777" w:rsidR="00D01CA8" w:rsidRDefault="00D01CA8">
      <w:r>
        <w:continuationSeparator/>
      </w:r>
    </w:p>
  </w:footnote>
  <w:footnote w:type="continuationNotice" w:id="1">
    <w:p w14:paraId="58D0B23E" w14:textId="77777777" w:rsidR="00D01CA8" w:rsidRDefault="00D01C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BBE2" w14:textId="50358DCD" w:rsidR="007B448B" w:rsidRPr="00D9066A"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B5ED22A" wp14:editId="2FB1783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9D65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9066A">
      <w:rPr>
        <w:lang w:val="de-CH"/>
      </w:rPr>
      <w:t>KOOPERATION I</w:t>
    </w:r>
    <w:r w:rsidR="004C656B">
      <w:rPr>
        <w:lang w:val="de-CH"/>
      </w:rPr>
      <w:t>N</w:t>
    </w:r>
    <w:r w:rsidR="00D9066A">
      <w:rPr>
        <w:lang w:val="de-CH"/>
      </w:rPr>
      <w:t xml:space="preserve"> M</w:t>
    </w:r>
    <w:r w:rsidR="004C656B">
      <w:rPr>
        <w:lang w:val="de-CH"/>
      </w:rPr>
      <w:t>ULTIPROFESSIONELLEN TEAMS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C656B">
      <w:rPr>
        <w:b w:val="0"/>
        <w:bCs/>
        <w:lang w:val="de-CH"/>
      </w:rPr>
      <w:t>31</w:t>
    </w:r>
    <w:r w:rsidR="00237079" w:rsidRPr="00237079">
      <w:rPr>
        <w:b w:val="0"/>
        <w:bCs/>
        <w:lang w:val="de-CH"/>
      </w:rPr>
      <w:t xml:space="preserve">, </w:t>
    </w:r>
    <w:r w:rsidR="004C656B">
      <w:rPr>
        <w:b w:val="0"/>
        <w:bCs/>
        <w:lang w:val="de-CH"/>
      </w:rPr>
      <w:t>01</w:t>
    </w:r>
    <w:r w:rsidR="00237079" w:rsidRPr="00237079">
      <w:rPr>
        <w:b w:val="0"/>
        <w:bCs/>
        <w:lang w:val="de-CH"/>
      </w:rPr>
      <w:t>/</w:t>
    </w:r>
    <w:r w:rsidR="004C656B">
      <w:rPr>
        <w:b w:val="0"/>
        <w:bCs/>
        <w:lang w:val="de-CH"/>
      </w:rPr>
      <w:t>2025</w:t>
    </w:r>
  </w:p>
  <w:p w14:paraId="34AE9776" w14:textId="22B74BEC" w:rsidR="00237079" w:rsidRDefault="00B7489C" w:rsidP="004C656B">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revisionView w:inkAnnotations="0"/>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A8"/>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3195A"/>
    <w:rsid w:val="00151BCA"/>
    <w:rsid w:val="00153133"/>
    <w:rsid w:val="0015350D"/>
    <w:rsid w:val="00157D7E"/>
    <w:rsid w:val="00166EB3"/>
    <w:rsid w:val="00167858"/>
    <w:rsid w:val="001A2EEC"/>
    <w:rsid w:val="001A37B9"/>
    <w:rsid w:val="001B05BD"/>
    <w:rsid w:val="001B16E8"/>
    <w:rsid w:val="001B25F3"/>
    <w:rsid w:val="001B7781"/>
    <w:rsid w:val="001D3BFB"/>
    <w:rsid w:val="001E3BE9"/>
    <w:rsid w:val="001F2A01"/>
    <w:rsid w:val="00202A19"/>
    <w:rsid w:val="0020358C"/>
    <w:rsid w:val="0020467E"/>
    <w:rsid w:val="00235A6C"/>
    <w:rsid w:val="0023603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463A5"/>
    <w:rsid w:val="00360D6A"/>
    <w:rsid w:val="0036569A"/>
    <w:rsid w:val="00365730"/>
    <w:rsid w:val="003819B7"/>
    <w:rsid w:val="00382314"/>
    <w:rsid w:val="00383074"/>
    <w:rsid w:val="00386CFF"/>
    <w:rsid w:val="003A0EA7"/>
    <w:rsid w:val="003A2717"/>
    <w:rsid w:val="003B4C81"/>
    <w:rsid w:val="003C4A1E"/>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26C6E"/>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37C"/>
    <w:rsid w:val="004B47AB"/>
    <w:rsid w:val="004C13EB"/>
    <w:rsid w:val="004C4A76"/>
    <w:rsid w:val="004C656B"/>
    <w:rsid w:val="004D2D25"/>
    <w:rsid w:val="004D542D"/>
    <w:rsid w:val="004D58AC"/>
    <w:rsid w:val="004E232F"/>
    <w:rsid w:val="004F5C23"/>
    <w:rsid w:val="005025ED"/>
    <w:rsid w:val="00503D63"/>
    <w:rsid w:val="005055D5"/>
    <w:rsid w:val="00521559"/>
    <w:rsid w:val="00530E98"/>
    <w:rsid w:val="00531F94"/>
    <w:rsid w:val="00533DA1"/>
    <w:rsid w:val="00546490"/>
    <w:rsid w:val="0056578A"/>
    <w:rsid w:val="0056595B"/>
    <w:rsid w:val="00571774"/>
    <w:rsid w:val="00571C0D"/>
    <w:rsid w:val="00572C4C"/>
    <w:rsid w:val="00575AB3"/>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0470D"/>
    <w:rsid w:val="006111D5"/>
    <w:rsid w:val="006111F5"/>
    <w:rsid w:val="00611EEC"/>
    <w:rsid w:val="00623E11"/>
    <w:rsid w:val="006247E6"/>
    <w:rsid w:val="00630CBB"/>
    <w:rsid w:val="006411DE"/>
    <w:rsid w:val="006448C5"/>
    <w:rsid w:val="00645287"/>
    <w:rsid w:val="006555BD"/>
    <w:rsid w:val="006676E2"/>
    <w:rsid w:val="00675AE1"/>
    <w:rsid w:val="00680E2D"/>
    <w:rsid w:val="00682B8C"/>
    <w:rsid w:val="00683ED1"/>
    <w:rsid w:val="00685EB4"/>
    <w:rsid w:val="00696681"/>
    <w:rsid w:val="006A4C05"/>
    <w:rsid w:val="006A7CE6"/>
    <w:rsid w:val="006B5540"/>
    <w:rsid w:val="006C2B84"/>
    <w:rsid w:val="006C3DFC"/>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3489"/>
    <w:rsid w:val="007A75E1"/>
    <w:rsid w:val="007B4390"/>
    <w:rsid w:val="007B448B"/>
    <w:rsid w:val="007B4F54"/>
    <w:rsid w:val="007B5701"/>
    <w:rsid w:val="007B62B5"/>
    <w:rsid w:val="007B7B53"/>
    <w:rsid w:val="007C5AB3"/>
    <w:rsid w:val="007E3CCB"/>
    <w:rsid w:val="007E78D0"/>
    <w:rsid w:val="007F43B0"/>
    <w:rsid w:val="007F5E1D"/>
    <w:rsid w:val="0080610A"/>
    <w:rsid w:val="008152E5"/>
    <w:rsid w:val="008176A7"/>
    <w:rsid w:val="0082421A"/>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52F9"/>
    <w:rsid w:val="009660DC"/>
    <w:rsid w:val="00967D5F"/>
    <w:rsid w:val="00972805"/>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1721E"/>
    <w:rsid w:val="00B23FEC"/>
    <w:rsid w:val="00B24C90"/>
    <w:rsid w:val="00B30125"/>
    <w:rsid w:val="00B44D06"/>
    <w:rsid w:val="00B462BB"/>
    <w:rsid w:val="00B50E21"/>
    <w:rsid w:val="00B54E5C"/>
    <w:rsid w:val="00B64EBE"/>
    <w:rsid w:val="00B71621"/>
    <w:rsid w:val="00B7489C"/>
    <w:rsid w:val="00B7596B"/>
    <w:rsid w:val="00BA50D5"/>
    <w:rsid w:val="00BB3270"/>
    <w:rsid w:val="00BB7EDB"/>
    <w:rsid w:val="00BC32F4"/>
    <w:rsid w:val="00BD4FAD"/>
    <w:rsid w:val="00BD6366"/>
    <w:rsid w:val="00BD74F7"/>
    <w:rsid w:val="00C049B5"/>
    <w:rsid w:val="00C201F8"/>
    <w:rsid w:val="00C24833"/>
    <w:rsid w:val="00C350DC"/>
    <w:rsid w:val="00C43705"/>
    <w:rsid w:val="00C50710"/>
    <w:rsid w:val="00C63ADB"/>
    <w:rsid w:val="00C678D9"/>
    <w:rsid w:val="00C7447F"/>
    <w:rsid w:val="00C76A86"/>
    <w:rsid w:val="00C77A77"/>
    <w:rsid w:val="00C82ECB"/>
    <w:rsid w:val="00C85052"/>
    <w:rsid w:val="00C90953"/>
    <w:rsid w:val="00CC1689"/>
    <w:rsid w:val="00CD553B"/>
    <w:rsid w:val="00CF4C21"/>
    <w:rsid w:val="00CF788D"/>
    <w:rsid w:val="00D01CA8"/>
    <w:rsid w:val="00D02DE1"/>
    <w:rsid w:val="00D17F8E"/>
    <w:rsid w:val="00D232F1"/>
    <w:rsid w:val="00D30491"/>
    <w:rsid w:val="00D45554"/>
    <w:rsid w:val="00D46C56"/>
    <w:rsid w:val="00D55316"/>
    <w:rsid w:val="00D614DC"/>
    <w:rsid w:val="00D65100"/>
    <w:rsid w:val="00D75B90"/>
    <w:rsid w:val="00D9066A"/>
    <w:rsid w:val="00D9463F"/>
    <w:rsid w:val="00D969AF"/>
    <w:rsid w:val="00DA3CEB"/>
    <w:rsid w:val="00DB085C"/>
    <w:rsid w:val="00DB1F8B"/>
    <w:rsid w:val="00DB5151"/>
    <w:rsid w:val="00DB5625"/>
    <w:rsid w:val="00DC0460"/>
    <w:rsid w:val="00DC0AB5"/>
    <w:rsid w:val="00DC399A"/>
    <w:rsid w:val="00DE6B7F"/>
    <w:rsid w:val="00DF08EB"/>
    <w:rsid w:val="00DF11B1"/>
    <w:rsid w:val="00DF5157"/>
    <w:rsid w:val="00E03695"/>
    <w:rsid w:val="00E10854"/>
    <w:rsid w:val="00E23124"/>
    <w:rsid w:val="00E26F3D"/>
    <w:rsid w:val="00E31225"/>
    <w:rsid w:val="00E42E44"/>
    <w:rsid w:val="00E543F6"/>
    <w:rsid w:val="00E54DD0"/>
    <w:rsid w:val="00E57186"/>
    <w:rsid w:val="00E6236B"/>
    <w:rsid w:val="00E7780E"/>
    <w:rsid w:val="00E8625B"/>
    <w:rsid w:val="00E9142E"/>
    <w:rsid w:val="00E9575A"/>
    <w:rsid w:val="00E96E69"/>
    <w:rsid w:val="00E97FA5"/>
    <w:rsid w:val="00EA4676"/>
    <w:rsid w:val="00EA484D"/>
    <w:rsid w:val="00EC0A4F"/>
    <w:rsid w:val="00EC61B0"/>
    <w:rsid w:val="00ED473A"/>
    <w:rsid w:val="00EF4C1D"/>
    <w:rsid w:val="00EF7CFB"/>
    <w:rsid w:val="00F04C5A"/>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AA7C3AF"/>
  <w15:docId w15:val="{CD5B7FD9-9079-4C1F-928D-6D1C1C48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semiHidden="1" w:unhideWhenUsed="1"/>
    <w:lsdException w:name="Body Text 3" w:uiPriority="99"/>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99"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uiPriority w:val="99"/>
    <w:pPr>
      <w:spacing w:before="36" w:after="36"/>
    </w:pPr>
  </w:style>
  <w:style w:type="paragraph" w:styleId="Titel">
    <w:name w:val="Title"/>
    <w:basedOn w:val="Standard"/>
    <w:next w:val="Textkrper"/>
    <w:link w:val="TitelZchn"/>
    <w:uiPriority w:val="99"/>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99"/>
    <w:qFormat/>
    <w:rsid w:val="00EF7CFB"/>
    <w:pPr>
      <w:spacing w:before="120" w:after="120"/>
    </w:pPr>
    <w:rPr>
      <w:b w:val="0"/>
      <w:color w:val="auto"/>
      <w:sz w:val="24"/>
      <w:szCs w:val="30"/>
    </w:rPr>
  </w:style>
  <w:style w:type="paragraph" w:customStyle="1" w:styleId="Author">
    <w:name w:val="Author"/>
    <w:basedOn w:val="Standard"/>
    <w:next w:val="Textkrper"/>
    <w:uiPriority w:val="99"/>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uiPriority w:val="99"/>
    <w:qFormat/>
    <w:rsid w:val="00855097"/>
    <w:pPr>
      <w:keepNext/>
      <w:keepLines/>
      <w:spacing w:after="240"/>
      <w:jc w:val="both"/>
    </w:pPr>
    <w:rPr>
      <w:i/>
    </w:rPr>
  </w:style>
  <w:style w:type="paragraph" w:styleId="Literaturverzeichnis">
    <w:name w:val="Bibliography"/>
    <w:basedOn w:val="Standard"/>
    <w:uiPriority w:val="99"/>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uiPriority w:val="99"/>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uiPriority w:val="99"/>
    <w:rsid w:val="007B4390"/>
    <w:pPr>
      <w:spacing w:before="0" w:after="0"/>
      <w:ind w:firstLine="0"/>
      <w:jc w:val="left"/>
    </w:pPr>
  </w:style>
  <w:style w:type="character" w:customStyle="1" w:styleId="Textkrper3Zchn">
    <w:name w:val="Textkörper 3 Zchn"/>
    <w:basedOn w:val="Absatz-Standardschriftart"/>
    <w:link w:val="Textkrper3"/>
    <w:uiPriority w:val="99"/>
    <w:rsid w:val="007B4390"/>
    <w:rPr>
      <w:lang w:val="de-CH"/>
    </w:rPr>
  </w:style>
  <w:style w:type="paragraph" w:customStyle="1" w:styleId="TabelleBeschriftung">
    <w:name w:val="Tabelle Beschriftung"/>
    <w:basedOn w:val="Standard"/>
    <w:uiPriority w:val="99"/>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99"/>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000000" w:themeColor="text1"/>
      </w:rPr>
      <w:tblPr/>
      <w:tcPr>
        <w:shd w:val="clear" w:color="auto" w:fill="A98899" w:themeFill="accent6"/>
      </w:tcPr>
    </w:tblStylePr>
    <w:tblStylePr w:type="lastRow">
      <w:rPr>
        <w:b/>
        <w:bCs/>
        <w:color w:val="000000" w:themeColor="text1"/>
      </w:rPr>
      <w:tblPr/>
      <w:tcPr>
        <w:tcBorders>
          <w:top w:val="double" w:sz="4" w:space="0" w:color="A98899" w:themeColor="accent6"/>
        </w:tcBorders>
        <w:shd w:val="clear" w:color="auto" w:fill="FFFFFF" w:themeFill="background1"/>
      </w:tcPr>
    </w:tblStylePr>
    <w:tblStylePr w:type="firstCol">
      <w:rPr>
        <w:b/>
        <w:bCs/>
        <w:color w:val="000000" w:themeColor="text1"/>
      </w:rPr>
    </w:tblStylePr>
    <w:tblStylePr w:type="lastCol">
      <w:rPr>
        <w:b w:val="0"/>
        <w:bCs w:val="0"/>
        <w:color w:val="000000" w:themeColor="text1"/>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berschrift1Zchn">
    <w:name w:val="Überschrift 1 Zchn"/>
    <w:basedOn w:val="Absatz-Standardschriftart"/>
    <w:link w:val="berschrift1"/>
    <w:uiPriority w:val="1"/>
    <w:rsid w:val="00D9066A"/>
    <w:rPr>
      <w:rFonts w:eastAsiaTheme="majorEastAsia" w:cs="Open Sans SemiCondensed"/>
      <w:b/>
      <w:bCs/>
      <w:color w:val="000000" w:themeColor="text1"/>
      <w:sz w:val="24"/>
      <w:szCs w:val="32"/>
      <w:lang w:val="de-CH"/>
    </w:rPr>
  </w:style>
  <w:style w:type="character" w:customStyle="1" w:styleId="berschrift2Zchn">
    <w:name w:val="Überschrift 2 Zchn"/>
    <w:basedOn w:val="Absatz-Standardschriftart"/>
    <w:link w:val="berschrift2"/>
    <w:uiPriority w:val="9"/>
    <w:rsid w:val="00D9066A"/>
    <w:rPr>
      <w:rFonts w:eastAsiaTheme="majorEastAsia" w:cs="Open Sans SemiCondensed"/>
      <w:b/>
      <w:bCs/>
      <w:szCs w:val="24"/>
      <w:lang w:val="de-CH"/>
    </w:rPr>
  </w:style>
  <w:style w:type="character" w:customStyle="1" w:styleId="TitelZchn">
    <w:name w:val="Titel Zchn"/>
    <w:basedOn w:val="Absatz-Standardschriftart"/>
    <w:link w:val="Titel"/>
    <w:uiPriority w:val="99"/>
    <w:rsid w:val="00D9066A"/>
    <w:rPr>
      <w:rFonts w:eastAsiaTheme="majorEastAsia" w:cstheme="majorBidi"/>
      <w:b/>
      <w:bCs/>
      <w:color w:val="D31932" w:themeColor="accent1"/>
      <w:spacing w:val="20"/>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5992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25656/01:25803" TargetMode="External"/><Relationship Id="rId26" Type="http://schemas.openxmlformats.org/officeDocument/2006/relationships/hyperlink" Target="https://doi.org/10.1111/1471-3802.12427" TargetMode="External"/><Relationship Id="rId3" Type="http://schemas.openxmlformats.org/officeDocument/2006/relationships/customXml" Target="../customXml/item3.xml"/><Relationship Id="rId21" Type="http://schemas.openxmlformats.org/officeDocument/2006/relationships/hyperlink" Target="https://doi.org/10.3776/tpre.2019.v9n2p6-1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80/08856257.2015.1125690" TargetMode="External"/><Relationship Id="rId25" Type="http://schemas.openxmlformats.org/officeDocument/2006/relationships/hyperlink" Target="https://doi.org/10.1007/s35834-021-00315-5" TargetMode="External"/><Relationship Id="rId2" Type="http://schemas.openxmlformats.org/officeDocument/2006/relationships/customXml" Target="../customXml/item2.xml"/><Relationship Id="rId16" Type="http://schemas.openxmlformats.org/officeDocument/2006/relationships/hyperlink" Target="https://doi.org/10.1177/1053451219855739" TargetMode="External"/><Relationship Id="rId20" Type="http://schemas.openxmlformats.org/officeDocument/2006/relationships/hyperlink" Target="https://doi.org/10.24452/sjer.39.3.504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1-02" TargetMode="External"/><Relationship Id="rId24" Type="http://schemas.openxmlformats.org/officeDocument/2006/relationships/hyperlink" Target="https://doi.org/10.1016/j.tate.2006.12.013" TargetMode="External"/><Relationship Id="rId5" Type="http://schemas.openxmlformats.org/officeDocument/2006/relationships/numbering" Target="numbering.xml"/><Relationship Id="rId15" Type="http://schemas.openxmlformats.org/officeDocument/2006/relationships/hyperlink" Target="mailto:bea.zumwald@phsg.ch" TargetMode="External"/><Relationship Id="rId23" Type="http://schemas.openxmlformats.org/officeDocument/2006/relationships/hyperlink" Target="https://doi.org/10.1177/1053451210378165"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007/s42010-023-00172-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1244/dds.2018.02.02" TargetMode="External"/><Relationship Id="rId27" Type="http://schemas.openxmlformats.org/officeDocument/2006/relationships/hyperlink" Target="https://doi.org/10.1177/00224669020360020101"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purl.org/dc/dcmitype/"/>
    <ds:schemaRef ds:uri="76555f21-dda2-40b2-9e67-0c5126acc9bb"/>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documentManagement/types"/>
    <ds:schemaRef ds:uri="4fd9addd-010e-4f5f-8f1c-4194eaaa354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2949</Words>
  <Characters>21048</Characters>
  <Application>Microsoft Office Word</Application>
  <DocSecurity>0</DocSecurity>
  <Lines>274</Lines>
  <Paragraphs>95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23914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Co-Teaching-Formen gezielt einsetzen_x000d_</dc:title>
  <dc:subject/>
  <dc:creator>Bea Zumwald_x000d_</dc:creator>
  <cp:keywords>Teamteaching, Multiprofessionalität, Kooperation, inklusiver Unterricht, Unterrichtsplanung / coenseignement, multiprofessionnalité, coopération, enseignement inclusif, planification de l'enseignement </cp:keywords>
  <cp:lastModifiedBy>Schnyder, Silvia</cp:lastModifiedBy>
  <cp:revision>19</cp:revision>
  <cp:lastPrinted>2025-01-24T07:55:00Z</cp:lastPrinted>
  <dcterms:created xsi:type="dcterms:W3CDTF">2025-01-24T07:34:00Z</dcterms:created>
  <dcterms:modified xsi:type="dcterms:W3CDTF">2025-01-24T07:55:00Z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