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594A356" w14:textId="77777777" w:rsidR="0094606C" w:rsidRDefault="0094606C" w:rsidP="0094606C">
      <w:pPr>
        <w:pStyle w:val="Titel"/>
      </w:pPr>
      <w:r>
        <w:t>Das Haus der Schulischen Heilpädagogik</w:t>
      </w:r>
    </w:p>
    <w:p w14:paraId="724AEE4F" w14:textId="697F7CB6" w:rsidR="0094606C" w:rsidRDefault="0094606C" w:rsidP="0094606C">
      <w:pPr>
        <w:pStyle w:val="Untertitel"/>
        <w:rPr>
          <w:rFonts w:cs="Open Sans SemiCondensed"/>
        </w:rPr>
      </w:pPr>
      <w:r>
        <w:rPr>
          <w:rFonts w:cs="Open Sans SemiCondensed"/>
        </w:rPr>
        <w:t>Ein Rahmenmodell für das Professionsverständnis SHP in der Schweiz</w:t>
      </w:r>
    </w:p>
    <w:p w14:paraId="3FA54542" w14:textId="77777777" w:rsidR="0094606C" w:rsidRDefault="0094606C" w:rsidP="0094606C">
      <w:pPr>
        <w:pStyle w:val="Author"/>
        <w:rPr>
          <w:rFonts w:cs="Open Sans SemiCondensed"/>
          <w:lang w:val="de-CH"/>
        </w:rPr>
      </w:pPr>
      <w:r>
        <w:rPr>
          <w:rFonts w:cs="Open Sans SemiCondensed"/>
          <w:lang w:val="de-CH"/>
        </w:rPr>
        <w:t>Thomas Müller</w:t>
      </w:r>
    </w:p>
    <w:p w14:paraId="425ED8DB" w14:textId="6824ACDA" w:rsidR="0094606C" w:rsidRDefault="0094606C" w:rsidP="0094606C">
      <w:pPr>
        <w:pStyle w:val="Abstract"/>
        <w:rPr>
          <w:rFonts w:cs="Open Sans SemiCondensed"/>
        </w:rPr>
      </w:pPr>
      <w:r>
        <w:t>Zusammenfassung</w:t>
      </w:r>
      <w:r>
        <w:br/>
        <w:t xml:space="preserve">Ausgangspunkt des Artikels ist die vielfältige und nicht eindeutig definierte Rolle der Schulischen Heilpädagog:innen (SHP) in der Schweiz. Um das Professionsverständnis dieser Berufsgruppe zu klären, entstand im Rahmen der Ausbildung an der Pädagogischen Hochschule Luzern das Modell «Haus der Schulischen Heilpädagogik». Es zeigt, welche Grundlagen bezüglich des Professionsverständnisses kantons- und arbeitskontextübergreifend bestehen und es verknüpft diese miteinander. Das Modell verdeutlicht, wie zentrale berufliche Ebenen zusammenspielen. Es bietet </w:t>
      </w:r>
      <w:r w:rsidR="006E0351">
        <w:t xml:space="preserve">Schulischen </w:t>
      </w:r>
      <w:proofErr w:type="gramStart"/>
      <w:r w:rsidR="006E0351">
        <w:t>Heilpädagog:innen</w:t>
      </w:r>
      <w:proofErr w:type="gramEnd"/>
      <w:r w:rsidR="006E0351">
        <w:t xml:space="preserve"> </w:t>
      </w:r>
      <w:r>
        <w:t>eine theoretische Grundlage, um sich mit der eigenen Rolle auseinanderzusetzen.</w:t>
      </w:r>
    </w:p>
    <w:p w14:paraId="4BB22844" w14:textId="77777777" w:rsidR="0094606C" w:rsidRDefault="0094606C" w:rsidP="0094606C">
      <w:pPr>
        <w:pStyle w:val="Abstract"/>
        <w:rPr>
          <w:rFonts w:cs="Open Sans SemiCondensed"/>
          <w:lang w:val="fr-CH"/>
        </w:rPr>
      </w:pPr>
      <w:r>
        <w:rPr>
          <w:lang w:val="fr-CH"/>
        </w:rPr>
        <w:t>Résumé</w:t>
      </w:r>
      <w:r>
        <w:rPr>
          <w:lang w:val="fr-CH"/>
        </w:rPr>
        <w:br/>
        <w:t>En Suisse, la diversité des rôles assumés par les enseignantes et enseignants spécialisés (ESP) complexifie la compréhension de ce métier. Afin d’en dessiner les contours, la Haute école pédagogique de Lucerne a créé le modèle « </w:t>
      </w:r>
      <w:proofErr w:type="spellStart"/>
      <w:r>
        <w:rPr>
          <w:lang w:val="fr-CH"/>
        </w:rPr>
        <w:t>Haus</w:t>
      </w:r>
      <w:proofErr w:type="spellEnd"/>
      <w:r>
        <w:rPr>
          <w:lang w:val="fr-CH"/>
        </w:rPr>
        <w:t xml:space="preserve"> der </w:t>
      </w:r>
      <w:proofErr w:type="spellStart"/>
      <w:r>
        <w:rPr>
          <w:lang w:val="fr-CH"/>
        </w:rPr>
        <w:t>Schulischen</w:t>
      </w:r>
      <w:proofErr w:type="spellEnd"/>
      <w:r>
        <w:rPr>
          <w:lang w:val="fr-CH"/>
        </w:rPr>
        <w:t xml:space="preserve"> </w:t>
      </w:r>
      <w:proofErr w:type="spellStart"/>
      <w:r>
        <w:rPr>
          <w:lang w:val="fr-CH"/>
        </w:rPr>
        <w:t>Heilpädagogik</w:t>
      </w:r>
      <w:proofErr w:type="spellEnd"/>
      <w:r>
        <w:rPr>
          <w:lang w:val="fr-CH"/>
        </w:rPr>
        <w:t> » (« La maison de la pédagogie spécialisée »). Ce modèle propose une base de compréhension et met en relation les éléments clés de cette profession, valables dans tous les cantons et contextes de travail. La mise en évidence des interactions entre les différents aspects de la profession offre une base théorique permettant aux enseignantes et enseignants spécialisés de s’interroger sur leur propre rôle.</w:t>
      </w:r>
    </w:p>
    <w:p w14:paraId="0CBFA953" w14:textId="77777777" w:rsidR="0094606C" w:rsidRDefault="0094606C" w:rsidP="0094606C">
      <w:pPr>
        <w:pStyle w:val="Textkrper3"/>
        <w:rPr>
          <w:lang w:val="fr-CH"/>
        </w:rPr>
      </w:pPr>
      <w:proofErr w:type="gramStart"/>
      <w:r>
        <w:rPr>
          <w:rStyle w:val="Fett"/>
          <w:rFonts w:cs="Open Sans SemiCondensed"/>
          <w:lang w:val="fr-CH"/>
        </w:rPr>
        <w:t>Keywords</w:t>
      </w:r>
      <w:r>
        <w:rPr>
          <w:lang w:val="fr-CH"/>
        </w:rPr>
        <w:t>:</w:t>
      </w:r>
      <w:proofErr w:type="gramEnd"/>
      <w:r>
        <w:rPr>
          <w:lang w:val="fr-CH"/>
        </w:rPr>
        <w:t xml:space="preserve"> </w:t>
      </w:r>
      <w:proofErr w:type="spellStart"/>
      <w:r w:rsidRPr="00E86D15">
        <w:rPr>
          <w:lang w:val="fr-CH"/>
        </w:rPr>
        <w:t>Schulische</w:t>
      </w:r>
      <w:proofErr w:type="spellEnd"/>
      <w:r w:rsidRPr="00E86D15">
        <w:rPr>
          <w:lang w:val="fr-CH"/>
        </w:rPr>
        <w:t xml:space="preserve"> </w:t>
      </w:r>
      <w:proofErr w:type="spellStart"/>
      <w:r w:rsidRPr="00E86D15">
        <w:rPr>
          <w:lang w:val="fr-CH"/>
        </w:rPr>
        <w:t>Heilpädagogik</w:t>
      </w:r>
      <w:proofErr w:type="spellEnd"/>
      <w:r w:rsidRPr="00E86D15">
        <w:rPr>
          <w:lang w:val="fr-CH"/>
        </w:rPr>
        <w:t xml:space="preserve">, </w:t>
      </w:r>
      <w:proofErr w:type="spellStart"/>
      <w:r w:rsidRPr="00E86D15">
        <w:rPr>
          <w:lang w:val="fr-CH"/>
        </w:rPr>
        <w:t>Berufsbild</w:t>
      </w:r>
      <w:proofErr w:type="spellEnd"/>
      <w:r w:rsidRPr="00E86D15">
        <w:rPr>
          <w:lang w:val="fr-CH"/>
        </w:rPr>
        <w:t xml:space="preserve">, </w:t>
      </w:r>
      <w:proofErr w:type="spellStart"/>
      <w:r w:rsidRPr="00E86D15">
        <w:rPr>
          <w:lang w:val="fr-CH"/>
        </w:rPr>
        <w:t>inklusiver</w:t>
      </w:r>
      <w:proofErr w:type="spellEnd"/>
      <w:r w:rsidRPr="00E86D15">
        <w:rPr>
          <w:lang w:val="fr-CH"/>
        </w:rPr>
        <w:t xml:space="preserve"> </w:t>
      </w:r>
      <w:proofErr w:type="spellStart"/>
      <w:r w:rsidRPr="00E86D15">
        <w:rPr>
          <w:lang w:val="fr-CH"/>
        </w:rPr>
        <w:t>Unterricht</w:t>
      </w:r>
      <w:proofErr w:type="spellEnd"/>
      <w:r w:rsidRPr="00E86D15">
        <w:rPr>
          <w:lang w:val="fr-CH"/>
        </w:rPr>
        <w:t xml:space="preserve">, </w:t>
      </w:r>
      <w:proofErr w:type="spellStart"/>
      <w:r w:rsidRPr="00E86D15">
        <w:rPr>
          <w:lang w:val="fr-CH"/>
        </w:rPr>
        <w:t>berufliche</w:t>
      </w:r>
      <w:proofErr w:type="spellEnd"/>
      <w:r w:rsidRPr="00E86D15">
        <w:rPr>
          <w:lang w:val="fr-CH"/>
        </w:rPr>
        <w:t xml:space="preserve"> </w:t>
      </w:r>
      <w:proofErr w:type="spellStart"/>
      <w:r w:rsidRPr="00E86D15">
        <w:rPr>
          <w:lang w:val="fr-CH"/>
        </w:rPr>
        <w:t>Qualifikation</w:t>
      </w:r>
      <w:proofErr w:type="spellEnd"/>
      <w:r w:rsidRPr="00E86D15">
        <w:rPr>
          <w:lang w:val="fr-CH"/>
        </w:rPr>
        <w:t xml:space="preserve">, </w:t>
      </w:r>
      <w:proofErr w:type="spellStart"/>
      <w:r w:rsidRPr="00E86D15">
        <w:rPr>
          <w:lang w:val="fr-CH"/>
        </w:rPr>
        <w:t>Berufsfeld</w:t>
      </w:r>
      <w:proofErr w:type="spellEnd"/>
      <w:r w:rsidRPr="00E86D15">
        <w:rPr>
          <w:lang w:val="fr-CH"/>
        </w:rPr>
        <w:t xml:space="preserve">, </w:t>
      </w:r>
      <w:proofErr w:type="spellStart"/>
      <w:r w:rsidRPr="00E86D15">
        <w:rPr>
          <w:lang w:val="fr-CH"/>
        </w:rPr>
        <w:t>Theorie</w:t>
      </w:r>
      <w:proofErr w:type="spellEnd"/>
      <w:r w:rsidRPr="00E86D15">
        <w:rPr>
          <w:lang w:val="fr-CH"/>
        </w:rPr>
        <w:t xml:space="preserve">-Praxis </w:t>
      </w:r>
      <w:proofErr w:type="spellStart"/>
      <w:r w:rsidRPr="00E86D15">
        <w:rPr>
          <w:lang w:val="fr-CH"/>
        </w:rPr>
        <w:t>Verhältnis</w:t>
      </w:r>
      <w:proofErr w:type="spellEnd"/>
      <w:r>
        <w:rPr>
          <w:lang w:val="fr-CH"/>
        </w:rPr>
        <w:t xml:space="preserve"> / enseignement spécialisé en école, profil de la profession, enseignement inclusif, qualification professionnelle, champ professionnel, relation théorie – pratique</w:t>
      </w:r>
    </w:p>
    <w:p w14:paraId="2FCF88DB" w14:textId="09EF96CB" w:rsidR="0094606C" w:rsidRDefault="0094606C" w:rsidP="380C2AA7">
      <w:pPr>
        <w:pStyle w:val="Textkrper3"/>
        <w:rPr>
          <w:rStyle w:val="Hyperlink"/>
          <w:lang w:val="fr-CH"/>
        </w:rPr>
      </w:pPr>
      <w:proofErr w:type="gramStart"/>
      <w:r>
        <w:rPr>
          <w:rStyle w:val="Fett"/>
          <w:rFonts w:cs="Open Sans SemiCondensed"/>
          <w:lang w:val="fr-CH"/>
        </w:rPr>
        <w:t>DOI</w:t>
      </w:r>
      <w:r>
        <w:rPr>
          <w:rFonts w:cs="Open Sans SemiCondensed"/>
          <w:lang w:val="fr-CH"/>
        </w:rPr>
        <w:t>:</w:t>
      </w:r>
      <w:proofErr w:type="gramEnd"/>
      <w:r>
        <w:rPr>
          <w:rFonts w:cs="Open Sans SemiCondensed"/>
          <w:lang w:val="fr-CH"/>
        </w:rPr>
        <w:t xml:space="preserve"> </w:t>
      </w:r>
      <w:hyperlink r:id="rId11">
        <w:r w:rsidRPr="00E86D15">
          <w:rPr>
            <w:rStyle w:val="Hyperlink"/>
            <w:rFonts w:asciiTheme="minorHAnsi" w:hAnsiTheme="minorHAnsi" w:cstheme="minorHAnsi"/>
            <w:spacing w:val="0"/>
            <w:lang w:val="fr-CH"/>
          </w:rPr>
          <w:t>https://doi.org/10.57161/z2024-09-</w:t>
        </w:r>
        <w:r w:rsidR="361EA29C" w:rsidRPr="00E86D15">
          <w:rPr>
            <w:rStyle w:val="Hyperlink"/>
            <w:rFonts w:asciiTheme="minorHAnsi" w:hAnsiTheme="minorHAnsi" w:cstheme="minorHAnsi"/>
            <w:spacing w:val="0"/>
            <w:lang w:val="fr-CH"/>
          </w:rPr>
          <w:t>05</w:t>
        </w:r>
      </w:hyperlink>
    </w:p>
    <w:p w14:paraId="47C1F9C6" w14:textId="77777777" w:rsidR="0094606C" w:rsidRDefault="0094606C" w:rsidP="0094606C">
      <w:pPr>
        <w:pStyle w:val="Textkrper3"/>
      </w:pPr>
      <w:r>
        <w:t>Schweizerische Zeitschrift für Heilpädagogik, Jg. 30, 09/2024</w:t>
      </w:r>
    </w:p>
    <w:p w14:paraId="7797EDF4" w14:textId="2E41C54B" w:rsidR="0094606C" w:rsidRDefault="0094606C" w:rsidP="0094606C">
      <w:pPr>
        <w:pStyle w:val="Textkrper3"/>
      </w:pPr>
      <w:r>
        <w:rPr>
          <w:noProof/>
        </w:rPr>
        <w:drawing>
          <wp:inline distT="0" distB="0" distL="0" distR="0" wp14:anchorId="623643B6" wp14:editId="39E200B4">
            <wp:extent cx="1143000" cy="404495"/>
            <wp:effectExtent l="0" t="0" r="0" b="0"/>
            <wp:docPr id="1319541623" name="Grafik 7" descr="Creative Common BY"/>
            <wp:cNvGraphicFramePr/>
            <a:graphic xmlns:a="http://schemas.openxmlformats.org/drawingml/2006/main">
              <a:graphicData uri="http://schemas.openxmlformats.org/drawingml/2006/picture">
                <pic:pic xmlns:pic="http://schemas.openxmlformats.org/drawingml/2006/picture">
                  <pic:nvPicPr>
                    <pic:cNvPr id="4" name="Graphique 4" descr="Creative Common BY"/>
                    <pic:cNvPicPr>
                      <a:picLocks noChangeAspect="1"/>
                    </pic:cNvPicPr>
                  </pic:nvPicPr>
                  <pic:blipFill>
                    <a:blip r:embed="rId12">
                      <a:extLst>
                        <a:ext uri="{96DAC541-7B7A-43D3-8B79-37D633B846F1}">
                          <asvg:svgBlip xmlns:asvg="http://schemas.microsoft.com/office/drawing/2016/SVG/main" r:embed="rId13"/>
                        </a:ext>
                      </a:extLst>
                    </a:blip>
                    <a:stretch>
                      <a:fillRect/>
                    </a:stretch>
                  </pic:blipFill>
                  <pic:spPr>
                    <a:xfrm>
                      <a:off x="0" y="0"/>
                      <a:ext cx="1143000" cy="400050"/>
                    </a:xfrm>
                    <a:prstGeom prst="rect">
                      <a:avLst/>
                    </a:prstGeom>
                  </pic:spPr>
                </pic:pic>
              </a:graphicData>
            </a:graphic>
          </wp:inline>
        </w:drawing>
      </w:r>
    </w:p>
    <w:p w14:paraId="1A909F5B" w14:textId="77777777" w:rsidR="0094606C" w:rsidRDefault="0094606C" w:rsidP="0094606C">
      <w:pPr>
        <w:pStyle w:val="berschrift1"/>
      </w:pPr>
      <w:r>
        <w:t>Ausgangslage</w:t>
      </w:r>
    </w:p>
    <w:p w14:paraId="393E2752" w14:textId="77777777" w:rsidR="0094606C" w:rsidRPr="00871A75" w:rsidRDefault="0094606C" w:rsidP="00871A75">
      <w:pPr>
        <w:pStyle w:val="Textkrper"/>
        <w:ind w:firstLine="0"/>
      </w:pPr>
      <w:r w:rsidRPr="00871A75">
        <w:t xml:space="preserve">Schulische Heilpädagog:innen arbeiten in verschiedenen Kontexten: auf unterschiedlichen Stufen (Zyklus 1–3), in vielfältigen Tätigkeitsfeldern (z. B. integrative Förderung, integrative und </w:t>
      </w:r>
      <w:proofErr w:type="spellStart"/>
      <w:r w:rsidRPr="00871A75">
        <w:t>separative</w:t>
      </w:r>
      <w:proofErr w:type="spellEnd"/>
      <w:r w:rsidRPr="00871A75">
        <w:t xml:space="preserve"> Sonderschulung) und unter verschiedenen Rahmenbedingungen. Letztere sind bedingt durch kantonale Gesetze, was zu unterschiedlichen Rollenverständnissen führt. SHP sind deshalb herausgefordert, ohne klar definierten Berufsauftrag zu arbeiten.</w:t>
      </w:r>
    </w:p>
    <w:p w14:paraId="207756A6" w14:textId="16D82585" w:rsidR="0094606C" w:rsidRPr="00871A75" w:rsidRDefault="0094606C" w:rsidP="00871A75">
      <w:pPr>
        <w:pStyle w:val="Textkrper"/>
      </w:pPr>
      <w:r w:rsidRPr="00871A75">
        <w:t xml:space="preserve">Aus diesem Grund ist das Professionsverständnis ein wiederkehrendes Thema in der Ausbildung von SHP: Es ist Bestandteil des Curriculums (EDK, 2023), wird aber im Ausbildungskontext der </w:t>
      </w:r>
      <w:r w:rsidRPr="00852345">
        <w:rPr>
          <w:i/>
          <w:iCs/>
        </w:rPr>
        <w:t>Pädagogischen Hochschule Luzern</w:t>
      </w:r>
      <w:r w:rsidRPr="00871A75">
        <w:t xml:space="preserve"> auch oft spontan thematisiert, zum Beispiel bei Unterrichtsbesuchen, kollegialen Beratungen oder in Modulen zum Thema Zusammenarbeit und Beratung.</w:t>
      </w:r>
    </w:p>
    <w:p w14:paraId="1D43DA53" w14:textId="6AC97B1F" w:rsidR="0094606C" w:rsidRPr="00871A75" w:rsidRDefault="0094606C" w:rsidP="00871A75">
      <w:pPr>
        <w:pStyle w:val="Textkrper"/>
      </w:pPr>
      <w:r w:rsidRPr="00871A75">
        <w:t xml:space="preserve">Theoretisch fundierte Überlegungen zum Professionsverständnis sind im Ausbildungs- und Berufsalltag wichtig. Umfassende Publikationen zu diesem Thema liegen für den Schweizer Kontext länger zurück (Bernhard &amp; </w:t>
      </w:r>
      <w:proofErr w:type="spellStart"/>
      <w:r w:rsidRPr="00871A75">
        <w:t>Coradi</w:t>
      </w:r>
      <w:proofErr w:type="spellEnd"/>
      <w:r w:rsidRPr="00871A75">
        <w:t xml:space="preserve">, 2005; Joller-Graf &amp; Sturny-Bossart, 2010; Strasser &amp; Wolfisberg, 2011). Deshalb wurde im Masterstudiengang Schulische Heilpädagogik der </w:t>
      </w:r>
      <w:proofErr w:type="gramStart"/>
      <w:r w:rsidRPr="0068367A">
        <w:rPr>
          <w:i/>
          <w:iCs/>
        </w:rPr>
        <w:t>PH Luzern</w:t>
      </w:r>
      <w:proofErr w:type="gramEnd"/>
      <w:r w:rsidRPr="00871A75">
        <w:t xml:space="preserve"> ein Grundlagentext verfasst und das Modell «Haus der Schulischen Heilpädagogik» entwickelt (Müller, 2024). Im vorliegenden Artikel wird dieser Grundlagentext zusammengefasst: Zunächst werden die Begriffe Professionsverständnis sowie Berufsrolle definiert und dann die fachlichen und reglementarischen Vorgaben </w:t>
      </w:r>
      <w:r w:rsidR="00DE2DB0">
        <w:lastRenderedPageBreak/>
        <w:t>beschrieben</w:t>
      </w:r>
      <w:r w:rsidRPr="00871A75">
        <w:t>, die das Professionsverständnis der SHP in der Schweiz prägen. Abschliessend wird das erarbeitete Modell schrittweise erläutert.</w:t>
      </w:r>
    </w:p>
    <w:p w14:paraId="4F1B6896" w14:textId="77777777" w:rsidR="0094606C" w:rsidRDefault="0094606C" w:rsidP="0094606C">
      <w:pPr>
        <w:pStyle w:val="berschrift1"/>
      </w:pPr>
      <w:r>
        <w:t>Begriffsklärungen</w:t>
      </w:r>
    </w:p>
    <w:p w14:paraId="3CCF70AF" w14:textId="77777777" w:rsidR="00153AE8" w:rsidRDefault="0094606C" w:rsidP="00871A75">
      <w:pPr>
        <w:pStyle w:val="Textkrper"/>
        <w:ind w:firstLine="0"/>
      </w:pPr>
      <w:r>
        <w:t xml:space="preserve">Im deutschen Sprachraum bezeichnet der Begriff </w:t>
      </w:r>
      <w:r>
        <w:rPr>
          <w:i/>
          <w:iCs/>
        </w:rPr>
        <w:t>Profession</w:t>
      </w:r>
      <w:r>
        <w:t xml:space="preserve"> eine berufliche Tätigkeit, die gemäss Roters (2012, S. 20) folgende Merkmale umfasst: </w:t>
      </w:r>
    </w:p>
    <w:p w14:paraId="6EA309A3" w14:textId="12728CCF" w:rsidR="00153AE8" w:rsidRDefault="00153AE8" w:rsidP="00153AE8">
      <w:pPr>
        <w:pStyle w:val="Zitat1"/>
      </w:pPr>
      <w:r>
        <w:t xml:space="preserve">[…] </w:t>
      </w:r>
      <w:r w:rsidR="0094606C">
        <w:t>ein gewisses Mass an gesellschaftlichem Ansehen, eine lang andauernde, nahezu ausschliesslich akademisch-wissenschaftliche Ausbildung im Rahmen eines formalen strukturierten Wissens- und Regelsystem, die Organisation des Berufsstandes […], eine ausgeprägte persönliche und sachliche Gestaltungsfreiheit in der Tätigkeit sowie die Ausprägung einer Berufsethik.</w:t>
      </w:r>
    </w:p>
    <w:p w14:paraId="69881270" w14:textId="2F7C2D6F" w:rsidR="0094606C" w:rsidRDefault="0094606C" w:rsidP="00153AE8">
      <w:pPr>
        <w:pStyle w:val="Textkrper"/>
        <w:ind w:firstLine="0"/>
      </w:pPr>
      <w:r>
        <w:t xml:space="preserve">Die pädagogische und speziell auch die heilpädagogische Professionsforschung betont die beiden letztgenannten Merkmale immer wieder: Professionalität zeigt sich gemäss Terhart (2021, S. 5) mitunter darin, «die vielfachen Spannungen und genannten Antinomien sach- und situationsgerecht handhaben zu können». Eingegrenzt wird die Gestaltungsfreiheit durch gesetzliche Bestimmungen, Ordnungen und Dienstregeln, einen beruflich-ethischen Verhaltenskodex sowie organisatorische, personale und materielle Rahmenbedingungen der Arbeitgebenden (Greving &amp; </w:t>
      </w:r>
      <w:proofErr w:type="spellStart"/>
      <w:r>
        <w:t>Ondracek</w:t>
      </w:r>
      <w:proofErr w:type="spellEnd"/>
      <w:r>
        <w:t xml:space="preserve">, 2023). Diese institutionellen Vorgaben und Rahmenbedingungen bilden die Grundlage für die Berufsrolle, </w:t>
      </w:r>
      <w:r w:rsidR="002E2584">
        <w:t>das heisst, für das</w:t>
      </w:r>
      <w:r>
        <w:t xml:space="preserve"> berufliche Handeln einer Person im entsprechenden Arbeitskontext. </w:t>
      </w:r>
    </w:p>
    <w:p w14:paraId="24384BA0" w14:textId="77777777" w:rsidR="0094606C" w:rsidRDefault="0094606C" w:rsidP="00871A75">
      <w:pPr>
        <w:pStyle w:val="Textkrper"/>
      </w:pPr>
      <w:r>
        <w:t xml:space="preserve">Das </w:t>
      </w:r>
      <w:r w:rsidRPr="004022AB">
        <w:rPr>
          <w:rStyle w:val="Hervorhebung"/>
          <w:b w:val="0"/>
          <w:i/>
          <w:iCs/>
        </w:rPr>
        <w:t>Professionsverständnis</w:t>
      </w:r>
      <w:r>
        <w:t xml:space="preserve"> legt also Rahmenbedingungen fest für die Organisation des Berufes sowie berufsethische Grundlagen, die für alle Arbeitskontexte gelten. Demgegenüber beschreibt die </w:t>
      </w:r>
      <w:r w:rsidRPr="004022AB">
        <w:rPr>
          <w:rStyle w:val="Hervorhebung"/>
          <w:b w:val="0"/>
          <w:i/>
          <w:iCs/>
        </w:rPr>
        <w:t>Berufsrolle</w:t>
      </w:r>
      <w:r w:rsidRPr="004022AB">
        <w:rPr>
          <w:bCs/>
        </w:rPr>
        <w:t xml:space="preserve"> </w:t>
      </w:r>
      <w:r>
        <w:t>konkreter, wie eine Person ihren Beruf im jeweiligen Arbeitskontext ausüben soll.</w:t>
      </w:r>
    </w:p>
    <w:p w14:paraId="1EB9F30C" w14:textId="66F8DB4F" w:rsidR="0094606C" w:rsidRDefault="0094606C" w:rsidP="0094606C">
      <w:pPr>
        <w:pStyle w:val="berschrift1"/>
      </w:pPr>
      <w:r>
        <w:t>Grundlagen zur Bestimmung des Professionsverständnis</w:t>
      </w:r>
      <w:r w:rsidR="00AA707C">
        <w:t>ses</w:t>
      </w:r>
      <w:r>
        <w:t xml:space="preserve"> Schulische Heilpädagogik </w:t>
      </w:r>
    </w:p>
    <w:p w14:paraId="5EADD67E" w14:textId="6C2DB1AB" w:rsidR="0094606C" w:rsidRDefault="0094606C" w:rsidP="0094606C">
      <w:pPr>
        <w:jc w:val="both"/>
      </w:pPr>
      <w:r>
        <w:t>Um das Professionsverständnis für die Schulische Heilpädagogik zu klären, wurde analysiert, welche kantonsübergreifenden Rahmenbedingungen und berufsethischen Grundlagen bestehen. Dabei wurde von drei Prämissen ausgegangen</w:t>
      </w:r>
      <w:r w:rsidR="0007777F">
        <w:t>.</w:t>
      </w:r>
    </w:p>
    <w:p w14:paraId="4E0A9662" w14:textId="77777777" w:rsidR="0094606C" w:rsidRPr="00AA707C" w:rsidRDefault="0094606C" w:rsidP="00AA707C">
      <w:pPr>
        <w:pStyle w:val="berschrift2"/>
        <w:rPr>
          <w:rStyle w:val="IntensiverVerweis"/>
          <w:b/>
          <w:bCs/>
          <w:smallCaps w:val="0"/>
          <w:color w:val="auto"/>
          <w:spacing w:val="-4"/>
        </w:rPr>
      </w:pPr>
      <w:r w:rsidRPr="00AA707C">
        <w:rPr>
          <w:rStyle w:val="IntensiverVerweis"/>
          <w:b/>
          <w:bCs/>
          <w:smallCaps w:val="0"/>
          <w:color w:val="auto"/>
          <w:spacing w:val="-4"/>
        </w:rPr>
        <w:t>Prämisse 1: SHP sind Teil des Lehrpersonals.</w:t>
      </w:r>
    </w:p>
    <w:p w14:paraId="07381C0D" w14:textId="53F0667E" w:rsidR="0094606C" w:rsidRDefault="0094606C" w:rsidP="00871A75">
      <w:pPr>
        <w:pStyle w:val="Textkrper"/>
        <w:ind w:firstLine="0"/>
      </w:pPr>
      <w:r>
        <w:t xml:space="preserve">SHP werden als Lehrpersonen angestellt und übernehmen in dieser Funktion einen Teil des Bildungsauftrags, der in der Bundesverfassung (Art. 19) enthalten ist. Dazu gehört auch, die Integration </w:t>
      </w:r>
      <w:r w:rsidR="0007777F">
        <w:t xml:space="preserve">von </w:t>
      </w:r>
      <w:r>
        <w:t>Kinder</w:t>
      </w:r>
      <w:r w:rsidR="0007777F">
        <w:t>n</w:t>
      </w:r>
      <w:r>
        <w:t xml:space="preserve"> und Jugendlichen </w:t>
      </w:r>
      <w:r w:rsidR="0007777F">
        <w:t xml:space="preserve">mit Behinderung </w:t>
      </w:r>
      <w:r>
        <w:t xml:space="preserve">in die Regelschule zu fördern, gemäss Behindertengleichstellungsgesetz (Art. 20). </w:t>
      </w:r>
    </w:p>
    <w:p w14:paraId="0E98C829" w14:textId="5DE0AE63" w:rsidR="0094606C" w:rsidRDefault="0094606C" w:rsidP="00871A75">
      <w:pPr>
        <w:pStyle w:val="Textkrper"/>
      </w:pPr>
      <w:r>
        <w:t xml:space="preserve">Die Anstellung des Lehrpersonals ist in verschiedenen kantonalen und teilweise kommunalen Gesetzen, Verordnungen und Richtlinien geregelt. Diese stützen sich aber oft auf gemeinsame Grundlagen, wie zum Beispiel den Berufsauftrag für Lehrpersonen vom </w:t>
      </w:r>
      <w:r w:rsidRPr="0007777F">
        <w:rPr>
          <w:i/>
          <w:iCs/>
        </w:rPr>
        <w:t>Dachverband Lehrerinnen und Lehrer Schweiz</w:t>
      </w:r>
      <w:r>
        <w:t xml:space="preserve"> </w:t>
      </w:r>
      <w:r w:rsidR="0007777F">
        <w:t>(</w:t>
      </w:r>
      <w:r>
        <w:t>LCH</w:t>
      </w:r>
      <w:r w:rsidR="0007777F">
        <w:t xml:space="preserve">, </w:t>
      </w:r>
      <w:r>
        <w:t xml:space="preserve">2014). </w:t>
      </w:r>
    </w:p>
    <w:p w14:paraId="16439188" w14:textId="77777777" w:rsidR="0094606C" w:rsidRPr="00AA707C" w:rsidRDefault="0094606C" w:rsidP="00AA707C">
      <w:pPr>
        <w:pStyle w:val="berschrift2"/>
        <w:rPr>
          <w:rStyle w:val="IntensiverVerweis"/>
          <w:b/>
          <w:bCs/>
          <w:smallCaps w:val="0"/>
          <w:color w:val="auto"/>
          <w:spacing w:val="-4"/>
        </w:rPr>
      </w:pPr>
      <w:r w:rsidRPr="00AA707C">
        <w:rPr>
          <w:rStyle w:val="IntensiverVerweis"/>
          <w:b/>
          <w:bCs/>
          <w:smallCaps w:val="0"/>
          <w:color w:val="auto"/>
          <w:spacing w:val="-4"/>
        </w:rPr>
        <w:t>Prämisse 2: Für die Arbeit als SHP wird ein EDK-anerkanntes Lehrdiplom vorausgesetzt oder zumindest gewünscht.</w:t>
      </w:r>
    </w:p>
    <w:p w14:paraId="3EB6C1C6" w14:textId="3936A884" w:rsidR="00692C20" w:rsidRDefault="0094606C" w:rsidP="00692C20">
      <w:pPr>
        <w:pStyle w:val="Textkrper"/>
        <w:ind w:firstLine="0"/>
      </w:pPr>
      <w:r>
        <w:t>Die EDK definiert das Professionsverständnis von SHP massgeblich mit. So definiert sie beispielsweise</w:t>
      </w:r>
      <w:r w:rsidR="00D1710F">
        <w:t xml:space="preserve"> </w:t>
      </w:r>
      <w:r w:rsidR="00D1710F" w:rsidRPr="00D1710F">
        <w:t>(EDK, 2021, S.</w:t>
      </w:r>
      <w:r w:rsidR="00D1710F">
        <w:t> </w:t>
      </w:r>
      <w:r w:rsidR="00D1710F" w:rsidRPr="00D1710F">
        <w:t>2)</w:t>
      </w:r>
      <w:r>
        <w:t xml:space="preserve">: </w:t>
      </w:r>
    </w:p>
    <w:p w14:paraId="68E13FB8" w14:textId="18E122A5" w:rsidR="00692C20" w:rsidRPr="009609A9" w:rsidRDefault="0094606C" w:rsidP="009609A9">
      <w:pPr>
        <w:pStyle w:val="Zitat1"/>
      </w:pPr>
      <w:r w:rsidRPr="009609A9">
        <w:t>SHP sollen befähigt werden zur Abklärung und Diagnose erschwerter Lernbedingungen sowie zur Planung, Durchführung und Auswertung des Unterrichts und der Förderung der Zusammenarbeit mit dem Umfeld</w:t>
      </w:r>
      <w:r w:rsidR="00D1710F" w:rsidRPr="009609A9">
        <w:t>.</w:t>
      </w:r>
    </w:p>
    <w:p w14:paraId="3932D092" w14:textId="58525059" w:rsidR="0094606C" w:rsidRDefault="0094606C" w:rsidP="0094606C">
      <w:pPr>
        <w:jc w:val="both"/>
      </w:pPr>
      <w:r>
        <w:t xml:space="preserve">Detaillierter werden die zu erwerbenden Kompetenzen im «Reglement über die Anerkennung der Diplome im Bereich der Sonderpädagogik» (EDK, 2023) beschrieben. </w:t>
      </w:r>
    </w:p>
    <w:p w14:paraId="6D78336C" w14:textId="3D8DC480" w:rsidR="0094606C" w:rsidRPr="00AA707C" w:rsidRDefault="0094606C" w:rsidP="00AA707C">
      <w:pPr>
        <w:pStyle w:val="berschrift2"/>
        <w:rPr>
          <w:rStyle w:val="IntensiverVerweis"/>
          <w:b/>
          <w:bCs/>
          <w:smallCaps w:val="0"/>
          <w:color w:val="auto"/>
          <w:spacing w:val="-4"/>
        </w:rPr>
      </w:pPr>
      <w:r w:rsidRPr="00AA707C">
        <w:rPr>
          <w:rStyle w:val="IntensiverVerweis"/>
          <w:b/>
          <w:bCs/>
          <w:smallCaps w:val="0"/>
          <w:color w:val="auto"/>
          <w:spacing w:val="-4"/>
        </w:rPr>
        <w:lastRenderedPageBreak/>
        <w:t xml:space="preserve">Prämisse 3: SHP </w:t>
      </w:r>
      <w:r w:rsidR="00F73B67">
        <w:rPr>
          <w:rStyle w:val="IntensiverVerweis"/>
          <w:b/>
          <w:bCs/>
          <w:smallCaps w:val="0"/>
          <w:color w:val="auto"/>
          <w:spacing w:val="-4"/>
        </w:rPr>
        <w:t>b</w:t>
      </w:r>
      <w:r w:rsidRPr="00AA707C">
        <w:rPr>
          <w:rStyle w:val="IntensiverVerweis"/>
          <w:b/>
          <w:bCs/>
          <w:smallCaps w:val="0"/>
          <w:color w:val="auto"/>
          <w:spacing w:val="-4"/>
        </w:rPr>
        <w:t xml:space="preserve">enötigen einen Hochschulabschluss als «Master </w:t>
      </w:r>
      <w:proofErr w:type="spellStart"/>
      <w:r w:rsidRPr="00AA707C">
        <w:rPr>
          <w:rStyle w:val="IntensiverVerweis"/>
          <w:b/>
          <w:bCs/>
          <w:smallCaps w:val="0"/>
          <w:color w:val="auto"/>
          <w:spacing w:val="-4"/>
        </w:rPr>
        <w:t>of</w:t>
      </w:r>
      <w:proofErr w:type="spellEnd"/>
      <w:r w:rsidRPr="00AA707C">
        <w:rPr>
          <w:rStyle w:val="IntensiverVerweis"/>
          <w:b/>
          <w:bCs/>
          <w:smallCaps w:val="0"/>
          <w:color w:val="auto"/>
          <w:spacing w:val="-4"/>
        </w:rPr>
        <w:t xml:space="preserve"> Arts in Special Needs Education».</w:t>
      </w:r>
    </w:p>
    <w:p w14:paraId="3759B3E4" w14:textId="4FBCDB74" w:rsidR="0094606C" w:rsidRDefault="0094606C" w:rsidP="00871A75">
      <w:pPr>
        <w:pStyle w:val="Textkrper"/>
        <w:ind w:firstLine="0"/>
      </w:pPr>
      <w:r>
        <w:t>Die Verpflichtung, einen Masterabschluss zu erlangen, zeigt die Bedeutung wissenschaftlichen Denkens und Handelns im heilpädagogischen Berufsalltag. Um einen Masterabschluss zu erhalten, müssen Studierende gemäss den Dublin-Deskriptoren komplexe Situationen bewältigen, ihr Wissen integrieren und auf Basis unvollständiger Informationen fundierte Einschätzungen treffen können</w:t>
      </w:r>
      <w:r w:rsidR="00061C0F">
        <w:t xml:space="preserve"> (</w:t>
      </w:r>
      <w:proofErr w:type="spellStart"/>
      <w:r w:rsidR="00061C0F">
        <w:t>Swissuniversities</w:t>
      </w:r>
      <w:proofErr w:type="spellEnd"/>
      <w:r w:rsidR="00061C0F">
        <w:t>, 2021, S. 5)</w:t>
      </w:r>
      <w:r>
        <w:t>.</w:t>
      </w:r>
    </w:p>
    <w:p w14:paraId="0756FCD6" w14:textId="5F7A9DC0" w:rsidR="0094606C" w:rsidRDefault="0094606C" w:rsidP="00871A75">
      <w:pPr>
        <w:pStyle w:val="Textkrper"/>
      </w:pPr>
      <w:r>
        <w:t xml:space="preserve">Die Heil- und Sonderpädagogik ist zudem eine wissenschaftliche Disziplin mit eigenen Lehrstühlen. Wichtige Aspekte dieser Disziplin sind ethische Grundlagen (z. B. Biewer, 2017), berufsethische Überlegungen (z. B. </w:t>
      </w:r>
      <w:proofErr w:type="spellStart"/>
      <w:r>
        <w:t>Haeberlin</w:t>
      </w:r>
      <w:proofErr w:type="spellEnd"/>
      <w:r>
        <w:t>, 1996), heilpädagogische Leitbilder (z. B. Hedderich</w:t>
      </w:r>
      <w:r w:rsidR="004A2156">
        <w:t xml:space="preserve"> et al.</w:t>
      </w:r>
      <w:r>
        <w:t xml:space="preserve">, 2022), Rahmenbedingungen professionellen Handelns (Speck, 2008) sowie Merkmale heilpädagogischer Professionalität (z. B. Greving &amp; </w:t>
      </w:r>
      <w:proofErr w:type="spellStart"/>
      <w:r>
        <w:t>Ondracek</w:t>
      </w:r>
      <w:proofErr w:type="spellEnd"/>
      <w:r>
        <w:t xml:space="preserve">, 2023). </w:t>
      </w:r>
    </w:p>
    <w:p w14:paraId="2F2E4A67" w14:textId="77777777" w:rsidR="0094606C" w:rsidRDefault="0094606C" w:rsidP="0094606C">
      <w:pPr>
        <w:pStyle w:val="berschrift1"/>
      </w:pPr>
      <w:r>
        <w:t>Verarbeitung zu einem Modell</w:t>
      </w:r>
    </w:p>
    <w:p w14:paraId="1DE90EC9" w14:textId="33504B00" w:rsidR="0094606C" w:rsidRDefault="0094606C" w:rsidP="0094606C">
      <w:r>
        <w:t xml:space="preserve">Die vorangehend beschriebenen Grundlagen wurden zum Modell </w:t>
      </w:r>
      <w:r w:rsidR="0027311D">
        <w:t xml:space="preserve">«Haus der Schulischen Heilpädagogik» </w:t>
      </w:r>
      <w:r>
        <w:t>verarbeitet</w:t>
      </w:r>
      <w:r w:rsidR="0027311D">
        <w:t xml:space="preserve"> </w:t>
      </w:r>
      <w:r>
        <w:t xml:space="preserve">(vgl. </w:t>
      </w:r>
      <w:r>
        <w:fldChar w:fldCharType="begin"/>
      </w:r>
      <w:r>
        <w:instrText xml:space="preserve"> REF _Ref163734428 \h </w:instrText>
      </w:r>
      <w:r>
        <w:fldChar w:fldCharType="separate"/>
      </w:r>
      <w:r w:rsidR="00102753">
        <w:t xml:space="preserve">Abbildung </w:t>
      </w:r>
      <w:r w:rsidR="00102753">
        <w:rPr>
          <w:noProof/>
        </w:rPr>
        <w:t>1</w:t>
      </w:r>
      <w:r>
        <w:fldChar w:fldCharType="end"/>
      </w:r>
      <w:r>
        <w:t>).</w:t>
      </w:r>
    </w:p>
    <w:p w14:paraId="10E905CC" w14:textId="6B9FCBF1" w:rsidR="0094606C" w:rsidRDefault="0094606C" w:rsidP="0094606C">
      <w:pPr>
        <w:pStyle w:val="AbbildungBeschriftung"/>
        <w:rPr>
          <w:lang w:val="de-CH"/>
        </w:rPr>
      </w:pPr>
      <w:bookmarkStart w:id="0" w:name="_Ref163734428"/>
      <w:bookmarkStart w:id="1" w:name="_Ref181197607"/>
      <w:r>
        <w:rPr>
          <w:lang w:val="de-CH"/>
        </w:rPr>
        <w:t xml:space="preserve">Abbildung </w:t>
      </w:r>
      <w:r>
        <w:fldChar w:fldCharType="begin"/>
      </w:r>
      <w:r>
        <w:rPr>
          <w:lang w:val="de-CH"/>
        </w:rPr>
        <w:instrText xml:space="preserve"> SEQ Abbildung \* ARABIC </w:instrText>
      </w:r>
      <w:r>
        <w:fldChar w:fldCharType="separate"/>
      </w:r>
      <w:r w:rsidR="00102753">
        <w:rPr>
          <w:noProof/>
          <w:lang w:val="de-CH"/>
        </w:rPr>
        <w:t>1</w:t>
      </w:r>
      <w:r>
        <w:fldChar w:fldCharType="end"/>
      </w:r>
      <w:bookmarkEnd w:id="0"/>
      <w:r>
        <w:rPr>
          <w:lang w:val="de-CH"/>
        </w:rPr>
        <w:t>: Das Haus der Schulischen Heilpädagogik – ein Modell für das Professionsverständnis im schweizerischen Kontext</w:t>
      </w:r>
      <w:bookmarkEnd w:id="1"/>
    </w:p>
    <w:p w14:paraId="6B331B5D" w14:textId="29BCEAB8" w:rsidR="00871A75" w:rsidRDefault="0094606C" w:rsidP="00871A75">
      <w:pPr>
        <w:jc w:val="both"/>
      </w:pPr>
      <w:r>
        <w:rPr>
          <w:noProof/>
        </w:rPr>
        <w:drawing>
          <wp:inline distT="0" distB="0" distL="0" distR="0" wp14:anchorId="56D07FCC" wp14:editId="1BB622D0">
            <wp:extent cx="5760085" cy="5384800"/>
            <wp:effectExtent l="0" t="0" r="0" b="6350"/>
            <wp:docPr id="499445999" name="Grafik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9445999" name="Grafik 6">
                      <a:extLst>
                        <a:ext uri="{C183D7F6-B498-43B3-948B-1728B52AA6E4}">
                          <adec:decorative xmlns:adec="http://schemas.microsoft.com/office/drawing/2017/decorative" val="1"/>
                        </a:ext>
                      </a:extLst>
                    </pic:cNvPr>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760085" cy="5384800"/>
                    </a:xfrm>
                    <a:prstGeom prst="rect">
                      <a:avLst/>
                    </a:prstGeom>
                    <a:noFill/>
                    <a:ln>
                      <a:noFill/>
                    </a:ln>
                  </pic:spPr>
                </pic:pic>
              </a:graphicData>
            </a:graphic>
          </wp:inline>
        </w:drawing>
      </w:r>
      <w:r w:rsidR="00871A75">
        <w:br w:type="page"/>
      </w:r>
    </w:p>
    <w:p w14:paraId="56900F3E" w14:textId="0F3E7C4C" w:rsidR="0094606C" w:rsidRDefault="0094606C" w:rsidP="0094606C">
      <w:pPr>
        <w:jc w:val="both"/>
      </w:pPr>
      <w:r>
        <w:lastRenderedPageBreak/>
        <w:t xml:space="preserve">Das Haus symbolisiert, dass die Rahmenbedingungen professionellen </w:t>
      </w:r>
      <w:proofErr w:type="gramStart"/>
      <w:r>
        <w:t>Handelns relativ</w:t>
      </w:r>
      <w:proofErr w:type="gramEnd"/>
      <w:r>
        <w:t xml:space="preserve"> beständig sind, sich aber über längere Zeiträume hinweg verändern. Die Puzzleteile stehen für diese Variabilität des grundsätzlich beständigen Bauwerks. SHP bewohnen dieses Haus und gestalten es mit ihrem Rollenverständnis von innen heraus. Das Haus besteht aus drei Elementen, die im Folgenden näher erläutert werden. </w:t>
      </w:r>
    </w:p>
    <w:p w14:paraId="6FA596D6" w14:textId="77777777" w:rsidR="0094606C" w:rsidRDefault="0094606C" w:rsidP="0094606C">
      <w:pPr>
        <w:pStyle w:val="berschrift2"/>
      </w:pPr>
      <w:r>
        <w:t>Die Funktion der Heilpädagogik als Dach</w:t>
      </w:r>
    </w:p>
    <w:p w14:paraId="3E987D5D" w14:textId="0B15DE57" w:rsidR="0094606C" w:rsidRDefault="0094606C" w:rsidP="001D2B06">
      <w:pPr>
        <w:pStyle w:val="Textkrper"/>
        <w:ind w:firstLine="0"/>
      </w:pPr>
      <w:r>
        <w:t xml:space="preserve">SHP haben die Aufgabe, eine ganzheitliche Bildung zu ermöglichen in Situationen besonderen Bildungsbedarfs. Ein solcher Bedarf liegt laut EDK (2007) vor, wenn Lernende entweder dem Lehrplan der Regelschule ohne zusätzliche Unterstützung nicht oder nur teilweise folgen können oder </w:t>
      </w:r>
      <w:r w:rsidR="00A329D3">
        <w:t xml:space="preserve">wenn sie </w:t>
      </w:r>
      <w:r>
        <w:t xml:space="preserve">grosse Schwierigkeiten haben in der Sozialkompetenz oder ihrem Lern- und Leistungsvermögen. Trotz dieser individuell ausgerichteten Definition erfordert das </w:t>
      </w:r>
      <w:r w:rsidR="001D0F98">
        <w:t>b</w:t>
      </w:r>
      <w:r>
        <w:t>io-</w:t>
      </w:r>
      <w:r w:rsidR="001D0F98">
        <w:t>p</w:t>
      </w:r>
      <w:r>
        <w:t>sycho-</w:t>
      </w:r>
      <w:r w:rsidR="001D0F98">
        <w:t>s</w:t>
      </w:r>
      <w:r>
        <w:t xml:space="preserve">oziale-Modell der ICF (WHO, 2001) eine systemische Betrachtung: Die genannten Schwierigkeiten entstehen stets durch die Interaktion von individuellen Voraussetzungen und Umwelt. </w:t>
      </w:r>
    </w:p>
    <w:p w14:paraId="7B0E28BB" w14:textId="77777777" w:rsidR="0094606C" w:rsidRDefault="0094606C" w:rsidP="001D2B06">
      <w:pPr>
        <w:pStyle w:val="Textkrper"/>
      </w:pPr>
      <w:r>
        <w:t xml:space="preserve">Das Attribut «ganzheitlich» betont, dass Bildung nicht nur Kulturtechniken wie Lesen und Rechnen umfasst. Das Ziel ist, Menschen zu befähigen, selbstbestimmt zu leben, sozio-kulturell teilzuhaben und kompetent zu sein (Speck, 2008). Oder in den Worten des Lehrplans 21 (D-EDK, 2016): Fachliche und überfachliche Kompetenzen sind gleichermassen zu fördern. </w:t>
      </w:r>
    </w:p>
    <w:p w14:paraId="693D86DE" w14:textId="77777777" w:rsidR="0094606C" w:rsidRDefault="0094606C" w:rsidP="0094606C">
      <w:pPr>
        <w:pStyle w:val="berschrift2"/>
      </w:pPr>
      <w:r>
        <w:t>Heilpädagogische Tätigkeitsfelder als Gestaltungsraum</w:t>
      </w:r>
    </w:p>
    <w:p w14:paraId="786BD314" w14:textId="77777777" w:rsidR="0094606C" w:rsidRDefault="0094606C" w:rsidP="0094606C">
      <w:pPr>
        <w:jc w:val="both"/>
      </w:pPr>
      <w:r>
        <w:t xml:space="preserve">Um Schüler:innen mit besonderem Bildungsbedarf eine optimale Bildung zu ermöglichen, sind SHP in verschiedenen Tätigkeitsfeldern aktiv. Angelehnt an den Berufsauftrag für Lehrpersonen (LCH, 2014) sowie die Kompetenzbeschreibungen der EDK (2023) werden vier Arbeitsfelder vorgeschlagen: </w:t>
      </w:r>
    </w:p>
    <w:p w14:paraId="5B8D9DB3" w14:textId="77777777" w:rsidR="0094606C" w:rsidRDefault="0094606C" w:rsidP="0094606C">
      <w:pPr>
        <w:pStyle w:val="Liste"/>
        <w:numPr>
          <w:ilvl w:val="0"/>
          <w:numId w:val="7"/>
        </w:numPr>
        <w:ind w:left="454" w:hanging="284"/>
        <w:jc w:val="both"/>
      </w:pPr>
      <w:r w:rsidRPr="001D0F98">
        <w:rPr>
          <w:rStyle w:val="Hervorhebung"/>
          <w:b w:val="0"/>
          <w:i/>
          <w:iCs/>
        </w:rPr>
        <w:t>Unterricht im Kontext besonderen Bildungsbedarfs</w:t>
      </w:r>
      <w:r w:rsidRPr="001D0F98">
        <w:rPr>
          <w:bCs/>
          <w:i/>
          <w:iCs/>
        </w:rPr>
        <w:t>:</w:t>
      </w:r>
      <w:r w:rsidRPr="001D0F98">
        <w:rPr>
          <w:bCs/>
        </w:rPr>
        <w:t xml:space="preserve"> </w:t>
      </w:r>
      <w:r>
        <w:t>SHP unterrichten und erfassen dabei das Potenzial und die Lernbarrieren der Schüler:innen (förder-)diagnostisch. Sie passen den Unterricht in Zusammenarbeit mit anderen Lehrpersonen so an, dass Barrieren reduziert und Potenziale genutzt werden.</w:t>
      </w:r>
    </w:p>
    <w:p w14:paraId="62E7CA8B" w14:textId="77777777" w:rsidR="0094606C" w:rsidRDefault="0094606C" w:rsidP="0094606C">
      <w:pPr>
        <w:pStyle w:val="Liste"/>
        <w:numPr>
          <w:ilvl w:val="0"/>
          <w:numId w:val="7"/>
        </w:numPr>
        <w:ind w:left="454" w:hanging="284"/>
        <w:jc w:val="both"/>
      </w:pPr>
      <w:r w:rsidRPr="001D0F98">
        <w:rPr>
          <w:rStyle w:val="Hervorhebung"/>
          <w:b w:val="0"/>
          <w:i/>
          <w:iCs/>
        </w:rPr>
        <w:t>Beratung und interdisziplinäre Zusammenarbeit im Kontext besonderen Bildungsbedarfs</w:t>
      </w:r>
      <w:r w:rsidRPr="001D0F98">
        <w:rPr>
          <w:bCs/>
          <w:i/>
        </w:rPr>
        <w:t>:</w:t>
      </w:r>
      <w:r w:rsidRPr="001D0F98">
        <w:rPr>
          <w:bCs/>
        </w:rPr>
        <w:t xml:space="preserve"> </w:t>
      </w:r>
      <w:r>
        <w:t xml:space="preserve">Bildungsprozesse sind in Systeme eingebettet (Familie, Schule etc.). Ganzheitliche Bildung erfordert abgestimmte Aktivitäten aller Beteiligten mit gemeinsamen Zielen (Kunz &amp; Luder, 2021; Lütje-Klose, 2022). </w:t>
      </w:r>
    </w:p>
    <w:p w14:paraId="715233A0" w14:textId="132A5C66" w:rsidR="0094606C" w:rsidRDefault="0094606C" w:rsidP="0094606C">
      <w:pPr>
        <w:pStyle w:val="Liste"/>
        <w:numPr>
          <w:ilvl w:val="0"/>
          <w:numId w:val="7"/>
        </w:numPr>
        <w:ind w:left="454" w:hanging="284"/>
        <w:jc w:val="both"/>
      </w:pPr>
      <w:r w:rsidRPr="001D0F98">
        <w:rPr>
          <w:rStyle w:val="Hervorhebung"/>
          <w:b w:val="0"/>
          <w:i/>
          <w:iCs/>
        </w:rPr>
        <w:t>Mitgestaltung eines inklusionsorientierten Bildungssystems</w:t>
      </w:r>
      <w:r w:rsidRPr="001D0F98">
        <w:rPr>
          <w:bCs/>
          <w:i/>
        </w:rPr>
        <w:t>:</w:t>
      </w:r>
      <w:r w:rsidRPr="001D0F98">
        <w:rPr>
          <w:bCs/>
        </w:rPr>
        <w:t xml:space="preserve"> </w:t>
      </w:r>
      <w:r>
        <w:t>Der Handlungsspielraum von SHP ist durch rechtliche und organisatorische Vorgaben begrenzt. W</w:t>
      </w:r>
      <w:r w:rsidR="004F32D7">
        <w:t>enn</w:t>
      </w:r>
      <w:r>
        <w:t xml:space="preserve"> diese Vorgaben die Bildung erschweren, sollen SHP das System weiterentwickeln (EDK, 2023). </w:t>
      </w:r>
    </w:p>
    <w:p w14:paraId="79936800" w14:textId="77777777" w:rsidR="0094606C" w:rsidRDefault="0094606C" w:rsidP="0094606C">
      <w:pPr>
        <w:pStyle w:val="Liste"/>
        <w:numPr>
          <w:ilvl w:val="0"/>
          <w:numId w:val="7"/>
        </w:numPr>
        <w:ind w:left="454" w:hanging="284"/>
        <w:jc w:val="both"/>
      </w:pPr>
      <w:r w:rsidRPr="001D0F98">
        <w:rPr>
          <w:rStyle w:val="Hervorhebung"/>
          <w:b w:val="0"/>
          <w:i/>
          <w:iCs/>
        </w:rPr>
        <w:t>Professionelle Reflexion und Weiterentwicklung</w:t>
      </w:r>
      <w:r w:rsidRPr="001D0F98">
        <w:rPr>
          <w:bCs/>
          <w:i/>
        </w:rPr>
        <w:t>:</w:t>
      </w:r>
      <w:r w:rsidRPr="001D0F98">
        <w:rPr>
          <w:bCs/>
        </w:rPr>
        <w:t xml:space="preserve"> </w:t>
      </w:r>
      <w:r>
        <w:t xml:space="preserve">Zum Berufsauftrag von Lehrpersonen und SHP gehört, die Wirksamkeit der eigenen Berufstätigkeit zu evaluieren und sich individuell weiterzubilden (EDK, 2023; LCH, 2014). </w:t>
      </w:r>
    </w:p>
    <w:p w14:paraId="2709B0FA" w14:textId="65ADC457" w:rsidR="0094606C" w:rsidRDefault="0094606C" w:rsidP="0094606C">
      <w:pPr>
        <w:jc w:val="both"/>
      </w:pPr>
      <w:r>
        <w:t>Die vier Tätigkeitsgebiete greifen ineinander und beeinflussen sich wechselseitig</w:t>
      </w:r>
      <w:r w:rsidR="00BC1DE8">
        <w:t>, was d</w:t>
      </w:r>
      <w:r>
        <w:t>ie Puzzleteile symbolisieren.</w:t>
      </w:r>
    </w:p>
    <w:p w14:paraId="39D72CBB" w14:textId="77777777" w:rsidR="0094606C" w:rsidRDefault="0094606C" w:rsidP="0094606C">
      <w:pPr>
        <w:pStyle w:val="berschrift2"/>
      </w:pPr>
      <w:r>
        <w:t>Heilpädagogische Prinzipien als Fundament</w:t>
      </w:r>
    </w:p>
    <w:p w14:paraId="0EDBC778" w14:textId="77777777" w:rsidR="0094606C" w:rsidRDefault="0094606C" w:rsidP="0094606C">
      <w:pPr>
        <w:jc w:val="both"/>
      </w:pPr>
      <w:r>
        <w:t xml:space="preserve">Die vorgestellten Grundlagen machen nicht nur Aussagen zum </w:t>
      </w:r>
      <w:r>
        <w:rPr>
          <w:i/>
          <w:iCs/>
        </w:rPr>
        <w:t>Was</w:t>
      </w:r>
      <w:r>
        <w:t xml:space="preserve"> und </w:t>
      </w:r>
      <w:r>
        <w:rPr>
          <w:i/>
          <w:iCs/>
        </w:rPr>
        <w:t>Wozu</w:t>
      </w:r>
      <w:r>
        <w:t xml:space="preserve"> der heilpädagogischen Tätigkeit, sondern auch zum </w:t>
      </w:r>
      <w:r>
        <w:rPr>
          <w:i/>
          <w:iCs/>
        </w:rPr>
        <w:t>Wie</w:t>
      </w:r>
      <w:r>
        <w:t>. Diese Aussagen wurden zu sechs Prinzipien verdichtet:</w:t>
      </w:r>
    </w:p>
    <w:p w14:paraId="20800FA7" w14:textId="61E54104" w:rsidR="0094606C" w:rsidRDefault="00DC4C21" w:rsidP="0094606C">
      <w:pPr>
        <w:pStyle w:val="Liste"/>
        <w:numPr>
          <w:ilvl w:val="0"/>
          <w:numId w:val="7"/>
        </w:numPr>
        <w:ind w:left="454" w:hanging="284"/>
        <w:jc w:val="both"/>
        <w:rPr>
          <w:rStyle w:val="Hervorhebung"/>
          <w:b w:val="0"/>
        </w:rPr>
      </w:pPr>
      <w:r>
        <w:rPr>
          <w:rStyle w:val="Hervorhebung"/>
          <w:b w:val="0"/>
          <w:i/>
          <w:iCs/>
        </w:rPr>
        <w:t>M</w:t>
      </w:r>
      <w:r w:rsidR="0094606C" w:rsidRPr="00C30B10">
        <w:rPr>
          <w:rStyle w:val="Hervorhebung"/>
          <w:b w:val="0"/>
          <w:i/>
          <w:iCs/>
        </w:rPr>
        <w:t>enschliche Würde achten:</w:t>
      </w:r>
      <w:r w:rsidR="0094606C" w:rsidRPr="00C30B10">
        <w:rPr>
          <w:rStyle w:val="Hervorhebung"/>
          <w:b w:val="0"/>
        </w:rPr>
        <w:t xml:space="preserve"> </w:t>
      </w:r>
      <w:r w:rsidR="0094606C" w:rsidRPr="00871A75">
        <w:rPr>
          <w:bCs/>
        </w:rPr>
        <w:t>Die persönliche Integrität aller Schüler:innen zu wahren, ist Teil des Berufsethos (LCH, 2008). Im Umgang mit Behinderung bedeutet dies insbesondere, den Menschen und nicht seine Andersartigkeit ins Zentrum der Beziehung zu stellen, ihm auf Augenhöhe zu begegnen und ihm die grösstmögliche Autonomie und Teilhabe zu gewähren.</w:t>
      </w:r>
    </w:p>
    <w:p w14:paraId="6BE530F6" w14:textId="77777777" w:rsidR="0094606C" w:rsidRDefault="0094606C" w:rsidP="0094606C">
      <w:pPr>
        <w:pStyle w:val="Liste"/>
        <w:numPr>
          <w:ilvl w:val="0"/>
          <w:numId w:val="7"/>
        </w:numPr>
        <w:ind w:left="454" w:hanging="284"/>
        <w:jc w:val="both"/>
      </w:pPr>
      <w:r w:rsidRPr="00DC4C21">
        <w:rPr>
          <w:rStyle w:val="Hervorhebung"/>
          <w:b w:val="0"/>
          <w:i/>
          <w:iCs/>
        </w:rPr>
        <w:t>Befähigung anstreben</w:t>
      </w:r>
      <w:r w:rsidRPr="00DC4C21">
        <w:rPr>
          <w:bCs/>
          <w:i/>
        </w:rPr>
        <w:t>:</w:t>
      </w:r>
      <w:r>
        <w:rPr>
          <w:i/>
        </w:rPr>
        <w:t xml:space="preserve"> </w:t>
      </w:r>
      <w:r>
        <w:t xml:space="preserve">Lernende sollen gemäss dem Prinzip des </w:t>
      </w:r>
      <w:r>
        <w:rPr>
          <w:i/>
          <w:iCs/>
        </w:rPr>
        <w:t>Empowerments</w:t>
      </w:r>
      <w:r>
        <w:t xml:space="preserve"> (Kulig &amp; Theunissen, 2022) befähigt werden, Hindernisse selbstständig zu überwinden. Ziel ist die grösstmögliche Autonomie und Selbstbestimmung (</w:t>
      </w:r>
      <w:proofErr w:type="spellStart"/>
      <w:r>
        <w:t>Haeberlin</w:t>
      </w:r>
      <w:proofErr w:type="spellEnd"/>
      <w:r>
        <w:t xml:space="preserve">, 1996; </w:t>
      </w:r>
      <w:proofErr w:type="spellStart"/>
      <w:r>
        <w:t>Schuppener</w:t>
      </w:r>
      <w:proofErr w:type="spellEnd"/>
      <w:r>
        <w:t>, 2022; Speck, 2008).</w:t>
      </w:r>
    </w:p>
    <w:p w14:paraId="52944F84" w14:textId="77777777" w:rsidR="0094606C" w:rsidRDefault="0094606C" w:rsidP="0094606C">
      <w:pPr>
        <w:pStyle w:val="Liste"/>
        <w:numPr>
          <w:ilvl w:val="0"/>
          <w:numId w:val="7"/>
        </w:numPr>
        <w:ind w:left="454" w:hanging="284"/>
        <w:jc w:val="both"/>
      </w:pPr>
      <w:r w:rsidRPr="00DC4C21">
        <w:rPr>
          <w:rStyle w:val="Hervorhebung"/>
          <w:b w:val="0"/>
          <w:i/>
          <w:iCs/>
        </w:rPr>
        <w:lastRenderedPageBreak/>
        <w:t>Auf Ressourcen fokussieren</w:t>
      </w:r>
      <w:r w:rsidRPr="00DC4C21">
        <w:rPr>
          <w:bCs/>
          <w:i/>
        </w:rPr>
        <w:t xml:space="preserve">: </w:t>
      </w:r>
      <w:r>
        <w:t xml:space="preserve">Eine positive Erwartungshaltung aufzubauen, ist Teil des Berufsauftrags aller Lehrpersonen (LCH, 2008). SHP sind besonders gefordert «Vertrauen in die vorhandenen (wenn auch noch verborgenen) Potenziale der Lernenden zu setzen» (Greving &amp; </w:t>
      </w:r>
      <w:proofErr w:type="spellStart"/>
      <w:r>
        <w:t>Ondracek</w:t>
      </w:r>
      <w:proofErr w:type="spellEnd"/>
      <w:r>
        <w:t xml:space="preserve">, 2023, S. 277). </w:t>
      </w:r>
    </w:p>
    <w:p w14:paraId="1EBB686D" w14:textId="77777777" w:rsidR="0094606C" w:rsidRDefault="0094606C" w:rsidP="0094606C">
      <w:pPr>
        <w:pStyle w:val="Liste"/>
        <w:numPr>
          <w:ilvl w:val="0"/>
          <w:numId w:val="7"/>
        </w:numPr>
        <w:ind w:left="454" w:hanging="284"/>
        <w:jc w:val="both"/>
      </w:pPr>
      <w:r w:rsidRPr="00DC4C21">
        <w:rPr>
          <w:rStyle w:val="Hervorhebung"/>
          <w:b w:val="0"/>
          <w:i/>
          <w:iCs/>
        </w:rPr>
        <w:t>Systemisch denken und handeln</w:t>
      </w:r>
      <w:r w:rsidRPr="00DC4C21">
        <w:rPr>
          <w:bCs/>
          <w:i/>
          <w:iCs/>
        </w:rPr>
        <w:t>:</w:t>
      </w:r>
      <w:r w:rsidRPr="00DC4C21">
        <w:rPr>
          <w:bCs/>
        </w:rPr>
        <w:t xml:space="preserve"> </w:t>
      </w:r>
      <w:r>
        <w:t xml:space="preserve">Bildung findet immer in vernetzten Systemen statt und Änderungen in einem Bereich wirken sich auf das Ganze aus. SHP sollen sich dessen bewusst sein und insbesondere auch von einem systemischen Behinderungsverständnis (WHO, 2001) ausgehen. </w:t>
      </w:r>
    </w:p>
    <w:p w14:paraId="16A1DF8A" w14:textId="77777777" w:rsidR="0094606C" w:rsidRDefault="0094606C" w:rsidP="0094606C">
      <w:pPr>
        <w:pStyle w:val="Liste"/>
        <w:numPr>
          <w:ilvl w:val="0"/>
          <w:numId w:val="7"/>
        </w:numPr>
        <w:ind w:left="454" w:hanging="284"/>
        <w:jc w:val="both"/>
      </w:pPr>
      <w:r w:rsidRPr="00DC4C21">
        <w:rPr>
          <w:rStyle w:val="Hervorhebung"/>
          <w:b w:val="0"/>
          <w:i/>
          <w:iCs/>
        </w:rPr>
        <w:t>Wissenschaftsorientiert arbeiten:</w:t>
      </w:r>
      <w:r>
        <w:t xml:space="preserve"> Komplexe Bildungssituationen erfordern wissenschaftliche Methoden. Es ist beispielsweise wichtig, Lernprozesse möglichst objektiv zu beobachten und zu beschreiben sowie auf wissenschaftliche Modelle und evidenzbasierte Interventionen zurückzugreifen. </w:t>
      </w:r>
    </w:p>
    <w:p w14:paraId="5B095E9D" w14:textId="77777777" w:rsidR="0094606C" w:rsidRDefault="0094606C" w:rsidP="0094606C">
      <w:pPr>
        <w:pStyle w:val="Liste"/>
        <w:numPr>
          <w:ilvl w:val="0"/>
          <w:numId w:val="7"/>
        </w:numPr>
        <w:ind w:left="454" w:hanging="284"/>
        <w:jc w:val="both"/>
      </w:pPr>
      <w:r w:rsidRPr="00DC4C21">
        <w:rPr>
          <w:rStyle w:val="Hervorhebung"/>
          <w:b w:val="0"/>
          <w:i/>
          <w:iCs/>
        </w:rPr>
        <w:t>Das eigene Wirken reflektieren:</w:t>
      </w:r>
      <w:r w:rsidRPr="00DC4C21">
        <w:rPr>
          <w:rStyle w:val="Hervorhebung"/>
          <w:b w:val="0"/>
          <w:bCs/>
        </w:rPr>
        <w:t xml:space="preserve"> </w:t>
      </w:r>
      <w:r>
        <w:t xml:space="preserve">SHP bringen persönliches Engagement ein, was «Reife, Verantwortung, emotionale Ausgewogenheit» erfordert (Greving &amp; </w:t>
      </w:r>
      <w:proofErr w:type="spellStart"/>
      <w:r>
        <w:t>Ondracek</w:t>
      </w:r>
      <w:proofErr w:type="spellEnd"/>
      <w:r>
        <w:t>, 2023, S. 278) und regelmässige Selbstreflexion nötig macht.</w:t>
      </w:r>
    </w:p>
    <w:p w14:paraId="117F90B1" w14:textId="77777777" w:rsidR="0094606C" w:rsidRPr="00675485" w:rsidRDefault="0094606C" w:rsidP="00675485">
      <w:pPr>
        <w:pStyle w:val="Textkrper"/>
        <w:ind w:firstLine="0"/>
      </w:pPr>
      <w:r w:rsidRPr="00675485">
        <w:t xml:space="preserve">Die Puzzleteile symbolisieren die enge Verbindung der Prinzipien als nicht klar trennbare, vernetzte Einheit. </w:t>
      </w:r>
    </w:p>
    <w:p w14:paraId="28B1026D" w14:textId="77777777" w:rsidR="0094606C" w:rsidRPr="00675485" w:rsidRDefault="0094606C" w:rsidP="00675485">
      <w:pPr>
        <w:pStyle w:val="Textkrper"/>
      </w:pPr>
      <w:bookmarkStart w:id="2" w:name="heading-1"/>
      <w:r w:rsidRPr="00675485">
        <w:t>Abschliessend ist anzumerken, dass sich heilpädagogische Professionalität erst im Zusammenspiel der drei Elemente zeigt: Sie wird dann sichtbar, wenn SHP auf der Basis heilpädagogischer Prinzipien kompetent in verschiedenen Tätigkeitsfeldern agieren, um in Situationen besonderen Bildungsbedarfs ganzheitliche Bildung zu ermöglichen</w:t>
      </w:r>
      <w:bookmarkEnd w:id="2"/>
      <w:r w:rsidRPr="00675485">
        <w:t>.</w:t>
      </w:r>
    </w:p>
    <w:tbl>
      <w:tblPr>
        <w:tblStyle w:val="Tabellenraster"/>
        <w:tblW w:w="1563"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6"/>
      </w:tblGrid>
      <w:tr w:rsidR="0094606C" w14:paraId="6903C0E9" w14:textId="77777777" w:rsidTr="00A7562E">
        <w:tc>
          <w:tcPr>
            <w:tcW w:w="5000" w:type="pct"/>
            <w:vAlign w:val="center"/>
            <w:hideMark/>
          </w:tcPr>
          <w:p w14:paraId="29B6E88A" w14:textId="56A71C3B" w:rsidR="0094606C" w:rsidRDefault="0094606C">
            <w:pPr>
              <w:pStyle w:val="Textkrper"/>
              <w:ind w:firstLine="0"/>
              <w:rPr>
                <w:lang w:val="fr-CH"/>
              </w:rPr>
            </w:pPr>
            <w:r>
              <w:rPr>
                <w:noProof/>
                <w:lang w:val="en-US"/>
              </w:rPr>
              <w:drawing>
                <wp:inline distT="0" distB="0" distL="0" distR="0" wp14:anchorId="17C3976B" wp14:editId="277D3802">
                  <wp:extent cx="1037590" cy="1037590"/>
                  <wp:effectExtent l="0" t="0" r="0" b="0"/>
                  <wp:docPr id="456205995" name="Grafik 5" descr="Ein Bild, das Menschliches Gesicht, Lächeln, Person, Porträ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6205995" name="Grafik 5" descr="Ein Bild, das Menschliches Gesicht, Lächeln, Person, Porträt enthält.&#10;&#10;Automatisch generierte Beschreibu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037590" cy="1037590"/>
                          </a:xfrm>
                          <a:prstGeom prst="rect">
                            <a:avLst/>
                          </a:prstGeom>
                          <a:noFill/>
                          <a:ln>
                            <a:noFill/>
                          </a:ln>
                        </pic:spPr>
                      </pic:pic>
                    </a:graphicData>
                  </a:graphic>
                </wp:inline>
              </w:drawing>
            </w:r>
          </w:p>
        </w:tc>
      </w:tr>
      <w:tr w:rsidR="0094606C" w14:paraId="04752ED2" w14:textId="77777777" w:rsidTr="00A7562E">
        <w:trPr>
          <w:trHeight w:val="960"/>
        </w:trPr>
        <w:tc>
          <w:tcPr>
            <w:tcW w:w="5000" w:type="pct"/>
            <w:hideMark/>
          </w:tcPr>
          <w:p w14:paraId="500C8F1F" w14:textId="77777777" w:rsidR="0094606C" w:rsidRPr="0094606C" w:rsidRDefault="0094606C">
            <w:pPr>
              <w:pStyle w:val="Textkrper3"/>
            </w:pPr>
            <w:r w:rsidRPr="0094606C">
              <w:t>Thomas Müller</w:t>
            </w:r>
            <w:r w:rsidRPr="0094606C">
              <w:br/>
              <w:t>Co-Leiter Masterstudiengang Schulische Heilpädagogik</w:t>
            </w:r>
          </w:p>
          <w:p w14:paraId="0CDB885C" w14:textId="77777777" w:rsidR="0094606C" w:rsidRPr="0094606C" w:rsidRDefault="0094606C">
            <w:pPr>
              <w:pStyle w:val="Textkrper3"/>
            </w:pPr>
            <w:r w:rsidRPr="0094606C">
              <w:t>Pädagogische Hochschule Luzern</w:t>
            </w:r>
          </w:p>
          <w:p w14:paraId="5D0ADAB5" w14:textId="73B6BF2B" w:rsidR="0094606C" w:rsidRPr="0094606C" w:rsidRDefault="0094606C" w:rsidP="006461D6">
            <w:pPr>
              <w:pStyle w:val="Literaturverzeichnis"/>
              <w:jc w:val="both"/>
            </w:pPr>
            <w:hyperlink r:id="rId16" w:history="1">
              <w:r w:rsidRPr="006461D6">
                <w:rPr>
                  <w:rStyle w:val="Hyperlink"/>
                  <w:rFonts w:asciiTheme="minorHAnsi" w:hAnsiTheme="minorHAnsi" w:cstheme="minorHAnsi"/>
                  <w:spacing w:val="0"/>
                  <w:lang w:val="de-DE"/>
                </w:rPr>
                <w:t>thomas.mueller@phlu.ch</w:t>
              </w:r>
            </w:hyperlink>
          </w:p>
        </w:tc>
      </w:tr>
    </w:tbl>
    <w:p w14:paraId="1E91D255" w14:textId="77777777" w:rsidR="0094606C" w:rsidRDefault="0094606C" w:rsidP="0094606C">
      <w:pPr>
        <w:pStyle w:val="berschrift1"/>
      </w:pPr>
      <w:r>
        <w:t xml:space="preserve">Literatur </w:t>
      </w:r>
    </w:p>
    <w:p w14:paraId="5B3EC884" w14:textId="6A8FF16F" w:rsidR="0094606C" w:rsidRDefault="0094606C" w:rsidP="0094606C">
      <w:pPr>
        <w:pStyle w:val="Literaturverzeichnis"/>
        <w:jc w:val="both"/>
        <w:rPr>
          <w:rFonts w:asciiTheme="minorHAnsi" w:hAnsiTheme="minorHAnsi" w:cstheme="minorHAnsi"/>
        </w:rPr>
      </w:pPr>
      <w:bookmarkStart w:id="3" w:name="_CTVL0015e3a86a48a46498cb3261f91ff07e723"/>
      <w:r>
        <w:rPr>
          <w:rFonts w:asciiTheme="minorHAnsi" w:hAnsiTheme="minorHAnsi" w:cstheme="minorHAnsi"/>
        </w:rPr>
        <w:t>Bernhard,</w:t>
      </w:r>
      <w:r w:rsidR="00CB0750">
        <w:rPr>
          <w:rFonts w:asciiTheme="minorHAnsi" w:hAnsiTheme="minorHAnsi" w:cstheme="minorHAnsi"/>
        </w:rPr>
        <w:t xml:space="preserve"> </w:t>
      </w:r>
      <w:r>
        <w:rPr>
          <w:rFonts w:asciiTheme="minorHAnsi" w:hAnsiTheme="minorHAnsi" w:cstheme="minorHAnsi"/>
        </w:rPr>
        <w:t xml:space="preserve">S. &amp; </w:t>
      </w:r>
      <w:proofErr w:type="spellStart"/>
      <w:r>
        <w:rPr>
          <w:rFonts w:asciiTheme="minorHAnsi" w:hAnsiTheme="minorHAnsi" w:cstheme="minorHAnsi"/>
        </w:rPr>
        <w:t>Coradi</w:t>
      </w:r>
      <w:proofErr w:type="spellEnd"/>
      <w:r>
        <w:rPr>
          <w:rFonts w:asciiTheme="minorHAnsi" w:hAnsiTheme="minorHAnsi" w:cstheme="minorHAnsi"/>
        </w:rPr>
        <w:t>,</w:t>
      </w:r>
      <w:r w:rsidR="00CB0750">
        <w:rPr>
          <w:rFonts w:asciiTheme="minorHAnsi" w:hAnsiTheme="minorHAnsi" w:cstheme="minorHAnsi"/>
        </w:rPr>
        <w:t xml:space="preserve"> </w:t>
      </w:r>
      <w:r>
        <w:rPr>
          <w:rFonts w:asciiTheme="minorHAnsi" w:hAnsiTheme="minorHAnsi" w:cstheme="minorHAnsi"/>
        </w:rPr>
        <w:t>U. (2005). Das Berufsbild für die Schulische Heilpädagogin und den Schulischen Heilpädagogen. Fachpersonen für Heterogenität und Integration.</w:t>
      </w:r>
      <w:bookmarkEnd w:id="3"/>
      <w:r>
        <w:rPr>
          <w:rFonts w:asciiTheme="minorHAnsi" w:hAnsiTheme="minorHAnsi" w:cstheme="minorHAnsi"/>
        </w:rPr>
        <w:t xml:space="preserve"> </w:t>
      </w:r>
      <w:r>
        <w:rPr>
          <w:rFonts w:asciiTheme="minorHAnsi" w:hAnsiTheme="minorHAnsi" w:cstheme="minorHAnsi"/>
          <w:i/>
        </w:rPr>
        <w:t>Schweizerische Zeitschrift für Heilpädagogik</w:t>
      </w:r>
      <w:r>
        <w:rPr>
          <w:rFonts w:asciiTheme="minorHAnsi" w:hAnsiTheme="minorHAnsi" w:cstheme="minorHAnsi"/>
        </w:rPr>
        <w:t xml:space="preserve">, </w:t>
      </w:r>
      <w:r>
        <w:rPr>
          <w:rFonts w:asciiTheme="minorHAnsi" w:hAnsiTheme="minorHAnsi" w:cstheme="minorHAnsi"/>
          <w:i/>
        </w:rPr>
        <w:t>11 </w:t>
      </w:r>
      <w:r>
        <w:rPr>
          <w:rFonts w:asciiTheme="minorHAnsi" w:hAnsiTheme="minorHAnsi" w:cstheme="minorHAnsi"/>
        </w:rPr>
        <w:t>(1), 21–26.</w:t>
      </w:r>
    </w:p>
    <w:p w14:paraId="129F4E4A" w14:textId="1610CBB0" w:rsidR="0094606C" w:rsidRDefault="0094606C" w:rsidP="0094606C">
      <w:pPr>
        <w:pStyle w:val="Literaturverzeichnis"/>
        <w:jc w:val="both"/>
        <w:rPr>
          <w:rFonts w:asciiTheme="minorHAnsi" w:hAnsiTheme="minorHAnsi" w:cstheme="minorHAnsi"/>
        </w:rPr>
      </w:pPr>
      <w:bookmarkStart w:id="4" w:name="_CTVL001470bd0dc6af2472daae915853c94c905"/>
      <w:r>
        <w:rPr>
          <w:rFonts w:asciiTheme="minorHAnsi" w:hAnsiTheme="minorHAnsi" w:cstheme="minorHAnsi"/>
        </w:rPr>
        <w:t>Biewer,</w:t>
      </w:r>
      <w:r w:rsidR="00CB0750">
        <w:rPr>
          <w:rFonts w:asciiTheme="minorHAnsi" w:hAnsiTheme="minorHAnsi" w:cstheme="minorHAnsi"/>
        </w:rPr>
        <w:t xml:space="preserve"> </w:t>
      </w:r>
      <w:r>
        <w:rPr>
          <w:rFonts w:asciiTheme="minorHAnsi" w:hAnsiTheme="minorHAnsi" w:cstheme="minorHAnsi"/>
        </w:rPr>
        <w:t>G. (2017).</w:t>
      </w:r>
      <w:bookmarkEnd w:id="4"/>
      <w:r>
        <w:rPr>
          <w:rFonts w:asciiTheme="minorHAnsi" w:hAnsiTheme="minorHAnsi" w:cstheme="minorHAnsi"/>
        </w:rPr>
        <w:t xml:space="preserve"> </w:t>
      </w:r>
      <w:r>
        <w:rPr>
          <w:rFonts w:asciiTheme="minorHAnsi" w:hAnsiTheme="minorHAnsi" w:cstheme="minorHAnsi"/>
          <w:i/>
        </w:rPr>
        <w:t xml:space="preserve">Grundlagen der Heilpädagogik und Inklusiven Pädagogik </w:t>
      </w:r>
      <w:r>
        <w:rPr>
          <w:rFonts w:asciiTheme="minorHAnsi" w:hAnsiTheme="minorHAnsi" w:cstheme="minorHAnsi"/>
        </w:rPr>
        <w:t xml:space="preserve">(3., </w:t>
      </w:r>
      <w:proofErr w:type="spellStart"/>
      <w:r>
        <w:rPr>
          <w:rFonts w:asciiTheme="minorHAnsi" w:hAnsiTheme="minorHAnsi" w:cstheme="minorHAnsi"/>
        </w:rPr>
        <w:t>überarb</w:t>
      </w:r>
      <w:proofErr w:type="spellEnd"/>
      <w:r>
        <w:rPr>
          <w:rFonts w:asciiTheme="minorHAnsi" w:hAnsiTheme="minorHAnsi" w:cstheme="minorHAnsi"/>
        </w:rPr>
        <w:t xml:space="preserve">. und </w:t>
      </w:r>
      <w:proofErr w:type="spellStart"/>
      <w:r>
        <w:rPr>
          <w:rFonts w:asciiTheme="minorHAnsi" w:hAnsiTheme="minorHAnsi" w:cstheme="minorHAnsi"/>
        </w:rPr>
        <w:t>erw</w:t>
      </w:r>
      <w:proofErr w:type="spellEnd"/>
      <w:r>
        <w:rPr>
          <w:rFonts w:asciiTheme="minorHAnsi" w:hAnsiTheme="minorHAnsi" w:cstheme="minorHAnsi"/>
        </w:rPr>
        <w:t>. Aufl.). Klinkhardt.</w:t>
      </w:r>
    </w:p>
    <w:p w14:paraId="2B2F83CE" w14:textId="77777777" w:rsidR="006461D6" w:rsidRPr="005069A5" w:rsidRDefault="006461D6" w:rsidP="006461D6">
      <w:pPr>
        <w:pStyle w:val="Literaturverzeichnis"/>
        <w:jc w:val="both"/>
      </w:pPr>
      <w:bookmarkStart w:id="5" w:name="_CTVL001199d9d3f6a7143129058bad8a9582ae4"/>
      <w:bookmarkStart w:id="6" w:name="_CTVL001a531dacff450452a8324789f96d41147"/>
      <w:r w:rsidRPr="005069A5">
        <w:t xml:space="preserve">Bundesgesetz über die Beseitigung der Benachteiligungen von Menschen mit Behinderungen (Behindertengleichstellungsgesetz, </w:t>
      </w:r>
      <w:proofErr w:type="spellStart"/>
      <w:r w:rsidRPr="005069A5">
        <w:t>BehiG</w:t>
      </w:r>
      <w:proofErr w:type="spellEnd"/>
      <w:r w:rsidRPr="005069A5">
        <w:t>) vom 13.</w:t>
      </w:r>
      <w:r>
        <w:t> </w:t>
      </w:r>
      <w:r w:rsidRPr="005069A5">
        <w:t>Dezember 2002,</w:t>
      </w:r>
      <w:r>
        <w:t xml:space="preserve"> in Kraft seit dem 01. Januar 2004, SR </w:t>
      </w:r>
      <w:r w:rsidRPr="005069A5">
        <w:t>151.3.</w:t>
      </w:r>
    </w:p>
    <w:p w14:paraId="510EF333" w14:textId="1A8673DD" w:rsidR="00D41370" w:rsidRDefault="00D41370" w:rsidP="00256658">
      <w:pPr>
        <w:pStyle w:val="Literaturverzeichnis"/>
        <w:jc w:val="both"/>
        <w:rPr>
          <w:rFonts w:asciiTheme="minorHAnsi" w:hAnsiTheme="minorHAnsi" w:cstheme="minorHAnsi"/>
        </w:rPr>
      </w:pPr>
      <w:r w:rsidRPr="005069A5">
        <w:t>Bundesverfassung der Schweizerischen Eidgenossenschaft (BV) vom 18. April 1999, SR</w:t>
      </w:r>
      <w:r>
        <w:rPr>
          <w:rFonts w:cs="Arial"/>
          <w:lang w:val="de-DE"/>
        </w:rPr>
        <w:t xml:space="preserve"> </w:t>
      </w:r>
      <w:r w:rsidRPr="005069A5">
        <w:t>101.</w:t>
      </w:r>
    </w:p>
    <w:p w14:paraId="740E6A16" w14:textId="74894452" w:rsidR="00256658" w:rsidRDefault="00256658" w:rsidP="00256658">
      <w:pPr>
        <w:pStyle w:val="Literaturverzeichnis"/>
        <w:jc w:val="both"/>
        <w:rPr>
          <w:rFonts w:asciiTheme="minorHAnsi" w:hAnsiTheme="minorHAnsi" w:cstheme="minorHAnsi"/>
        </w:rPr>
      </w:pPr>
      <w:r>
        <w:rPr>
          <w:rFonts w:asciiTheme="minorHAnsi" w:hAnsiTheme="minorHAnsi" w:cstheme="minorHAnsi"/>
        </w:rPr>
        <w:t>EDK (2007).</w:t>
      </w:r>
      <w:bookmarkEnd w:id="5"/>
      <w:r>
        <w:rPr>
          <w:rFonts w:asciiTheme="minorHAnsi" w:hAnsiTheme="minorHAnsi" w:cstheme="minorHAnsi"/>
        </w:rPr>
        <w:t xml:space="preserve"> </w:t>
      </w:r>
      <w:r>
        <w:rPr>
          <w:rFonts w:asciiTheme="minorHAnsi" w:hAnsiTheme="minorHAnsi" w:cstheme="minorHAnsi"/>
          <w:i/>
        </w:rPr>
        <w:t xml:space="preserve">Einheitliche Terminologie für den Bereich der Sonderpädagogik von der EDK am 25. Oktober 2007 verabschiedet gemäss der Interkantonalen Vereinbarung über die Zusammenarbeit im Bereich der Sonderpädagogik. </w:t>
      </w:r>
      <w:r>
        <w:rPr>
          <w:rFonts w:asciiTheme="minorHAnsi" w:hAnsiTheme="minorHAnsi" w:cstheme="minorHAnsi"/>
        </w:rPr>
        <w:t xml:space="preserve">Schweizerische Konferenz der kantonalen Erziehungsdirektoren. </w:t>
      </w:r>
      <w:hyperlink r:id="rId17" w:history="1">
        <w:r w:rsidRPr="00DF153A">
          <w:rPr>
            <w:rStyle w:val="Hyperlink"/>
            <w:rFonts w:asciiTheme="minorHAnsi" w:hAnsiTheme="minorHAnsi" w:cstheme="minorHAnsi"/>
            <w:spacing w:val="0"/>
            <w:lang w:val="de-DE"/>
          </w:rPr>
          <w:t>https://edudoc.ch/record/25914/files/Terminologie_d.pdf</w:t>
        </w:r>
      </w:hyperlink>
    </w:p>
    <w:p w14:paraId="6808C234" w14:textId="060F17ED" w:rsidR="00256658" w:rsidRDefault="00256658" w:rsidP="00256658">
      <w:pPr>
        <w:pStyle w:val="Literaturverzeichnis"/>
        <w:jc w:val="both"/>
        <w:rPr>
          <w:rFonts w:asciiTheme="minorHAnsi" w:hAnsiTheme="minorHAnsi" w:cstheme="minorHAnsi"/>
        </w:rPr>
      </w:pPr>
      <w:bookmarkStart w:id="7" w:name="_CTVL0010cc3295843c944dbbd2b2c37e7b425c8"/>
      <w:r>
        <w:rPr>
          <w:rFonts w:asciiTheme="minorHAnsi" w:hAnsiTheme="minorHAnsi" w:cstheme="minorHAnsi"/>
        </w:rPr>
        <w:t>EDK (2021).</w:t>
      </w:r>
      <w:bookmarkEnd w:id="7"/>
      <w:r>
        <w:rPr>
          <w:rFonts w:asciiTheme="minorHAnsi" w:hAnsiTheme="minorHAnsi" w:cstheme="minorHAnsi"/>
        </w:rPr>
        <w:t xml:space="preserve"> </w:t>
      </w:r>
      <w:r>
        <w:rPr>
          <w:rFonts w:asciiTheme="minorHAnsi" w:hAnsiTheme="minorHAnsi" w:cstheme="minorHAnsi"/>
          <w:i/>
        </w:rPr>
        <w:t xml:space="preserve">Terminologische Handreichung für künftige Rechtssetzungsprojekte im Bereich der Sonderpädagogik von der EDK am 25. März 2021 verabschiedet. </w:t>
      </w:r>
      <w:r>
        <w:rPr>
          <w:rFonts w:asciiTheme="minorHAnsi" w:hAnsiTheme="minorHAnsi" w:cstheme="minorHAnsi"/>
        </w:rPr>
        <w:t xml:space="preserve">Schweizerische Konferenz der kantonalen Erziehungsdirektoren. </w:t>
      </w:r>
      <w:hyperlink r:id="rId18" w:history="1">
        <w:r w:rsidRPr="00DF153A">
          <w:rPr>
            <w:rStyle w:val="Hyperlink"/>
            <w:rFonts w:asciiTheme="minorHAnsi" w:hAnsiTheme="minorHAnsi" w:cstheme="minorHAnsi"/>
            <w:spacing w:val="0"/>
            <w:lang w:val="de-DE"/>
          </w:rPr>
          <w:t>https://edudoc.ch/record/217614/files/Terminologie_sonderpaed_de.pdf</w:t>
        </w:r>
      </w:hyperlink>
    </w:p>
    <w:p w14:paraId="330F3A9B" w14:textId="36CF0308" w:rsidR="00256658" w:rsidRDefault="00256658" w:rsidP="001E2EB4">
      <w:pPr>
        <w:pStyle w:val="Literaturverzeichnis"/>
        <w:jc w:val="both"/>
        <w:rPr>
          <w:rFonts w:asciiTheme="minorHAnsi" w:hAnsiTheme="minorHAnsi" w:cstheme="minorHAnsi"/>
        </w:rPr>
      </w:pPr>
      <w:bookmarkStart w:id="8" w:name="_CTVL00155fe31c3a7624750ba0e92a9d09bf5e5"/>
      <w:r>
        <w:rPr>
          <w:rFonts w:asciiTheme="minorHAnsi" w:hAnsiTheme="minorHAnsi" w:cstheme="minorHAnsi"/>
        </w:rPr>
        <w:t>EDK (2023).</w:t>
      </w:r>
      <w:bookmarkEnd w:id="8"/>
      <w:r>
        <w:rPr>
          <w:rFonts w:asciiTheme="minorHAnsi" w:hAnsiTheme="minorHAnsi" w:cstheme="minorHAnsi"/>
        </w:rPr>
        <w:t xml:space="preserve"> </w:t>
      </w:r>
      <w:r>
        <w:rPr>
          <w:rFonts w:asciiTheme="minorHAnsi" w:hAnsiTheme="minorHAnsi" w:cstheme="minorHAnsi"/>
          <w:i/>
        </w:rPr>
        <w:t>Reglement über die Anerkennung der Diplome im Bereich der Sonderpädagogik (Vertiefungsrichtung Heilpädagogische Früherziehung und Vertiefungsrichtung Schulische Heilpädagogik)</w:t>
      </w:r>
      <w:r>
        <w:rPr>
          <w:rFonts w:asciiTheme="minorHAnsi" w:hAnsiTheme="minorHAnsi" w:cstheme="minorHAnsi"/>
        </w:rPr>
        <w:t xml:space="preserve">. </w:t>
      </w:r>
      <w:r w:rsidR="001E2EB4" w:rsidRPr="001E2EB4">
        <w:rPr>
          <w:rFonts w:asciiTheme="minorHAnsi" w:hAnsiTheme="minorHAnsi" w:cstheme="minorHAnsi"/>
        </w:rPr>
        <w:t>Konferenz der kantonalen Erziehungsdirektorinnen und</w:t>
      </w:r>
      <w:r w:rsidR="001E2EB4">
        <w:rPr>
          <w:rFonts w:asciiTheme="minorHAnsi" w:hAnsiTheme="minorHAnsi" w:cstheme="minorHAnsi"/>
        </w:rPr>
        <w:t xml:space="preserve"> </w:t>
      </w:r>
      <w:r w:rsidR="001E2EB4" w:rsidRPr="001E2EB4">
        <w:rPr>
          <w:rFonts w:asciiTheme="minorHAnsi" w:hAnsiTheme="minorHAnsi" w:cstheme="minorHAnsi"/>
        </w:rPr>
        <w:t>-direktoren</w:t>
      </w:r>
      <w:r w:rsidR="001E2EB4">
        <w:rPr>
          <w:rFonts w:asciiTheme="minorHAnsi" w:hAnsiTheme="minorHAnsi" w:cstheme="minorHAnsi"/>
        </w:rPr>
        <w:t xml:space="preserve">. </w:t>
      </w:r>
      <w:hyperlink r:id="rId19" w:history="1">
        <w:r w:rsidR="001E2EB4" w:rsidRPr="00424E80">
          <w:rPr>
            <w:rStyle w:val="Hyperlink"/>
            <w:rFonts w:asciiTheme="minorHAnsi" w:hAnsiTheme="minorHAnsi" w:cstheme="minorHAnsi"/>
            <w:spacing w:val="0"/>
            <w:lang w:val="de-DE"/>
          </w:rPr>
          <w:t>https://edudoc.ch/nanna/record/226446/files/Reglement_SHP-HFE_d.pdf</w:t>
        </w:r>
      </w:hyperlink>
    </w:p>
    <w:p w14:paraId="412410BB" w14:textId="62F63CDE" w:rsidR="0094606C" w:rsidRDefault="0094606C" w:rsidP="0094606C">
      <w:pPr>
        <w:pStyle w:val="Literaturverzeichnis"/>
        <w:jc w:val="both"/>
        <w:rPr>
          <w:rFonts w:asciiTheme="minorHAnsi" w:hAnsiTheme="minorHAnsi" w:cstheme="minorHAnsi"/>
        </w:rPr>
      </w:pPr>
      <w:r>
        <w:rPr>
          <w:rFonts w:asciiTheme="minorHAnsi" w:hAnsiTheme="minorHAnsi" w:cstheme="minorHAnsi"/>
        </w:rPr>
        <w:t>Greving,</w:t>
      </w:r>
      <w:r w:rsidR="00CB0750">
        <w:rPr>
          <w:rFonts w:asciiTheme="minorHAnsi" w:hAnsiTheme="minorHAnsi" w:cstheme="minorHAnsi"/>
        </w:rPr>
        <w:t xml:space="preserve"> </w:t>
      </w:r>
      <w:r>
        <w:rPr>
          <w:rFonts w:asciiTheme="minorHAnsi" w:hAnsiTheme="minorHAnsi" w:cstheme="minorHAnsi"/>
        </w:rPr>
        <w:t xml:space="preserve">H. &amp; </w:t>
      </w:r>
      <w:proofErr w:type="spellStart"/>
      <w:r>
        <w:rPr>
          <w:rFonts w:asciiTheme="minorHAnsi" w:hAnsiTheme="minorHAnsi" w:cstheme="minorHAnsi"/>
        </w:rPr>
        <w:t>Ondracek</w:t>
      </w:r>
      <w:proofErr w:type="spellEnd"/>
      <w:r>
        <w:rPr>
          <w:rFonts w:asciiTheme="minorHAnsi" w:hAnsiTheme="minorHAnsi" w:cstheme="minorHAnsi"/>
        </w:rPr>
        <w:t>,</w:t>
      </w:r>
      <w:r w:rsidR="00CB0750">
        <w:rPr>
          <w:rFonts w:asciiTheme="minorHAnsi" w:hAnsiTheme="minorHAnsi" w:cstheme="minorHAnsi"/>
        </w:rPr>
        <w:t xml:space="preserve"> </w:t>
      </w:r>
      <w:r>
        <w:rPr>
          <w:rFonts w:asciiTheme="minorHAnsi" w:hAnsiTheme="minorHAnsi" w:cstheme="minorHAnsi"/>
        </w:rPr>
        <w:t>P. (2023).</w:t>
      </w:r>
      <w:bookmarkEnd w:id="6"/>
      <w:r>
        <w:rPr>
          <w:rFonts w:asciiTheme="minorHAnsi" w:hAnsiTheme="minorHAnsi" w:cstheme="minorHAnsi"/>
        </w:rPr>
        <w:t xml:space="preserve"> </w:t>
      </w:r>
      <w:r>
        <w:rPr>
          <w:rFonts w:asciiTheme="minorHAnsi" w:hAnsiTheme="minorHAnsi" w:cstheme="minorHAnsi"/>
          <w:i/>
        </w:rPr>
        <w:t xml:space="preserve">Handbuch Heilpädagogik </w:t>
      </w:r>
      <w:r>
        <w:rPr>
          <w:rFonts w:asciiTheme="minorHAnsi" w:hAnsiTheme="minorHAnsi" w:cstheme="minorHAnsi"/>
        </w:rPr>
        <w:t>(4. Aufl.). Westermann.</w:t>
      </w:r>
    </w:p>
    <w:p w14:paraId="1FA2B492" w14:textId="19597C85" w:rsidR="0094606C" w:rsidRDefault="0094606C" w:rsidP="0094606C">
      <w:pPr>
        <w:pStyle w:val="Literaturverzeichnis"/>
        <w:jc w:val="both"/>
        <w:rPr>
          <w:rFonts w:asciiTheme="minorHAnsi" w:hAnsiTheme="minorHAnsi" w:cstheme="minorHAnsi"/>
        </w:rPr>
      </w:pPr>
      <w:bookmarkStart w:id="9" w:name="_CTVL00174b89aed5731462883929d5aacb337f9"/>
      <w:proofErr w:type="spellStart"/>
      <w:r>
        <w:rPr>
          <w:rFonts w:asciiTheme="minorHAnsi" w:hAnsiTheme="minorHAnsi" w:cstheme="minorHAnsi"/>
        </w:rPr>
        <w:lastRenderedPageBreak/>
        <w:t>Haeberlin</w:t>
      </w:r>
      <w:proofErr w:type="spellEnd"/>
      <w:r>
        <w:rPr>
          <w:rFonts w:asciiTheme="minorHAnsi" w:hAnsiTheme="minorHAnsi" w:cstheme="minorHAnsi"/>
        </w:rPr>
        <w:t>,</w:t>
      </w:r>
      <w:r w:rsidR="00CB0750">
        <w:rPr>
          <w:rFonts w:asciiTheme="minorHAnsi" w:hAnsiTheme="minorHAnsi" w:cstheme="minorHAnsi"/>
        </w:rPr>
        <w:t xml:space="preserve"> </w:t>
      </w:r>
      <w:r>
        <w:rPr>
          <w:rFonts w:asciiTheme="minorHAnsi" w:hAnsiTheme="minorHAnsi" w:cstheme="minorHAnsi"/>
        </w:rPr>
        <w:t>U. (1996).</w:t>
      </w:r>
      <w:bookmarkEnd w:id="9"/>
      <w:r>
        <w:rPr>
          <w:rFonts w:asciiTheme="minorHAnsi" w:hAnsiTheme="minorHAnsi" w:cstheme="minorHAnsi"/>
        </w:rPr>
        <w:t xml:space="preserve"> </w:t>
      </w:r>
      <w:r>
        <w:rPr>
          <w:rFonts w:asciiTheme="minorHAnsi" w:hAnsiTheme="minorHAnsi" w:cstheme="minorHAnsi"/>
          <w:i/>
        </w:rPr>
        <w:t xml:space="preserve">Heilpädagogik als wertgeleitete Wissenschaft. Ein propädeutisches Einführungsbuch in Grundfragen einer Pädagogik für Benachteiligte and Ausgegrenzte </w:t>
      </w:r>
      <w:r>
        <w:rPr>
          <w:rFonts w:asciiTheme="minorHAnsi" w:hAnsiTheme="minorHAnsi" w:cstheme="minorHAnsi"/>
        </w:rPr>
        <w:t>(Beiträge zur Heil- und Sonderpädagogik, Bd. 20). Haupt.</w:t>
      </w:r>
    </w:p>
    <w:p w14:paraId="3FF60853" w14:textId="11D0A9CD" w:rsidR="0094606C" w:rsidRDefault="0094606C" w:rsidP="0094606C">
      <w:pPr>
        <w:pStyle w:val="Literaturverzeichnis"/>
        <w:jc w:val="both"/>
        <w:rPr>
          <w:rFonts w:asciiTheme="minorHAnsi" w:hAnsiTheme="minorHAnsi" w:cstheme="minorHAnsi"/>
        </w:rPr>
      </w:pPr>
      <w:bookmarkStart w:id="10" w:name="_CTVL001b6182bef62a54cb78a4704f73ccb592c"/>
      <w:r>
        <w:rPr>
          <w:rFonts w:asciiTheme="minorHAnsi" w:hAnsiTheme="minorHAnsi" w:cstheme="minorHAnsi"/>
        </w:rPr>
        <w:t>Hedderich,</w:t>
      </w:r>
      <w:r w:rsidR="00CB0750">
        <w:rPr>
          <w:rFonts w:asciiTheme="minorHAnsi" w:hAnsiTheme="minorHAnsi" w:cstheme="minorHAnsi"/>
        </w:rPr>
        <w:t xml:space="preserve"> </w:t>
      </w:r>
      <w:r>
        <w:rPr>
          <w:rFonts w:asciiTheme="minorHAnsi" w:hAnsiTheme="minorHAnsi" w:cstheme="minorHAnsi"/>
        </w:rPr>
        <w:t>I., Biewer,</w:t>
      </w:r>
      <w:r w:rsidR="00CB0750">
        <w:rPr>
          <w:rFonts w:asciiTheme="minorHAnsi" w:hAnsiTheme="minorHAnsi" w:cstheme="minorHAnsi"/>
        </w:rPr>
        <w:t xml:space="preserve"> </w:t>
      </w:r>
      <w:r>
        <w:rPr>
          <w:rFonts w:asciiTheme="minorHAnsi" w:hAnsiTheme="minorHAnsi" w:cstheme="minorHAnsi"/>
        </w:rPr>
        <w:t>G., Hollenweger,</w:t>
      </w:r>
      <w:r w:rsidR="00CB0750">
        <w:rPr>
          <w:rFonts w:asciiTheme="minorHAnsi" w:hAnsiTheme="minorHAnsi" w:cstheme="minorHAnsi"/>
        </w:rPr>
        <w:t xml:space="preserve"> </w:t>
      </w:r>
      <w:r>
        <w:rPr>
          <w:rFonts w:asciiTheme="minorHAnsi" w:hAnsiTheme="minorHAnsi" w:cstheme="minorHAnsi"/>
        </w:rPr>
        <w:t>J. &amp; Markowetz,</w:t>
      </w:r>
      <w:r w:rsidR="00CB0750">
        <w:rPr>
          <w:rFonts w:asciiTheme="minorHAnsi" w:hAnsiTheme="minorHAnsi" w:cstheme="minorHAnsi"/>
        </w:rPr>
        <w:t xml:space="preserve"> </w:t>
      </w:r>
      <w:r>
        <w:rPr>
          <w:rFonts w:asciiTheme="minorHAnsi" w:hAnsiTheme="minorHAnsi" w:cstheme="minorHAnsi"/>
        </w:rPr>
        <w:t>R. (Hrsg.) (2022).</w:t>
      </w:r>
      <w:bookmarkEnd w:id="10"/>
      <w:r>
        <w:rPr>
          <w:rFonts w:asciiTheme="minorHAnsi" w:hAnsiTheme="minorHAnsi" w:cstheme="minorHAnsi"/>
        </w:rPr>
        <w:t xml:space="preserve"> </w:t>
      </w:r>
      <w:r>
        <w:rPr>
          <w:rFonts w:asciiTheme="minorHAnsi" w:hAnsiTheme="minorHAnsi" w:cstheme="minorHAnsi"/>
          <w:i/>
        </w:rPr>
        <w:t xml:space="preserve">Handbuch Inklusion und Sonderpädagogik. Eine Einführung </w:t>
      </w:r>
      <w:r>
        <w:rPr>
          <w:rFonts w:asciiTheme="minorHAnsi" w:hAnsiTheme="minorHAnsi" w:cstheme="minorHAnsi"/>
        </w:rPr>
        <w:t xml:space="preserve">(2., aktual. und </w:t>
      </w:r>
      <w:proofErr w:type="spellStart"/>
      <w:r>
        <w:rPr>
          <w:rFonts w:asciiTheme="minorHAnsi" w:hAnsiTheme="minorHAnsi" w:cstheme="minorHAnsi"/>
        </w:rPr>
        <w:t>erw</w:t>
      </w:r>
      <w:proofErr w:type="spellEnd"/>
      <w:r>
        <w:rPr>
          <w:rFonts w:asciiTheme="minorHAnsi" w:hAnsiTheme="minorHAnsi" w:cstheme="minorHAnsi"/>
        </w:rPr>
        <w:t>. Aufl.). Klinkhardt.</w:t>
      </w:r>
    </w:p>
    <w:p w14:paraId="5CAA3656" w14:textId="38360665" w:rsidR="0094606C" w:rsidRDefault="0094606C" w:rsidP="0094606C">
      <w:pPr>
        <w:pStyle w:val="Literaturverzeichnis"/>
        <w:jc w:val="both"/>
        <w:rPr>
          <w:rFonts w:asciiTheme="minorHAnsi" w:hAnsiTheme="minorHAnsi" w:cstheme="minorHAnsi"/>
        </w:rPr>
      </w:pPr>
      <w:bookmarkStart w:id="11" w:name="_CTVL001f44fd35d895540ed93602781b6505586"/>
      <w:r>
        <w:rPr>
          <w:rFonts w:asciiTheme="minorHAnsi" w:hAnsiTheme="minorHAnsi" w:cstheme="minorHAnsi"/>
        </w:rPr>
        <w:t>Joller-Graf,</w:t>
      </w:r>
      <w:r w:rsidR="00CB0750">
        <w:rPr>
          <w:rFonts w:asciiTheme="minorHAnsi" w:hAnsiTheme="minorHAnsi" w:cstheme="minorHAnsi"/>
        </w:rPr>
        <w:t xml:space="preserve"> </w:t>
      </w:r>
      <w:r>
        <w:rPr>
          <w:rFonts w:asciiTheme="minorHAnsi" w:hAnsiTheme="minorHAnsi" w:cstheme="minorHAnsi"/>
        </w:rPr>
        <w:t>K. &amp; Sturny-Bossart,</w:t>
      </w:r>
      <w:r w:rsidR="00CB0750">
        <w:rPr>
          <w:rFonts w:asciiTheme="minorHAnsi" w:hAnsiTheme="minorHAnsi" w:cstheme="minorHAnsi"/>
        </w:rPr>
        <w:t xml:space="preserve"> </w:t>
      </w:r>
      <w:r>
        <w:rPr>
          <w:rFonts w:asciiTheme="minorHAnsi" w:hAnsiTheme="minorHAnsi" w:cstheme="minorHAnsi"/>
        </w:rPr>
        <w:t>G. (2010). Welche Kompetenzen sollen Schulische Heilpädagoginnen und Heilpädagogen in ihrer Ausbildung erwerben?</w:t>
      </w:r>
      <w:bookmarkEnd w:id="11"/>
      <w:r>
        <w:rPr>
          <w:rFonts w:asciiTheme="minorHAnsi" w:hAnsiTheme="minorHAnsi" w:cstheme="minorHAnsi"/>
        </w:rPr>
        <w:t xml:space="preserve"> </w:t>
      </w:r>
      <w:r>
        <w:rPr>
          <w:rFonts w:asciiTheme="minorHAnsi" w:hAnsiTheme="minorHAnsi" w:cstheme="minorHAnsi"/>
          <w:i/>
        </w:rPr>
        <w:t>Schweizerische Zeitschrift für Heilpädagogik</w:t>
      </w:r>
      <w:r>
        <w:rPr>
          <w:rFonts w:asciiTheme="minorHAnsi" w:hAnsiTheme="minorHAnsi" w:cstheme="minorHAnsi"/>
        </w:rPr>
        <w:t xml:space="preserve">, </w:t>
      </w:r>
      <w:r>
        <w:rPr>
          <w:rFonts w:asciiTheme="minorHAnsi" w:hAnsiTheme="minorHAnsi" w:cstheme="minorHAnsi"/>
          <w:i/>
        </w:rPr>
        <w:t>16 </w:t>
      </w:r>
      <w:r>
        <w:rPr>
          <w:rFonts w:asciiTheme="minorHAnsi" w:hAnsiTheme="minorHAnsi" w:cstheme="minorHAnsi"/>
        </w:rPr>
        <w:t xml:space="preserve">(1), 8–16. </w:t>
      </w:r>
      <w:hyperlink r:id="rId20" w:history="1">
        <w:r w:rsidRPr="00DF153A">
          <w:rPr>
            <w:rStyle w:val="Hyperlink"/>
            <w:rFonts w:asciiTheme="minorHAnsi" w:hAnsiTheme="minorHAnsi" w:cstheme="minorHAnsi"/>
            <w:spacing w:val="0"/>
            <w:lang w:val="de-DE"/>
          </w:rPr>
          <w:t>https://www.szh.ch/bausteine.net/file/showfile.aspx?downdaid=8343&amp;guid=14bef2b8-4663-4405-a66b-5a3bcc08b89a&amp;fd=3</w:t>
        </w:r>
      </w:hyperlink>
    </w:p>
    <w:p w14:paraId="08F36773" w14:textId="56FB9ABC" w:rsidR="0094606C" w:rsidRDefault="0094606C" w:rsidP="0094606C">
      <w:pPr>
        <w:pStyle w:val="Literaturverzeichnis"/>
        <w:jc w:val="both"/>
        <w:rPr>
          <w:rFonts w:asciiTheme="minorHAnsi" w:hAnsiTheme="minorHAnsi" w:cstheme="minorHAnsi"/>
        </w:rPr>
      </w:pPr>
      <w:bookmarkStart w:id="12" w:name="_CTVL0013ad5bed3a1e44f4babffb889fc5893a1"/>
      <w:r>
        <w:rPr>
          <w:rFonts w:asciiTheme="minorHAnsi" w:hAnsiTheme="minorHAnsi" w:cstheme="minorHAnsi"/>
        </w:rPr>
        <w:t>Kulig,</w:t>
      </w:r>
      <w:r w:rsidR="00CB0750">
        <w:rPr>
          <w:rFonts w:asciiTheme="minorHAnsi" w:hAnsiTheme="minorHAnsi" w:cstheme="minorHAnsi"/>
        </w:rPr>
        <w:t xml:space="preserve"> </w:t>
      </w:r>
      <w:r>
        <w:rPr>
          <w:rFonts w:asciiTheme="minorHAnsi" w:hAnsiTheme="minorHAnsi" w:cstheme="minorHAnsi"/>
        </w:rPr>
        <w:t>W. &amp; Theunissen,</w:t>
      </w:r>
      <w:r w:rsidR="00CB0750">
        <w:rPr>
          <w:rFonts w:asciiTheme="minorHAnsi" w:hAnsiTheme="minorHAnsi" w:cstheme="minorHAnsi"/>
        </w:rPr>
        <w:t xml:space="preserve"> </w:t>
      </w:r>
      <w:r>
        <w:rPr>
          <w:rFonts w:asciiTheme="minorHAnsi" w:hAnsiTheme="minorHAnsi" w:cstheme="minorHAnsi"/>
        </w:rPr>
        <w:t>G. (2022). Empowerment. In I. Hedderich, G. Biewer, J. Hollenweger &amp; R. Markowetz (Hrsg.),</w:t>
      </w:r>
      <w:bookmarkEnd w:id="12"/>
      <w:r>
        <w:rPr>
          <w:rFonts w:asciiTheme="minorHAnsi" w:hAnsiTheme="minorHAnsi" w:cstheme="minorHAnsi"/>
        </w:rPr>
        <w:t xml:space="preserve"> </w:t>
      </w:r>
      <w:r>
        <w:rPr>
          <w:rFonts w:asciiTheme="minorHAnsi" w:hAnsiTheme="minorHAnsi" w:cstheme="minorHAnsi"/>
          <w:i/>
        </w:rPr>
        <w:t xml:space="preserve">Handbuch Inklusion und Sonderpädagogik. Eine Einführung </w:t>
      </w:r>
      <w:r>
        <w:rPr>
          <w:rFonts w:asciiTheme="minorHAnsi" w:hAnsiTheme="minorHAnsi" w:cstheme="minorHAnsi"/>
        </w:rPr>
        <w:t xml:space="preserve">(2., aktual. und </w:t>
      </w:r>
      <w:proofErr w:type="spellStart"/>
      <w:r>
        <w:rPr>
          <w:rFonts w:asciiTheme="minorHAnsi" w:hAnsiTheme="minorHAnsi" w:cstheme="minorHAnsi"/>
        </w:rPr>
        <w:t>erw</w:t>
      </w:r>
      <w:proofErr w:type="spellEnd"/>
      <w:r>
        <w:rPr>
          <w:rFonts w:asciiTheme="minorHAnsi" w:hAnsiTheme="minorHAnsi" w:cstheme="minorHAnsi"/>
        </w:rPr>
        <w:t>. Aufl.</w:t>
      </w:r>
      <w:r w:rsidR="00961D45">
        <w:rPr>
          <w:rFonts w:asciiTheme="minorHAnsi" w:hAnsiTheme="minorHAnsi" w:cstheme="minorHAnsi"/>
        </w:rPr>
        <w:t xml:space="preserve">) </w:t>
      </w:r>
      <w:r w:rsidR="00DF153A">
        <w:rPr>
          <w:rFonts w:asciiTheme="minorHAnsi" w:hAnsiTheme="minorHAnsi" w:cstheme="minorHAnsi"/>
        </w:rPr>
        <w:t>(</w:t>
      </w:r>
      <w:r>
        <w:rPr>
          <w:rFonts w:asciiTheme="minorHAnsi" w:hAnsiTheme="minorHAnsi" w:cstheme="minorHAnsi"/>
        </w:rPr>
        <w:t>S. 116–120). Klinkhardt.</w:t>
      </w:r>
    </w:p>
    <w:p w14:paraId="7CD450F5" w14:textId="465A3A24" w:rsidR="0094606C" w:rsidRDefault="0094606C" w:rsidP="0094606C">
      <w:pPr>
        <w:pStyle w:val="Literaturverzeichnis"/>
        <w:jc w:val="both"/>
        <w:rPr>
          <w:rFonts w:asciiTheme="minorHAnsi" w:hAnsiTheme="minorHAnsi" w:cstheme="minorHAnsi"/>
        </w:rPr>
      </w:pPr>
      <w:bookmarkStart w:id="13" w:name="_CTVL001cda7477e81c3497b8b4b3677b9a48b27"/>
      <w:r>
        <w:rPr>
          <w:rFonts w:asciiTheme="minorHAnsi" w:hAnsiTheme="minorHAnsi" w:cstheme="minorHAnsi"/>
        </w:rPr>
        <w:t>Kunz,</w:t>
      </w:r>
      <w:r w:rsidR="00CB0750">
        <w:rPr>
          <w:rFonts w:asciiTheme="minorHAnsi" w:hAnsiTheme="minorHAnsi" w:cstheme="minorHAnsi"/>
        </w:rPr>
        <w:t xml:space="preserve"> </w:t>
      </w:r>
      <w:r>
        <w:rPr>
          <w:rFonts w:asciiTheme="minorHAnsi" w:hAnsiTheme="minorHAnsi" w:cstheme="minorHAnsi"/>
        </w:rPr>
        <w:t>A. &amp; Luder,</w:t>
      </w:r>
      <w:r w:rsidR="00CB0750">
        <w:rPr>
          <w:rFonts w:asciiTheme="minorHAnsi" w:hAnsiTheme="minorHAnsi" w:cstheme="minorHAnsi"/>
        </w:rPr>
        <w:t xml:space="preserve"> </w:t>
      </w:r>
      <w:r>
        <w:rPr>
          <w:rFonts w:asciiTheme="minorHAnsi" w:hAnsiTheme="minorHAnsi" w:cstheme="minorHAnsi"/>
        </w:rPr>
        <w:t>R. (2021). Multiprofessionelle Zusammenarbeit für gemeinsame Förderplanung. In A. Kunz, R. Luder</w:t>
      </w:r>
      <w:r w:rsidR="00CA1B38">
        <w:rPr>
          <w:rFonts w:asciiTheme="minorHAnsi" w:hAnsiTheme="minorHAnsi" w:cstheme="minorHAnsi"/>
        </w:rPr>
        <w:t> </w:t>
      </w:r>
      <w:r>
        <w:rPr>
          <w:rFonts w:asciiTheme="minorHAnsi" w:hAnsiTheme="minorHAnsi" w:cstheme="minorHAnsi"/>
        </w:rPr>
        <w:t>&amp; C. Müller Bösch (Hrsg.),</w:t>
      </w:r>
      <w:bookmarkEnd w:id="13"/>
      <w:r>
        <w:rPr>
          <w:rFonts w:asciiTheme="minorHAnsi" w:hAnsiTheme="minorHAnsi" w:cstheme="minorHAnsi"/>
        </w:rPr>
        <w:t xml:space="preserve"> </w:t>
      </w:r>
      <w:r>
        <w:rPr>
          <w:rFonts w:asciiTheme="minorHAnsi" w:hAnsiTheme="minorHAnsi" w:cstheme="minorHAnsi"/>
          <w:i/>
        </w:rPr>
        <w:t xml:space="preserve">Inklusive Pädagogik und Didaktik </w:t>
      </w:r>
      <w:r>
        <w:rPr>
          <w:rFonts w:asciiTheme="minorHAnsi" w:hAnsiTheme="minorHAnsi" w:cstheme="minorHAnsi"/>
        </w:rPr>
        <w:t xml:space="preserve">(2., vollständig </w:t>
      </w:r>
      <w:proofErr w:type="spellStart"/>
      <w:r>
        <w:rPr>
          <w:rFonts w:asciiTheme="minorHAnsi" w:hAnsiTheme="minorHAnsi" w:cstheme="minorHAnsi"/>
        </w:rPr>
        <w:t>überarb</w:t>
      </w:r>
      <w:proofErr w:type="spellEnd"/>
      <w:r>
        <w:rPr>
          <w:rFonts w:asciiTheme="minorHAnsi" w:hAnsiTheme="minorHAnsi" w:cstheme="minorHAnsi"/>
        </w:rPr>
        <w:t>. Aufl.</w:t>
      </w:r>
      <w:r w:rsidR="0037140B">
        <w:rPr>
          <w:rFonts w:asciiTheme="minorHAnsi" w:hAnsiTheme="minorHAnsi" w:cstheme="minorHAnsi"/>
        </w:rPr>
        <w:t>)</w:t>
      </w:r>
      <w:r w:rsidR="00CA1B38">
        <w:rPr>
          <w:rFonts w:asciiTheme="minorHAnsi" w:hAnsiTheme="minorHAnsi" w:cstheme="minorHAnsi"/>
        </w:rPr>
        <w:t xml:space="preserve"> (</w:t>
      </w:r>
      <w:r>
        <w:rPr>
          <w:rFonts w:asciiTheme="minorHAnsi" w:hAnsiTheme="minorHAnsi" w:cstheme="minorHAnsi"/>
        </w:rPr>
        <w:t xml:space="preserve">S. 57–75). </w:t>
      </w:r>
      <w:r w:rsidR="00FE37A6">
        <w:rPr>
          <w:rFonts w:asciiTheme="minorHAnsi" w:hAnsiTheme="minorHAnsi" w:cstheme="minorHAnsi"/>
        </w:rPr>
        <w:t>Hep.</w:t>
      </w:r>
    </w:p>
    <w:p w14:paraId="3EE316C9" w14:textId="7336C1CF" w:rsidR="00597EBC" w:rsidRPr="00597EBC" w:rsidRDefault="00597EBC" w:rsidP="00E47F49">
      <w:pPr>
        <w:ind w:left="567" w:hanging="567"/>
        <w:jc w:val="both"/>
        <w:rPr>
          <w:rFonts w:asciiTheme="minorHAnsi" w:hAnsiTheme="minorHAnsi" w:cstheme="minorHAnsi"/>
        </w:rPr>
      </w:pPr>
      <w:bookmarkStart w:id="14" w:name="_CTVL00132867f25f2fa49519d16020525f33e72"/>
      <w:bookmarkStart w:id="15" w:name="_CTVL001671e794c9f7946fc9fb15ecf6339c113"/>
      <w:r w:rsidRPr="00597EBC">
        <w:rPr>
          <w:rFonts w:asciiTheme="minorHAnsi" w:hAnsiTheme="minorHAnsi" w:cstheme="minorHAnsi"/>
        </w:rPr>
        <w:t>LCH (2008).</w:t>
      </w:r>
      <w:bookmarkEnd w:id="14"/>
      <w:r w:rsidRPr="00597EBC">
        <w:rPr>
          <w:rFonts w:asciiTheme="minorHAnsi" w:hAnsiTheme="minorHAnsi" w:cstheme="minorHAnsi"/>
        </w:rPr>
        <w:t xml:space="preserve"> </w:t>
      </w:r>
      <w:r w:rsidRPr="00597EBC">
        <w:rPr>
          <w:rFonts w:asciiTheme="minorHAnsi" w:hAnsiTheme="minorHAnsi" w:cstheme="minorHAnsi"/>
          <w:i/>
        </w:rPr>
        <w:t>Berufsleitbild und Standesregeln. Verabschiedet von der LCH-Delegiertenversammlung am 7. Juni 2008</w:t>
      </w:r>
      <w:r w:rsidRPr="00597EBC">
        <w:rPr>
          <w:rFonts w:asciiTheme="minorHAnsi" w:hAnsiTheme="minorHAnsi" w:cstheme="minorHAnsi"/>
        </w:rPr>
        <w:t xml:space="preserve">. </w:t>
      </w:r>
      <w:hyperlink r:id="rId21" w:history="1">
        <w:r w:rsidR="00E47F49" w:rsidRPr="00597EBC">
          <w:rPr>
            <w:rStyle w:val="Hyperlink"/>
            <w:rFonts w:asciiTheme="minorHAnsi" w:hAnsiTheme="minorHAnsi" w:cstheme="minorHAnsi"/>
            <w:spacing w:val="0"/>
            <w:lang w:val="de-DE"/>
          </w:rPr>
          <w:t>https://www.lch.ch/fileadmin/user_upload_lch/Verband/Grundlagen/LCH_Berufsleitbild_Standesregeln_2008.pdf</w:t>
        </w:r>
      </w:hyperlink>
    </w:p>
    <w:p w14:paraId="28EDE1E1" w14:textId="64E0974F" w:rsidR="00597EBC" w:rsidRPr="00597EBC" w:rsidRDefault="00597EBC" w:rsidP="00E47F49">
      <w:pPr>
        <w:ind w:left="567" w:hanging="567"/>
        <w:jc w:val="both"/>
        <w:rPr>
          <w:rFonts w:asciiTheme="minorHAnsi" w:hAnsiTheme="minorHAnsi" w:cstheme="minorHAnsi"/>
        </w:rPr>
      </w:pPr>
      <w:bookmarkStart w:id="16" w:name="_CTVL0019b40dde5f0df4237beb0eb44c1839ade"/>
      <w:r w:rsidRPr="00597EBC">
        <w:rPr>
          <w:rFonts w:asciiTheme="minorHAnsi" w:hAnsiTheme="minorHAnsi" w:cstheme="minorHAnsi"/>
        </w:rPr>
        <w:t>LCH (2014).</w:t>
      </w:r>
      <w:bookmarkEnd w:id="16"/>
      <w:r w:rsidRPr="00597EBC">
        <w:rPr>
          <w:rFonts w:asciiTheme="minorHAnsi" w:hAnsiTheme="minorHAnsi" w:cstheme="minorHAnsi"/>
        </w:rPr>
        <w:t xml:space="preserve"> </w:t>
      </w:r>
      <w:r w:rsidRPr="00597EBC">
        <w:rPr>
          <w:rFonts w:asciiTheme="minorHAnsi" w:hAnsiTheme="minorHAnsi" w:cstheme="minorHAnsi"/>
          <w:i/>
        </w:rPr>
        <w:t>Der Berufsauftrag der Lehrerinnen und Lehrer</w:t>
      </w:r>
      <w:r w:rsidRPr="00597EBC">
        <w:rPr>
          <w:rFonts w:asciiTheme="minorHAnsi" w:hAnsiTheme="minorHAnsi" w:cstheme="minorHAnsi"/>
        </w:rPr>
        <w:t xml:space="preserve">. </w:t>
      </w:r>
      <w:hyperlink r:id="rId22" w:history="1">
        <w:r w:rsidR="00E47F49" w:rsidRPr="00597EBC">
          <w:rPr>
            <w:rStyle w:val="Hyperlink"/>
            <w:rFonts w:asciiTheme="minorHAnsi" w:hAnsiTheme="minorHAnsi" w:cstheme="minorHAnsi"/>
            <w:spacing w:val="0"/>
            <w:lang w:val="de-DE"/>
          </w:rPr>
          <w:t>https://www.lch.ch/fileadmin/user_upload_lch/Verband/Grundlagen/Berufsauftrag_LCH.pdf</w:t>
        </w:r>
      </w:hyperlink>
    </w:p>
    <w:p w14:paraId="7832D152" w14:textId="3CBD9C38" w:rsidR="0094606C" w:rsidRDefault="0094606C" w:rsidP="0094606C">
      <w:pPr>
        <w:pStyle w:val="Literaturverzeichnis"/>
        <w:jc w:val="both"/>
        <w:rPr>
          <w:rFonts w:asciiTheme="minorHAnsi" w:hAnsiTheme="minorHAnsi" w:cstheme="minorHAnsi"/>
        </w:rPr>
      </w:pPr>
      <w:r>
        <w:rPr>
          <w:rFonts w:asciiTheme="minorHAnsi" w:hAnsiTheme="minorHAnsi" w:cstheme="minorHAnsi"/>
        </w:rPr>
        <w:t>Lütje-Klose,</w:t>
      </w:r>
      <w:r w:rsidR="00CB0750">
        <w:rPr>
          <w:rFonts w:asciiTheme="minorHAnsi" w:hAnsiTheme="minorHAnsi" w:cstheme="minorHAnsi"/>
        </w:rPr>
        <w:t xml:space="preserve"> </w:t>
      </w:r>
      <w:r>
        <w:rPr>
          <w:rFonts w:asciiTheme="minorHAnsi" w:hAnsiTheme="minorHAnsi" w:cstheme="minorHAnsi"/>
        </w:rPr>
        <w:t>B. (2022). Teamarbeit. In I. Hedderich, G. Biewer, J. Hollenweger &amp; R. Markowetz (Hrsg.),</w:t>
      </w:r>
      <w:bookmarkEnd w:id="15"/>
      <w:r>
        <w:rPr>
          <w:rFonts w:asciiTheme="minorHAnsi" w:hAnsiTheme="minorHAnsi" w:cstheme="minorHAnsi"/>
        </w:rPr>
        <w:t xml:space="preserve"> </w:t>
      </w:r>
      <w:r>
        <w:rPr>
          <w:rFonts w:asciiTheme="minorHAnsi" w:hAnsiTheme="minorHAnsi" w:cstheme="minorHAnsi"/>
          <w:i/>
        </w:rPr>
        <w:t xml:space="preserve">Handbuch Inklusion und Sonderpädagogik. Eine Einführung </w:t>
      </w:r>
      <w:r>
        <w:rPr>
          <w:rFonts w:asciiTheme="minorHAnsi" w:hAnsiTheme="minorHAnsi" w:cstheme="minorHAnsi"/>
        </w:rPr>
        <w:t xml:space="preserve">(2., aktual. und </w:t>
      </w:r>
      <w:proofErr w:type="spellStart"/>
      <w:r>
        <w:rPr>
          <w:rFonts w:asciiTheme="minorHAnsi" w:hAnsiTheme="minorHAnsi" w:cstheme="minorHAnsi"/>
        </w:rPr>
        <w:t>erw</w:t>
      </w:r>
      <w:proofErr w:type="spellEnd"/>
      <w:r>
        <w:rPr>
          <w:rFonts w:asciiTheme="minorHAnsi" w:hAnsiTheme="minorHAnsi" w:cstheme="minorHAnsi"/>
        </w:rPr>
        <w:t>. Aufl.)</w:t>
      </w:r>
      <w:r w:rsidR="00A65F72">
        <w:rPr>
          <w:rFonts w:asciiTheme="minorHAnsi" w:hAnsiTheme="minorHAnsi" w:cstheme="minorHAnsi"/>
        </w:rPr>
        <w:t xml:space="preserve"> (S. 375–379)</w:t>
      </w:r>
      <w:r>
        <w:rPr>
          <w:rFonts w:asciiTheme="minorHAnsi" w:hAnsiTheme="minorHAnsi" w:cstheme="minorHAnsi"/>
        </w:rPr>
        <w:t>. Klinkhardt.</w:t>
      </w:r>
    </w:p>
    <w:p w14:paraId="50951C9E" w14:textId="77777777" w:rsidR="0094606C" w:rsidRDefault="0094606C" w:rsidP="0094606C">
      <w:pPr>
        <w:pStyle w:val="Literaturverzeichnis"/>
        <w:jc w:val="both"/>
        <w:rPr>
          <w:rFonts w:asciiTheme="minorHAnsi" w:hAnsiTheme="minorHAnsi" w:cstheme="minorHAnsi"/>
        </w:rPr>
      </w:pPr>
      <w:bookmarkStart w:id="17" w:name="_CTVL001c2340b95fca740ccbaddd7c4acbaf531"/>
      <w:r>
        <w:rPr>
          <w:rFonts w:asciiTheme="minorHAnsi" w:hAnsiTheme="minorHAnsi" w:cstheme="minorHAnsi"/>
        </w:rPr>
        <w:t>Müller, T. (2024).</w:t>
      </w:r>
      <w:bookmarkEnd w:id="17"/>
      <w:r>
        <w:rPr>
          <w:rFonts w:asciiTheme="minorHAnsi" w:hAnsiTheme="minorHAnsi" w:cstheme="minorHAnsi"/>
        </w:rPr>
        <w:t xml:space="preserve"> </w:t>
      </w:r>
      <w:r>
        <w:rPr>
          <w:rFonts w:asciiTheme="minorHAnsi" w:hAnsiTheme="minorHAnsi" w:cstheme="minorHAnsi"/>
          <w:i/>
        </w:rPr>
        <w:t>Das Professionsverständnis der Schulischen Heilpädagogik im schweizerischen Kontext. Das «Haus der Schulischen Heilpädagogik» als mögliches Rahmenmodell</w:t>
      </w:r>
      <w:r>
        <w:rPr>
          <w:rFonts w:asciiTheme="minorHAnsi" w:hAnsiTheme="minorHAnsi" w:cstheme="minorHAnsi"/>
        </w:rPr>
        <w:t xml:space="preserve">. </w:t>
      </w:r>
      <w:proofErr w:type="spellStart"/>
      <w:r>
        <w:rPr>
          <w:rFonts w:asciiTheme="minorHAnsi" w:hAnsiTheme="minorHAnsi" w:cstheme="minorHAnsi"/>
        </w:rPr>
        <w:t>Zenodo</w:t>
      </w:r>
      <w:proofErr w:type="spellEnd"/>
      <w:r>
        <w:rPr>
          <w:rFonts w:asciiTheme="minorHAnsi" w:hAnsiTheme="minorHAnsi" w:cstheme="minorHAnsi"/>
        </w:rPr>
        <w:t>.</w:t>
      </w:r>
    </w:p>
    <w:p w14:paraId="0377AD8C" w14:textId="5F4E9646" w:rsidR="0094606C" w:rsidRDefault="0094606C" w:rsidP="0094606C">
      <w:pPr>
        <w:pStyle w:val="Literaturverzeichnis"/>
        <w:jc w:val="both"/>
        <w:rPr>
          <w:rFonts w:asciiTheme="minorHAnsi" w:hAnsiTheme="minorHAnsi" w:cstheme="minorHAnsi"/>
        </w:rPr>
      </w:pPr>
      <w:bookmarkStart w:id="18" w:name="_CTVL00170bf5753b98245f4bc5268f7f22e31d3"/>
      <w:r>
        <w:rPr>
          <w:rFonts w:asciiTheme="minorHAnsi" w:hAnsiTheme="minorHAnsi" w:cstheme="minorHAnsi"/>
        </w:rPr>
        <w:t>Roters,</w:t>
      </w:r>
      <w:r w:rsidR="00256658">
        <w:rPr>
          <w:rFonts w:asciiTheme="minorHAnsi" w:hAnsiTheme="minorHAnsi" w:cstheme="minorHAnsi"/>
        </w:rPr>
        <w:t xml:space="preserve"> </w:t>
      </w:r>
      <w:r>
        <w:rPr>
          <w:rFonts w:asciiTheme="minorHAnsi" w:hAnsiTheme="minorHAnsi" w:cstheme="minorHAnsi"/>
        </w:rPr>
        <w:t>B. (2012).</w:t>
      </w:r>
      <w:bookmarkEnd w:id="18"/>
      <w:r>
        <w:rPr>
          <w:rFonts w:asciiTheme="minorHAnsi" w:hAnsiTheme="minorHAnsi" w:cstheme="minorHAnsi"/>
        </w:rPr>
        <w:t xml:space="preserve"> </w:t>
      </w:r>
      <w:r>
        <w:rPr>
          <w:rFonts w:asciiTheme="minorHAnsi" w:hAnsiTheme="minorHAnsi" w:cstheme="minorHAnsi"/>
          <w:i/>
        </w:rPr>
        <w:t>Professionalisierung durch Reflexion in der Lehrerbildung</w:t>
      </w:r>
      <w:r>
        <w:rPr>
          <w:rFonts w:asciiTheme="minorHAnsi" w:hAnsiTheme="minorHAnsi" w:cstheme="minorHAnsi"/>
        </w:rPr>
        <w:t>. Dissertation. Universität Bielefeld.</w:t>
      </w:r>
    </w:p>
    <w:p w14:paraId="214986AA" w14:textId="2C7DB46A" w:rsidR="0094606C" w:rsidRDefault="0094606C" w:rsidP="0094606C">
      <w:pPr>
        <w:pStyle w:val="Literaturverzeichnis"/>
        <w:jc w:val="both"/>
        <w:rPr>
          <w:rFonts w:asciiTheme="minorHAnsi" w:hAnsiTheme="minorHAnsi" w:cstheme="minorHAnsi"/>
        </w:rPr>
      </w:pPr>
      <w:bookmarkStart w:id="19" w:name="_CTVL00116b0d9319a4043b0ada488c557fef353"/>
      <w:proofErr w:type="spellStart"/>
      <w:r>
        <w:rPr>
          <w:rFonts w:asciiTheme="minorHAnsi" w:hAnsiTheme="minorHAnsi" w:cstheme="minorHAnsi"/>
        </w:rPr>
        <w:t>Schuppener</w:t>
      </w:r>
      <w:proofErr w:type="spellEnd"/>
      <w:r>
        <w:rPr>
          <w:rFonts w:asciiTheme="minorHAnsi" w:hAnsiTheme="minorHAnsi" w:cstheme="minorHAnsi"/>
        </w:rPr>
        <w:t>,</w:t>
      </w:r>
      <w:r w:rsidR="00CB0750">
        <w:rPr>
          <w:rFonts w:asciiTheme="minorHAnsi" w:hAnsiTheme="minorHAnsi" w:cstheme="minorHAnsi"/>
        </w:rPr>
        <w:t xml:space="preserve"> </w:t>
      </w:r>
      <w:r>
        <w:rPr>
          <w:rFonts w:asciiTheme="minorHAnsi" w:hAnsiTheme="minorHAnsi" w:cstheme="minorHAnsi"/>
        </w:rPr>
        <w:t>S. (2022). Selbstbestimmung. In I. Hedderich, G. Biewer, J. Hollenweger &amp; R. Markowetz (Hrsg.),</w:t>
      </w:r>
      <w:bookmarkEnd w:id="19"/>
      <w:r>
        <w:rPr>
          <w:rFonts w:asciiTheme="minorHAnsi" w:hAnsiTheme="minorHAnsi" w:cstheme="minorHAnsi"/>
        </w:rPr>
        <w:t xml:space="preserve"> </w:t>
      </w:r>
      <w:r>
        <w:rPr>
          <w:rFonts w:asciiTheme="minorHAnsi" w:hAnsiTheme="minorHAnsi" w:cstheme="minorHAnsi"/>
          <w:i/>
        </w:rPr>
        <w:t xml:space="preserve">Handbuch Inklusion und Sonderpädagogik. Eine Einführung </w:t>
      </w:r>
      <w:r>
        <w:rPr>
          <w:rFonts w:asciiTheme="minorHAnsi" w:hAnsiTheme="minorHAnsi" w:cstheme="minorHAnsi"/>
        </w:rPr>
        <w:t xml:space="preserve">(2., </w:t>
      </w:r>
      <w:proofErr w:type="spellStart"/>
      <w:r>
        <w:rPr>
          <w:rFonts w:asciiTheme="minorHAnsi" w:hAnsiTheme="minorHAnsi" w:cstheme="minorHAnsi"/>
        </w:rPr>
        <w:t>aktual.und</w:t>
      </w:r>
      <w:proofErr w:type="spellEnd"/>
      <w:r>
        <w:rPr>
          <w:rFonts w:asciiTheme="minorHAnsi" w:hAnsiTheme="minorHAnsi" w:cstheme="minorHAnsi"/>
        </w:rPr>
        <w:t xml:space="preserve"> </w:t>
      </w:r>
      <w:proofErr w:type="spellStart"/>
      <w:r>
        <w:rPr>
          <w:rFonts w:asciiTheme="minorHAnsi" w:hAnsiTheme="minorHAnsi" w:cstheme="minorHAnsi"/>
        </w:rPr>
        <w:t>erw</w:t>
      </w:r>
      <w:proofErr w:type="spellEnd"/>
      <w:r>
        <w:rPr>
          <w:rFonts w:asciiTheme="minorHAnsi" w:hAnsiTheme="minorHAnsi" w:cstheme="minorHAnsi"/>
        </w:rPr>
        <w:t>. Aufl.</w:t>
      </w:r>
      <w:r w:rsidR="008A7ADD">
        <w:rPr>
          <w:rFonts w:asciiTheme="minorHAnsi" w:hAnsiTheme="minorHAnsi" w:cstheme="minorHAnsi"/>
        </w:rPr>
        <w:t>)</w:t>
      </w:r>
      <w:r>
        <w:rPr>
          <w:rFonts w:asciiTheme="minorHAnsi" w:hAnsiTheme="minorHAnsi" w:cstheme="minorHAnsi"/>
        </w:rPr>
        <w:t xml:space="preserve"> </w:t>
      </w:r>
      <w:r w:rsidR="008A7ADD">
        <w:rPr>
          <w:rFonts w:asciiTheme="minorHAnsi" w:hAnsiTheme="minorHAnsi" w:cstheme="minorHAnsi"/>
        </w:rPr>
        <w:t>(</w:t>
      </w:r>
      <w:r>
        <w:rPr>
          <w:rFonts w:asciiTheme="minorHAnsi" w:hAnsiTheme="minorHAnsi" w:cstheme="minorHAnsi"/>
        </w:rPr>
        <w:t>S. 110–116). Klinkhardt.</w:t>
      </w:r>
    </w:p>
    <w:p w14:paraId="4CE7D396" w14:textId="10AEA4FE" w:rsidR="0094606C" w:rsidRDefault="0094606C" w:rsidP="0094606C">
      <w:pPr>
        <w:pStyle w:val="Literaturverzeichnis"/>
        <w:jc w:val="both"/>
        <w:rPr>
          <w:rFonts w:asciiTheme="minorHAnsi" w:hAnsiTheme="minorHAnsi" w:cstheme="minorHAnsi"/>
        </w:rPr>
      </w:pPr>
      <w:bookmarkStart w:id="20" w:name="_CTVL0012a3f50caaf65497c92cc1d3b3273dbc6"/>
      <w:r>
        <w:rPr>
          <w:rFonts w:asciiTheme="minorHAnsi" w:hAnsiTheme="minorHAnsi" w:cstheme="minorHAnsi"/>
        </w:rPr>
        <w:t>Speck,</w:t>
      </w:r>
      <w:r w:rsidR="00D201C8">
        <w:rPr>
          <w:rFonts w:asciiTheme="minorHAnsi" w:hAnsiTheme="minorHAnsi" w:cstheme="minorHAnsi"/>
        </w:rPr>
        <w:t xml:space="preserve"> </w:t>
      </w:r>
      <w:r>
        <w:rPr>
          <w:rFonts w:asciiTheme="minorHAnsi" w:hAnsiTheme="minorHAnsi" w:cstheme="minorHAnsi"/>
        </w:rPr>
        <w:t>O. (2008).</w:t>
      </w:r>
      <w:bookmarkEnd w:id="20"/>
      <w:r>
        <w:rPr>
          <w:rFonts w:asciiTheme="minorHAnsi" w:hAnsiTheme="minorHAnsi" w:cstheme="minorHAnsi"/>
        </w:rPr>
        <w:t xml:space="preserve"> </w:t>
      </w:r>
      <w:r>
        <w:rPr>
          <w:rFonts w:asciiTheme="minorHAnsi" w:hAnsiTheme="minorHAnsi" w:cstheme="minorHAnsi"/>
          <w:i/>
        </w:rPr>
        <w:t xml:space="preserve">System Heilpädagogik. Eine ökologisch reflexive Grundlegung </w:t>
      </w:r>
      <w:r>
        <w:rPr>
          <w:rFonts w:asciiTheme="minorHAnsi" w:hAnsiTheme="minorHAnsi" w:cstheme="minorHAnsi"/>
        </w:rPr>
        <w:t xml:space="preserve">(6., </w:t>
      </w:r>
      <w:proofErr w:type="spellStart"/>
      <w:r>
        <w:rPr>
          <w:rFonts w:asciiTheme="minorHAnsi" w:hAnsiTheme="minorHAnsi" w:cstheme="minorHAnsi"/>
        </w:rPr>
        <w:t>überarb</w:t>
      </w:r>
      <w:proofErr w:type="spellEnd"/>
      <w:r>
        <w:rPr>
          <w:rFonts w:asciiTheme="minorHAnsi" w:hAnsiTheme="minorHAnsi" w:cstheme="minorHAnsi"/>
        </w:rPr>
        <w:t xml:space="preserve">. Aufl.). Reinhardt. </w:t>
      </w:r>
      <w:hyperlink r:id="rId23" w:history="1">
        <w:r w:rsidRPr="00256671">
          <w:rPr>
            <w:rStyle w:val="Hyperlink"/>
            <w:rFonts w:asciiTheme="minorHAnsi" w:hAnsiTheme="minorHAnsi" w:cstheme="minorHAnsi"/>
            <w:spacing w:val="0"/>
            <w:lang w:val="de-DE"/>
          </w:rPr>
          <w:t>http://www.socialnet.de/rezensionen/isbn.php?isbn=978-3-497-01998-4</w:t>
        </w:r>
      </w:hyperlink>
    </w:p>
    <w:p w14:paraId="74AD0D76" w14:textId="5741CFDF" w:rsidR="0094606C" w:rsidRDefault="0094606C" w:rsidP="0094606C">
      <w:pPr>
        <w:pStyle w:val="Literaturverzeichnis"/>
        <w:jc w:val="both"/>
        <w:rPr>
          <w:rFonts w:asciiTheme="minorHAnsi" w:hAnsiTheme="minorHAnsi" w:cstheme="minorHAnsi"/>
        </w:rPr>
      </w:pPr>
      <w:bookmarkStart w:id="21" w:name="_CTVL001a9a30686f84a451e94e84d1ab65ac3b2"/>
      <w:r>
        <w:rPr>
          <w:rFonts w:asciiTheme="minorHAnsi" w:hAnsiTheme="minorHAnsi" w:cstheme="minorHAnsi"/>
        </w:rPr>
        <w:t>Strasser,</w:t>
      </w:r>
      <w:r w:rsidR="00D201C8">
        <w:rPr>
          <w:rFonts w:asciiTheme="minorHAnsi" w:hAnsiTheme="minorHAnsi" w:cstheme="minorHAnsi"/>
        </w:rPr>
        <w:t xml:space="preserve"> </w:t>
      </w:r>
      <w:r>
        <w:rPr>
          <w:rFonts w:asciiTheme="minorHAnsi" w:hAnsiTheme="minorHAnsi" w:cstheme="minorHAnsi"/>
        </w:rPr>
        <w:t>U. &amp; Wolfisberg,</w:t>
      </w:r>
      <w:r w:rsidR="00D201C8">
        <w:rPr>
          <w:rFonts w:asciiTheme="minorHAnsi" w:hAnsiTheme="minorHAnsi" w:cstheme="minorHAnsi"/>
        </w:rPr>
        <w:t xml:space="preserve"> </w:t>
      </w:r>
      <w:r>
        <w:rPr>
          <w:rFonts w:asciiTheme="minorHAnsi" w:hAnsiTheme="minorHAnsi" w:cstheme="minorHAnsi"/>
        </w:rPr>
        <w:t>C. (2011).</w:t>
      </w:r>
      <w:bookmarkEnd w:id="21"/>
      <w:r>
        <w:rPr>
          <w:rFonts w:asciiTheme="minorHAnsi" w:hAnsiTheme="minorHAnsi" w:cstheme="minorHAnsi"/>
        </w:rPr>
        <w:t xml:space="preserve"> </w:t>
      </w:r>
      <w:r>
        <w:rPr>
          <w:rFonts w:asciiTheme="minorHAnsi" w:hAnsiTheme="minorHAnsi" w:cstheme="minorHAnsi"/>
          <w:i/>
        </w:rPr>
        <w:t xml:space="preserve">Schweizer Heilpädagogik </w:t>
      </w:r>
      <w:r>
        <w:rPr>
          <w:rFonts w:asciiTheme="minorHAnsi" w:hAnsiTheme="minorHAnsi" w:cstheme="minorHAnsi"/>
        </w:rPr>
        <w:t>(Enzyklopädie Erziehungswissenschaft online). Beltz Juventa.</w:t>
      </w:r>
    </w:p>
    <w:p w14:paraId="2DEA5E41" w14:textId="5406C5C7" w:rsidR="0094606C" w:rsidRDefault="0094606C" w:rsidP="0094606C">
      <w:pPr>
        <w:pStyle w:val="Literaturverzeichnis"/>
        <w:jc w:val="both"/>
        <w:rPr>
          <w:rFonts w:asciiTheme="minorHAnsi" w:hAnsiTheme="minorHAnsi" w:cstheme="minorHAnsi"/>
        </w:rPr>
      </w:pPr>
      <w:bookmarkStart w:id="22" w:name="_CTVL00198a38c415a2b4616b72c13302a6f9e25"/>
      <w:proofErr w:type="spellStart"/>
      <w:r>
        <w:rPr>
          <w:rFonts w:asciiTheme="minorHAnsi" w:hAnsiTheme="minorHAnsi" w:cstheme="minorHAnsi"/>
        </w:rPr>
        <w:t>Swissuniversities</w:t>
      </w:r>
      <w:proofErr w:type="spellEnd"/>
      <w:r>
        <w:rPr>
          <w:rFonts w:asciiTheme="minorHAnsi" w:hAnsiTheme="minorHAnsi" w:cstheme="minorHAnsi"/>
        </w:rPr>
        <w:t xml:space="preserve"> (Hrsg.) (2021).</w:t>
      </w:r>
      <w:bookmarkEnd w:id="22"/>
      <w:r>
        <w:rPr>
          <w:rFonts w:asciiTheme="minorHAnsi" w:hAnsiTheme="minorHAnsi" w:cstheme="minorHAnsi"/>
        </w:rPr>
        <w:t xml:space="preserve"> </w:t>
      </w:r>
      <w:r>
        <w:rPr>
          <w:rFonts w:asciiTheme="minorHAnsi" w:hAnsiTheme="minorHAnsi" w:cstheme="minorHAnsi"/>
          <w:i/>
        </w:rPr>
        <w:t xml:space="preserve">Qualifikationsrahmen für den schweizerischen Hochschulbereich. nqf.ch-HS, </w:t>
      </w:r>
      <w:r>
        <w:rPr>
          <w:rFonts w:asciiTheme="minorHAnsi" w:hAnsiTheme="minorHAnsi" w:cstheme="minorHAnsi"/>
        </w:rPr>
        <w:t>Schweizerische Hochschulkonferenz.</w:t>
      </w:r>
      <w:r w:rsidR="001B7365">
        <w:rPr>
          <w:rFonts w:asciiTheme="minorHAnsi" w:hAnsiTheme="minorHAnsi" w:cstheme="minorHAnsi"/>
        </w:rPr>
        <w:t> </w:t>
      </w:r>
      <w:hyperlink r:id="rId24" w:history="1">
        <w:r w:rsidR="001B7365" w:rsidRPr="00304794">
          <w:rPr>
            <w:rStyle w:val="Hyperlink"/>
            <w:rFonts w:asciiTheme="minorHAnsi" w:hAnsiTheme="minorHAnsi" w:cstheme="minorHAnsi"/>
            <w:spacing w:val="0"/>
            <w:lang w:val="de-DE"/>
          </w:rPr>
          <w:t>https://www.swissuniversities.ch/fileadmin/swissuniversities/Dokumente/Lehre/NQR/nqf-ch-HS-d.pdf</w:t>
        </w:r>
      </w:hyperlink>
    </w:p>
    <w:p w14:paraId="132EBD28" w14:textId="3ED4FD96" w:rsidR="0094606C" w:rsidRDefault="0094606C" w:rsidP="0094606C">
      <w:pPr>
        <w:pStyle w:val="Literaturverzeichnis"/>
        <w:jc w:val="both"/>
        <w:rPr>
          <w:rFonts w:asciiTheme="minorHAnsi" w:hAnsiTheme="minorHAnsi" w:cstheme="minorHAnsi"/>
          <w:lang w:val="en-US"/>
        </w:rPr>
      </w:pPr>
      <w:bookmarkStart w:id="23" w:name="_CTVL00176a55723ce8c499db923bfa989963916"/>
      <w:r>
        <w:rPr>
          <w:rFonts w:asciiTheme="minorHAnsi" w:hAnsiTheme="minorHAnsi" w:cstheme="minorHAnsi"/>
        </w:rPr>
        <w:t>Terhart,</w:t>
      </w:r>
      <w:r w:rsidR="00871A75">
        <w:rPr>
          <w:rFonts w:asciiTheme="minorHAnsi" w:hAnsiTheme="minorHAnsi" w:cstheme="minorHAnsi"/>
        </w:rPr>
        <w:t xml:space="preserve"> </w:t>
      </w:r>
      <w:r>
        <w:rPr>
          <w:rFonts w:asciiTheme="minorHAnsi" w:hAnsiTheme="minorHAnsi" w:cstheme="minorHAnsi"/>
        </w:rPr>
        <w:t>E. (2021). Lehrerin/Lehrer: Der Beruf als Profession. Grundlinien der erziehungswissenschaftlichen Debatte – mit einem Ausblick auf Zukunft.</w:t>
      </w:r>
      <w:bookmarkEnd w:id="23"/>
      <w:r>
        <w:rPr>
          <w:rFonts w:asciiTheme="minorHAnsi" w:hAnsiTheme="minorHAnsi" w:cstheme="minorHAnsi"/>
        </w:rPr>
        <w:t xml:space="preserve"> </w:t>
      </w:r>
      <w:proofErr w:type="spellStart"/>
      <w:r>
        <w:rPr>
          <w:rFonts w:asciiTheme="minorHAnsi" w:hAnsiTheme="minorHAnsi" w:cstheme="minorHAnsi"/>
          <w:i/>
          <w:lang w:val="en-US"/>
        </w:rPr>
        <w:t>Lernende</w:t>
      </w:r>
      <w:proofErr w:type="spellEnd"/>
      <w:r>
        <w:rPr>
          <w:rFonts w:asciiTheme="minorHAnsi" w:hAnsiTheme="minorHAnsi" w:cstheme="minorHAnsi"/>
          <w:i/>
          <w:lang w:val="en-US"/>
        </w:rPr>
        <w:t xml:space="preserve"> Schule</w:t>
      </w:r>
      <w:r>
        <w:rPr>
          <w:rFonts w:asciiTheme="minorHAnsi" w:hAnsiTheme="minorHAnsi" w:cstheme="minorHAnsi"/>
          <w:lang w:val="en-US"/>
        </w:rPr>
        <w:t xml:space="preserve">, </w:t>
      </w:r>
      <w:r>
        <w:rPr>
          <w:rFonts w:asciiTheme="minorHAnsi" w:hAnsiTheme="minorHAnsi" w:cstheme="minorHAnsi"/>
          <w:i/>
          <w:lang w:val="en-US"/>
        </w:rPr>
        <w:t>24 </w:t>
      </w:r>
      <w:r>
        <w:rPr>
          <w:rFonts w:asciiTheme="minorHAnsi" w:hAnsiTheme="minorHAnsi" w:cstheme="minorHAnsi"/>
          <w:lang w:val="en-US"/>
        </w:rPr>
        <w:t>(94), 4–7.</w:t>
      </w:r>
    </w:p>
    <w:p w14:paraId="509E953F" w14:textId="236D8794" w:rsidR="0094606C" w:rsidRPr="00871A75" w:rsidRDefault="0094606C" w:rsidP="00871A75">
      <w:pPr>
        <w:pStyle w:val="Literaturverzeichnis"/>
        <w:jc w:val="both"/>
        <w:rPr>
          <w:rFonts w:asciiTheme="minorHAnsi" w:hAnsiTheme="minorHAnsi" w:cstheme="minorHAnsi"/>
          <w:lang w:val="en-US"/>
        </w:rPr>
      </w:pPr>
      <w:bookmarkStart w:id="24" w:name="_CTVL001800b2859feaf476fbefac8b136965b66"/>
      <w:r>
        <w:rPr>
          <w:rFonts w:asciiTheme="minorHAnsi" w:hAnsiTheme="minorHAnsi" w:cstheme="minorHAnsi"/>
          <w:lang w:val="en-US"/>
        </w:rPr>
        <w:t>W</w:t>
      </w:r>
      <w:r w:rsidR="00D201C8">
        <w:rPr>
          <w:rFonts w:asciiTheme="minorHAnsi" w:hAnsiTheme="minorHAnsi" w:cstheme="minorHAnsi"/>
          <w:lang w:val="en-US"/>
        </w:rPr>
        <w:t>HO</w:t>
      </w:r>
      <w:r>
        <w:rPr>
          <w:rFonts w:asciiTheme="minorHAnsi" w:hAnsiTheme="minorHAnsi" w:cstheme="minorHAnsi"/>
          <w:lang w:val="en-US"/>
        </w:rPr>
        <w:t xml:space="preserve"> (2001).</w:t>
      </w:r>
      <w:bookmarkEnd w:id="24"/>
      <w:r>
        <w:rPr>
          <w:rFonts w:asciiTheme="minorHAnsi" w:hAnsiTheme="minorHAnsi" w:cstheme="minorHAnsi"/>
          <w:lang w:val="en-US"/>
        </w:rPr>
        <w:t xml:space="preserve"> </w:t>
      </w:r>
      <w:r>
        <w:rPr>
          <w:rFonts w:asciiTheme="minorHAnsi" w:hAnsiTheme="minorHAnsi" w:cstheme="minorHAnsi"/>
          <w:i/>
          <w:lang w:val="en-US"/>
        </w:rPr>
        <w:t>International Classification of Functioning, Disability and Health</w:t>
      </w:r>
      <w:r>
        <w:rPr>
          <w:rFonts w:asciiTheme="minorHAnsi" w:hAnsiTheme="minorHAnsi" w:cstheme="minorHAnsi"/>
          <w:lang w:val="en-US"/>
        </w:rPr>
        <w:t xml:space="preserve">. </w:t>
      </w:r>
      <w:hyperlink r:id="rId25" w:history="1">
        <w:r w:rsidR="00E17065" w:rsidRPr="00304794">
          <w:rPr>
            <w:rStyle w:val="Hyperlink"/>
            <w:rFonts w:asciiTheme="minorHAnsi" w:hAnsiTheme="minorHAnsi" w:cstheme="minorHAnsi"/>
            <w:spacing w:val="0"/>
            <w:lang w:val="en-US"/>
          </w:rPr>
          <w:t>https://iris.who.int/bitstream/handle/10665/42407/9241545429.pdf?sequence=1</w:t>
        </w:r>
      </w:hyperlink>
    </w:p>
    <w:sectPr w:rsidR="0094606C" w:rsidRPr="00871A75" w:rsidSect="00985B01">
      <w:headerReference w:type="default" r:id="rId26"/>
      <w:footerReference w:type="default" r:id="rId27"/>
      <w:pgSz w:w="11907" w:h="16840" w:code="9"/>
      <w:pgMar w:top="1418" w:right="1418" w:bottom="1134" w:left="1418" w:header="720" w:footer="567" w:gutter="0"/>
      <w:pgNumType w:start="27"/>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606DF69" w14:textId="77777777" w:rsidR="00575338" w:rsidRDefault="00575338">
      <w:pPr>
        <w:spacing w:line="240" w:lineRule="auto"/>
      </w:pPr>
      <w:r>
        <w:separator/>
      </w:r>
    </w:p>
  </w:endnote>
  <w:endnote w:type="continuationSeparator" w:id="0">
    <w:p w14:paraId="54DFA915" w14:textId="77777777" w:rsidR="00575338" w:rsidRDefault="00575338">
      <w:pPr>
        <w:spacing w:line="240" w:lineRule="auto"/>
      </w:pPr>
      <w:r>
        <w:continuationSeparator/>
      </w:r>
    </w:p>
  </w:endnote>
  <w:endnote w:type="continuationNotice" w:id="1">
    <w:p w14:paraId="2AB046A7" w14:textId="77777777" w:rsidR="00575338" w:rsidRDefault="00575338">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Open Sans SemiCondensed">
    <w:panose1 w:val="00000000000000000000"/>
    <w:charset w:val="00"/>
    <w:family w:val="auto"/>
    <w:pitch w:val="variable"/>
    <w:sig w:usb0="E00002FF" w:usb1="4000201B" w:usb2="00000028" w:usb3="00000000" w:csb0="0000019F" w:csb1="00000000"/>
    <w:embedRegular r:id="rId1" w:fontKey="{54908FCA-42A5-4A5A-AF96-7E5DC72585C1}"/>
    <w:embedBold r:id="rId2" w:fontKey="{EA5D7058-1E35-48BC-812C-62FDB8895935}"/>
    <w:embedItalic r:id="rId3" w:fontKey="{095858AC-4B37-4965-BAD7-56F15B5FB5F0}"/>
    <w:embedBoldItalic r:id="rId4" w:fontKey="{2A857847-A319-42B7-A9D6-4F3A6E2E2F77}"/>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Inter">
    <w:charset w:val="00"/>
    <w:family w:val="auto"/>
    <w:pitch w:val="variable"/>
    <w:sig w:usb0="E00002FF" w:usb1="1200A1FF" w:usb2="00000001" w:usb3="00000000" w:csb0="0000019F" w:csb1="00000000"/>
  </w:font>
  <w:font w:name="Aptos">
    <w:charset w:val="00"/>
    <w:family w:val="swiss"/>
    <w:pitch w:val="variable"/>
    <w:sig w:usb0="20000287" w:usb1="00000003" w:usb2="00000000" w:usb3="00000000" w:csb0="0000019F" w:csb1="00000000"/>
    <w:embedRegular r:id="rId5" w:fontKey="{B380D040-6E84-4E93-A56A-7319D2F75A0E}"/>
  </w:font>
  <w:font w:name="Open Sans SemiCondensed SemiCon">
    <w:altName w:val="Segoe UI"/>
    <w:charset w:val="00"/>
    <w:family w:val="auto"/>
    <w:pitch w:val="variable"/>
    <w:sig w:usb0="E00002FF" w:usb1="4000201B" w:usb2="00000028" w:usb3="00000000" w:csb0="0000019F" w:csb1="00000000"/>
  </w:font>
  <w:font w:name="Calibri">
    <w:panose1 w:val="020F0502020204030204"/>
    <w:charset w:val="00"/>
    <w:family w:val="swiss"/>
    <w:pitch w:val="variable"/>
    <w:sig w:usb0="E4002EFF" w:usb1="C200247B" w:usb2="00000009" w:usb3="00000000" w:csb0="000001FF" w:csb1="00000000"/>
    <w:embedRegular r:id="rId6" w:fontKey="{680C24F7-932E-4567-8B1E-69D7E9714864}"/>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E00963B" w14:textId="77777777" w:rsidR="004B3A29" w:rsidRPr="007B448B" w:rsidRDefault="006E210A" w:rsidP="001D3BFB">
    <w:pPr>
      <w:pStyle w:val="Fuzeile"/>
      <w:rPr>
        <w:szCs w:val="22"/>
      </w:rPr>
    </w:pPr>
    <w:r>
      <w:rPr>
        <w:noProof/>
      </w:rPr>
      <w:drawing>
        <wp:anchor distT="0" distB="0" distL="114300" distR="114300" simplePos="0" relativeHeight="251658240" behindDoc="1" locked="0" layoutInCell="1" allowOverlap="1" wp14:anchorId="18E5D141" wp14:editId="43996EB9">
          <wp:simplePos x="0" y="0"/>
          <wp:positionH relativeFrom="column">
            <wp:posOffset>-671830</wp:posOffset>
          </wp:positionH>
          <wp:positionV relativeFrom="paragraph">
            <wp:posOffset>-726440</wp:posOffset>
          </wp:positionV>
          <wp:extent cx="101861" cy="849482"/>
          <wp:effectExtent l="0" t="0" r="0" b="0"/>
          <wp:wrapNone/>
          <wp:docPr id="12"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1861" cy="849482"/>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D3BFB">
      <w:tab/>
    </w:r>
    <w:r w:rsidR="001D3BFB">
      <w:tab/>
    </w:r>
    <w:r w:rsidR="001D3BFB" w:rsidRPr="007B448B">
      <w:rPr>
        <w:szCs w:val="22"/>
      </w:rPr>
      <w:fldChar w:fldCharType="begin"/>
    </w:r>
    <w:r w:rsidR="001D3BFB" w:rsidRPr="007B448B">
      <w:rPr>
        <w:szCs w:val="22"/>
      </w:rPr>
      <w:instrText>PAGE  \* Arabic  \* MERGEFORMAT</w:instrText>
    </w:r>
    <w:r w:rsidR="001D3BFB" w:rsidRPr="007B448B">
      <w:rPr>
        <w:szCs w:val="22"/>
      </w:rPr>
      <w:fldChar w:fldCharType="separate"/>
    </w:r>
    <w:r w:rsidR="001D3BFB" w:rsidRPr="007B448B">
      <w:rPr>
        <w:szCs w:val="22"/>
      </w:rPr>
      <w:t>1</w:t>
    </w:r>
    <w:r w:rsidR="001D3BFB" w:rsidRPr="007B448B">
      <w:rPr>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F84BA08" w14:textId="77777777" w:rsidR="00575338" w:rsidRPr="00777A2F" w:rsidRDefault="00575338" w:rsidP="002E13B6">
      <w:pPr>
        <w:spacing w:line="240" w:lineRule="auto"/>
        <w:rPr>
          <w:rFonts w:asciiTheme="minorHAnsi" w:hAnsiTheme="minorHAnsi"/>
        </w:rPr>
      </w:pPr>
      <w:r w:rsidRPr="00777A2F">
        <w:rPr>
          <w:rFonts w:asciiTheme="minorHAnsi" w:hAnsiTheme="minorHAnsi"/>
        </w:rPr>
        <w:separator/>
      </w:r>
    </w:p>
  </w:footnote>
  <w:footnote w:type="continuationSeparator" w:id="0">
    <w:p w14:paraId="4CB85BD4" w14:textId="77777777" w:rsidR="00575338" w:rsidRDefault="00575338">
      <w:r>
        <w:continuationSeparator/>
      </w:r>
    </w:p>
  </w:footnote>
  <w:footnote w:type="continuationNotice" w:id="1">
    <w:p w14:paraId="558F2133" w14:textId="77777777" w:rsidR="00575338" w:rsidRDefault="00575338">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CF4EF0" w14:textId="42B5397F" w:rsidR="007B448B" w:rsidRPr="006B05C8" w:rsidRDefault="00307EC7" w:rsidP="007B448B">
    <w:pPr>
      <w:pStyle w:val="Themenschwerpunkt"/>
      <w:rPr>
        <w:lang w:val="de-CH"/>
      </w:rPr>
    </w:pPr>
    <w:r w:rsidRPr="00372E0F">
      <w:rPr>
        <w:caps/>
      </w:rPr>
      <mc:AlternateContent>
        <mc:Choice Requires="wps">
          <w:drawing>
            <wp:anchor distT="0" distB="0" distL="114299" distR="114299" simplePos="0" relativeHeight="251658241" behindDoc="0" locked="0" layoutInCell="1" allowOverlap="1" wp14:anchorId="1A8D2480" wp14:editId="33BDF17B">
              <wp:simplePos x="0" y="0"/>
              <wp:positionH relativeFrom="column">
                <wp:posOffset>-371476</wp:posOffset>
              </wp:positionH>
              <wp:positionV relativeFrom="paragraph">
                <wp:posOffset>-448310</wp:posOffset>
              </wp:positionV>
              <wp:extent cx="0" cy="12460605"/>
              <wp:effectExtent l="0" t="0" r="38100" b="36195"/>
              <wp:wrapNone/>
              <wp:docPr id="3" name="Connecteur droit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0" cy="12460605"/>
                      </a:xfrm>
                      <a:prstGeom prst="line">
                        <a:avLst/>
                      </a:prstGeom>
                      <a:ln>
                        <a:solidFill>
                          <a:schemeClr val="accent1"/>
                        </a:solidFill>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dec="http://schemas.microsoft.com/office/drawing/2017/decorative">
          <w:pict w14:anchorId="0AA36C3C">
            <v:line id="Connecteur droit 3" style="position:absolute;flip:x;z-index:251658241;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alt="&quot;&quot;" o:spid="_x0000_s1026" strokecolor="#d31932 [3204]" from="-29.25pt,-35.3pt" to="-29.25pt,945.85pt" w14:anchorId="66214D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">
              <o:lock v:ext="edit" shapetype="f"/>
            </v:line>
          </w:pict>
        </mc:Fallback>
      </mc:AlternateContent>
    </w:r>
    <w:r w:rsidR="00EC2436">
      <w:rPr>
        <w:caps/>
      </w:rPr>
      <w:t>UMSETZUNG DER</w:t>
    </w:r>
    <w:r w:rsidR="005E0F1F">
      <w:rPr>
        <w:caps/>
      </w:rPr>
      <w:t xml:space="preserve"> brk</w:t>
    </w:r>
    <w:r w:rsidR="00EC2436">
      <w:rPr>
        <w:caps/>
      </w:rPr>
      <w:t xml:space="preserve"> IN DER SCHWEIZ</w:t>
    </w:r>
    <w:r w:rsidR="007B448B" w:rsidRPr="00237079">
      <w:rPr>
        <w:lang w:val="de-CH"/>
      </w:rPr>
      <w:tab/>
    </w:r>
    <w:r w:rsidR="007B448B" w:rsidRPr="00237079">
      <w:rPr>
        <w:lang w:val="de-CH"/>
      </w:rPr>
      <w:tab/>
    </w:r>
    <w:r w:rsidR="00237079" w:rsidRPr="00237079">
      <w:rPr>
        <w:b w:val="0"/>
        <w:bCs/>
        <w:lang w:val="de-CH"/>
      </w:rPr>
      <w:t xml:space="preserve">Schweizerische Zeitschrift für Heilpädagogik, Jg. </w:t>
    </w:r>
    <w:r w:rsidR="006B05C8">
      <w:rPr>
        <w:b w:val="0"/>
        <w:bCs/>
        <w:lang w:val="de-CH"/>
      </w:rPr>
      <w:t>30</w:t>
    </w:r>
    <w:r w:rsidR="00237079" w:rsidRPr="00237079">
      <w:rPr>
        <w:b w:val="0"/>
        <w:bCs/>
        <w:lang w:val="de-CH"/>
      </w:rPr>
      <w:t xml:space="preserve">, </w:t>
    </w:r>
    <w:r w:rsidR="006B05C8">
      <w:rPr>
        <w:b w:val="0"/>
        <w:bCs/>
        <w:lang w:val="de-CH"/>
      </w:rPr>
      <w:t>0</w:t>
    </w:r>
    <w:r w:rsidR="00372E0F">
      <w:rPr>
        <w:b w:val="0"/>
        <w:bCs/>
        <w:lang w:val="de-CH"/>
      </w:rPr>
      <w:t>9</w:t>
    </w:r>
    <w:r w:rsidR="00237079" w:rsidRPr="00237079">
      <w:rPr>
        <w:b w:val="0"/>
        <w:bCs/>
        <w:lang w:val="de-CH"/>
      </w:rPr>
      <w:t>/</w:t>
    </w:r>
    <w:r w:rsidR="006B05C8">
      <w:rPr>
        <w:b w:val="0"/>
        <w:bCs/>
        <w:lang w:val="de-CH"/>
      </w:rPr>
      <w:t>2024</w:t>
    </w:r>
  </w:p>
  <w:p w14:paraId="11AD3E49" w14:textId="4B971464" w:rsidR="00237079" w:rsidRPr="006B05C8" w:rsidRDefault="00B7489C" w:rsidP="006B05C8">
    <w:pPr>
      <w:pStyle w:val="Themenschwerpunkt"/>
      <w:rPr>
        <w:b w:val="0"/>
        <w:bCs/>
        <w:lang w:val="de-CH"/>
      </w:rPr>
    </w:pPr>
    <w:r w:rsidRPr="00237079">
      <w:rPr>
        <w:b w:val="0"/>
        <w:bCs/>
        <w:lang w:val="de-CH"/>
      </w:rPr>
      <w:t xml:space="preserve">| </w:t>
    </w:r>
    <w:r w:rsidR="002E6A50">
      <w:rPr>
        <w:b w:val="0"/>
        <w:bCs/>
        <w:lang w:val="de-CH"/>
      </w:rPr>
      <w:t>VARIA</w:t>
    </w:r>
    <w:r w:rsidR="007B448B" w:rsidRPr="00237079">
      <w:rPr>
        <w:b w:val="0"/>
        <w:bCs/>
        <w:lang w:val="de-CH"/>
      </w:rPr>
      <w:tab/>
    </w:r>
    <w:r w:rsidR="007B448B" w:rsidRPr="00237079">
      <w:rPr>
        <w:b w:val="0"/>
        <w:bCs/>
        <w:lang w:val="de-CH"/>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214A9E"/>
    <w:multiLevelType w:val="multilevel"/>
    <w:tmpl w:val="08BA4C14"/>
    <w:styleLink w:val="ArtikelAbschnitt"/>
    <w:lvl w:ilvl="0">
      <w:start w:val="1"/>
      <w:numFmt w:val="none"/>
      <w:lvlText w:val=""/>
      <w:lvlJc w:val="left"/>
      <w:pPr>
        <w:ind w:left="0" w:firstLine="0"/>
      </w:pPr>
      <w:rPr>
        <w:rFonts w:ascii="Open Sans SemiCondensed" w:hAnsi="Open Sans SemiCondensed" w:hint="default"/>
      </w:rPr>
    </w:lvl>
    <w:lvl w:ilvl="1">
      <w:start w:val="1"/>
      <w:numFmt w:val="none"/>
      <w:isLgl/>
      <w:lvlText w:val=""/>
      <w:lvlJc w:val="left"/>
      <w:pPr>
        <w:ind w:left="0" w:firstLine="0"/>
      </w:pPr>
      <w:rPr>
        <w:rFonts w:ascii="Open Sans SemiCondensed" w:hAnsi="Open Sans SemiCondensed" w:hint="default"/>
      </w:rPr>
    </w:lvl>
    <w:lvl w:ilvl="2">
      <w:start w:val="1"/>
      <w:numFmt w:val="none"/>
      <w:lvlText w:val=""/>
      <w:lvlJc w:val="left"/>
      <w:pPr>
        <w:ind w:left="0" w:firstLine="0"/>
      </w:pPr>
      <w:rPr>
        <w:rFonts w:ascii="Open Sans SemiCondensed" w:hAnsi="Open Sans SemiCondensed" w:hint="default"/>
      </w:rPr>
    </w:lvl>
    <w:lvl w:ilvl="3">
      <w:start w:val="1"/>
      <w:numFmt w:val="none"/>
      <w:pStyle w:val="berschrift4"/>
      <w:lvlText w:val=""/>
      <w:lvlJc w:val="right"/>
      <w:pPr>
        <w:ind w:left="0" w:firstLine="0"/>
      </w:pPr>
      <w:rPr>
        <w:rFonts w:ascii="Open Sans SemiCondensed" w:hAnsi="Open Sans SemiCondensed" w:hint="default"/>
      </w:rPr>
    </w:lvl>
    <w:lvl w:ilvl="4">
      <w:start w:val="1"/>
      <w:numFmt w:val="none"/>
      <w:pStyle w:val="berschrift5"/>
      <w:lvlText w:val=""/>
      <w:lvlJc w:val="left"/>
      <w:pPr>
        <w:ind w:left="0" w:firstLine="0"/>
      </w:pPr>
      <w:rPr>
        <w:rFonts w:ascii="Open Sans SemiCondensed" w:hAnsi="Open Sans SemiCondensed" w:hint="default"/>
      </w:rPr>
    </w:lvl>
    <w:lvl w:ilvl="5">
      <w:start w:val="1"/>
      <w:numFmt w:val="none"/>
      <w:pStyle w:val="berschrift6"/>
      <w:lvlText w:val=""/>
      <w:lvlJc w:val="left"/>
      <w:pPr>
        <w:ind w:left="0" w:firstLine="0"/>
      </w:pPr>
      <w:rPr>
        <w:rFonts w:ascii="Open Sans SemiCondensed" w:hAnsi="Open Sans SemiCondensed" w:hint="default"/>
      </w:rPr>
    </w:lvl>
    <w:lvl w:ilvl="6">
      <w:start w:val="1"/>
      <w:numFmt w:val="none"/>
      <w:pStyle w:val="berschrift7"/>
      <w:lvlText w:val=""/>
      <w:lvlJc w:val="right"/>
      <w:pPr>
        <w:ind w:left="0" w:firstLine="0"/>
      </w:pPr>
      <w:rPr>
        <w:rFonts w:ascii="Open Sans SemiCondensed" w:hAnsi="Open Sans SemiCondensed" w:hint="default"/>
      </w:rPr>
    </w:lvl>
    <w:lvl w:ilvl="7">
      <w:start w:val="1"/>
      <w:numFmt w:val="none"/>
      <w:pStyle w:val="berschrift8"/>
      <w:lvlText w:val=""/>
      <w:lvlJc w:val="left"/>
      <w:pPr>
        <w:ind w:left="0" w:firstLine="0"/>
      </w:pPr>
      <w:rPr>
        <w:rFonts w:ascii="Open Sans SemiCondensed" w:hAnsi="Open Sans SemiCondensed" w:hint="default"/>
      </w:rPr>
    </w:lvl>
    <w:lvl w:ilvl="8">
      <w:start w:val="1"/>
      <w:numFmt w:val="none"/>
      <w:pStyle w:val="berschrift9"/>
      <w:lvlText w:val=""/>
      <w:lvlJc w:val="right"/>
      <w:pPr>
        <w:ind w:left="0" w:firstLine="0"/>
      </w:pPr>
      <w:rPr>
        <w:rFonts w:ascii="Open Sans SemiCondensed" w:hAnsi="Open Sans SemiCondensed" w:hint="default"/>
      </w:rPr>
    </w:lvl>
  </w:abstractNum>
  <w:abstractNum w:abstractNumId="1" w15:restartNumberingAfterBreak="0">
    <w:nsid w:val="06342E5D"/>
    <w:multiLevelType w:val="multilevel"/>
    <w:tmpl w:val="8DD24444"/>
    <w:lvl w:ilvl="0">
      <w:start w:val="1"/>
      <w:numFmt w:val="bullet"/>
      <w:pStyle w:val="Liste"/>
      <w:lvlText w:val=""/>
      <w:lvlJc w:val="left"/>
      <w:pPr>
        <w:ind w:left="169" w:hanging="227"/>
      </w:pPr>
      <w:rPr>
        <w:rFonts w:ascii="Symbol" w:hAnsi="Symbol" w:hint="default"/>
      </w:rPr>
    </w:lvl>
    <w:lvl w:ilvl="1">
      <w:start w:val="1"/>
      <w:numFmt w:val="bullet"/>
      <w:pStyle w:val="Liste2"/>
      <w:lvlText w:val="o"/>
      <w:lvlJc w:val="left"/>
      <w:pPr>
        <w:ind w:left="339" w:hanging="170"/>
      </w:pPr>
      <w:rPr>
        <w:rFonts w:ascii="Courier New" w:hAnsi="Courier New" w:hint="default"/>
      </w:rPr>
    </w:lvl>
    <w:lvl w:ilvl="2">
      <w:start w:val="1"/>
      <w:numFmt w:val="bullet"/>
      <w:pStyle w:val="Liste3"/>
      <w:lvlText w:val=""/>
      <w:lvlJc w:val="left"/>
      <w:pPr>
        <w:ind w:left="509" w:hanging="170"/>
      </w:pPr>
      <w:rPr>
        <w:rFonts w:ascii="Symbol" w:hAnsi="Symbol" w:hint="default"/>
        <w:color w:val="auto"/>
      </w:rPr>
    </w:lvl>
    <w:lvl w:ilvl="3">
      <w:start w:val="1"/>
      <w:numFmt w:val="decimal"/>
      <w:lvlText w:val="(%4)"/>
      <w:lvlJc w:val="left"/>
      <w:pPr>
        <w:ind w:left="1212" w:hanging="360"/>
      </w:pPr>
      <w:rPr>
        <w:rFonts w:hint="default"/>
      </w:rPr>
    </w:lvl>
    <w:lvl w:ilvl="4">
      <w:start w:val="1"/>
      <w:numFmt w:val="lowerLetter"/>
      <w:lvlText w:val="(%5)"/>
      <w:lvlJc w:val="left"/>
      <w:pPr>
        <w:ind w:left="1572" w:hanging="360"/>
      </w:pPr>
      <w:rPr>
        <w:rFonts w:hint="default"/>
      </w:rPr>
    </w:lvl>
    <w:lvl w:ilvl="5">
      <w:start w:val="1"/>
      <w:numFmt w:val="lowerRoman"/>
      <w:lvlText w:val="(%6)"/>
      <w:lvlJc w:val="left"/>
      <w:pPr>
        <w:ind w:left="1932" w:hanging="360"/>
      </w:pPr>
      <w:rPr>
        <w:rFonts w:hint="default"/>
      </w:rPr>
    </w:lvl>
    <w:lvl w:ilvl="6">
      <w:start w:val="1"/>
      <w:numFmt w:val="decimal"/>
      <w:lvlText w:val="%7."/>
      <w:lvlJc w:val="left"/>
      <w:pPr>
        <w:ind w:left="2292" w:hanging="360"/>
      </w:pPr>
      <w:rPr>
        <w:rFonts w:hint="default"/>
      </w:rPr>
    </w:lvl>
    <w:lvl w:ilvl="7">
      <w:start w:val="1"/>
      <w:numFmt w:val="lowerLetter"/>
      <w:lvlText w:val="%8."/>
      <w:lvlJc w:val="left"/>
      <w:pPr>
        <w:ind w:left="2652" w:hanging="360"/>
      </w:pPr>
      <w:rPr>
        <w:rFonts w:hint="default"/>
      </w:rPr>
    </w:lvl>
    <w:lvl w:ilvl="8">
      <w:start w:val="1"/>
      <w:numFmt w:val="lowerRoman"/>
      <w:lvlText w:val="%9."/>
      <w:lvlJc w:val="left"/>
      <w:pPr>
        <w:ind w:left="3012" w:hanging="360"/>
      </w:pPr>
      <w:rPr>
        <w:rFonts w:hint="default"/>
      </w:rPr>
    </w:lvl>
  </w:abstractNum>
  <w:abstractNum w:abstractNumId="2" w15:restartNumberingAfterBreak="0">
    <w:nsid w:val="2FB30FAE"/>
    <w:multiLevelType w:val="hybridMultilevel"/>
    <w:tmpl w:val="ED0CA2FA"/>
    <w:lvl w:ilvl="0" w:tplc="FD8EE418">
      <w:numFmt w:val="bullet"/>
      <w:lvlText w:val="•"/>
      <w:lvlJc w:val="left"/>
      <w:pPr>
        <w:ind w:left="719" w:hanging="435"/>
      </w:pPr>
      <w:rPr>
        <w:rFonts w:ascii="Open Sans SemiCondensed" w:eastAsiaTheme="minorHAnsi" w:hAnsi="Open Sans SemiCondensed" w:cs="Open Sans SemiCondensed" w:hint="default"/>
      </w:rPr>
    </w:lvl>
    <w:lvl w:ilvl="1" w:tplc="20000003" w:tentative="1">
      <w:start w:val="1"/>
      <w:numFmt w:val="bullet"/>
      <w:lvlText w:val="o"/>
      <w:lvlJc w:val="left"/>
      <w:pPr>
        <w:ind w:left="1364" w:hanging="360"/>
      </w:pPr>
      <w:rPr>
        <w:rFonts w:ascii="Courier New" w:hAnsi="Courier New" w:cs="Courier New" w:hint="default"/>
      </w:rPr>
    </w:lvl>
    <w:lvl w:ilvl="2" w:tplc="20000005" w:tentative="1">
      <w:start w:val="1"/>
      <w:numFmt w:val="bullet"/>
      <w:lvlText w:val=""/>
      <w:lvlJc w:val="left"/>
      <w:pPr>
        <w:ind w:left="2084" w:hanging="360"/>
      </w:pPr>
      <w:rPr>
        <w:rFonts w:ascii="Wingdings" w:hAnsi="Wingdings" w:hint="default"/>
      </w:rPr>
    </w:lvl>
    <w:lvl w:ilvl="3" w:tplc="20000001" w:tentative="1">
      <w:start w:val="1"/>
      <w:numFmt w:val="bullet"/>
      <w:lvlText w:val=""/>
      <w:lvlJc w:val="left"/>
      <w:pPr>
        <w:ind w:left="2804" w:hanging="360"/>
      </w:pPr>
      <w:rPr>
        <w:rFonts w:ascii="Symbol" w:hAnsi="Symbol" w:hint="default"/>
      </w:rPr>
    </w:lvl>
    <w:lvl w:ilvl="4" w:tplc="20000003" w:tentative="1">
      <w:start w:val="1"/>
      <w:numFmt w:val="bullet"/>
      <w:lvlText w:val="o"/>
      <w:lvlJc w:val="left"/>
      <w:pPr>
        <w:ind w:left="3524" w:hanging="360"/>
      </w:pPr>
      <w:rPr>
        <w:rFonts w:ascii="Courier New" w:hAnsi="Courier New" w:cs="Courier New" w:hint="default"/>
      </w:rPr>
    </w:lvl>
    <w:lvl w:ilvl="5" w:tplc="20000005" w:tentative="1">
      <w:start w:val="1"/>
      <w:numFmt w:val="bullet"/>
      <w:lvlText w:val=""/>
      <w:lvlJc w:val="left"/>
      <w:pPr>
        <w:ind w:left="4244" w:hanging="360"/>
      </w:pPr>
      <w:rPr>
        <w:rFonts w:ascii="Wingdings" w:hAnsi="Wingdings" w:hint="default"/>
      </w:rPr>
    </w:lvl>
    <w:lvl w:ilvl="6" w:tplc="20000001" w:tentative="1">
      <w:start w:val="1"/>
      <w:numFmt w:val="bullet"/>
      <w:lvlText w:val=""/>
      <w:lvlJc w:val="left"/>
      <w:pPr>
        <w:ind w:left="4964" w:hanging="360"/>
      </w:pPr>
      <w:rPr>
        <w:rFonts w:ascii="Symbol" w:hAnsi="Symbol" w:hint="default"/>
      </w:rPr>
    </w:lvl>
    <w:lvl w:ilvl="7" w:tplc="20000003" w:tentative="1">
      <w:start w:val="1"/>
      <w:numFmt w:val="bullet"/>
      <w:lvlText w:val="o"/>
      <w:lvlJc w:val="left"/>
      <w:pPr>
        <w:ind w:left="5684" w:hanging="360"/>
      </w:pPr>
      <w:rPr>
        <w:rFonts w:ascii="Courier New" w:hAnsi="Courier New" w:cs="Courier New" w:hint="default"/>
      </w:rPr>
    </w:lvl>
    <w:lvl w:ilvl="8" w:tplc="20000005" w:tentative="1">
      <w:start w:val="1"/>
      <w:numFmt w:val="bullet"/>
      <w:lvlText w:val=""/>
      <w:lvlJc w:val="left"/>
      <w:pPr>
        <w:ind w:left="6404" w:hanging="360"/>
      </w:pPr>
      <w:rPr>
        <w:rFonts w:ascii="Wingdings" w:hAnsi="Wingdings" w:hint="default"/>
      </w:rPr>
    </w:lvl>
  </w:abstractNum>
  <w:abstractNum w:abstractNumId="3" w15:restartNumberingAfterBreak="0">
    <w:nsid w:val="492B3CF3"/>
    <w:multiLevelType w:val="multilevel"/>
    <w:tmpl w:val="D16CDD2E"/>
    <w:lvl w:ilvl="0">
      <w:start w:val="1"/>
      <w:numFmt w:val="decimal"/>
      <w:pStyle w:val="Listennummer"/>
      <w:lvlText w:val="%1."/>
      <w:lvlJc w:val="left"/>
      <w:pPr>
        <w:ind w:left="360" w:hanging="360"/>
      </w:pPr>
    </w:lvl>
    <w:lvl w:ilvl="1">
      <w:start w:val="1"/>
      <w:numFmt w:val="decimal"/>
      <w:pStyle w:val="Listennummer2"/>
      <w:lvlText w:val="%1.%2."/>
      <w:lvlJc w:val="left"/>
      <w:pPr>
        <w:ind w:left="792" w:hanging="432"/>
      </w:pPr>
    </w:lvl>
    <w:lvl w:ilvl="2">
      <w:start w:val="1"/>
      <w:numFmt w:val="decimal"/>
      <w:pStyle w:val="Listennummer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51F44949"/>
    <w:multiLevelType w:val="hybridMultilevel"/>
    <w:tmpl w:val="F6385F22"/>
    <w:lvl w:ilvl="0" w:tplc="38BA8D38">
      <w:start w:val="1"/>
      <w:numFmt w:val="bullet"/>
      <w:pStyle w:val="Listenabsatz"/>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5" w15:restartNumberingAfterBreak="0">
    <w:nsid w:val="598B7008"/>
    <w:multiLevelType w:val="hybridMultilevel"/>
    <w:tmpl w:val="88245400"/>
    <w:lvl w:ilvl="0" w:tplc="0807000F">
      <w:start w:val="1"/>
      <w:numFmt w:val="decimal"/>
      <w:lvlText w:val="%1."/>
      <w:lvlJc w:val="left"/>
      <w:pPr>
        <w:ind w:left="890" w:hanging="360"/>
      </w:pPr>
    </w:lvl>
    <w:lvl w:ilvl="1" w:tplc="08070019" w:tentative="1">
      <w:start w:val="1"/>
      <w:numFmt w:val="lowerLetter"/>
      <w:lvlText w:val="%2."/>
      <w:lvlJc w:val="left"/>
      <w:pPr>
        <w:ind w:left="1610" w:hanging="360"/>
      </w:pPr>
    </w:lvl>
    <w:lvl w:ilvl="2" w:tplc="0807001B" w:tentative="1">
      <w:start w:val="1"/>
      <w:numFmt w:val="lowerRoman"/>
      <w:lvlText w:val="%3."/>
      <w:lvlJc w:val="right"/>
      <w:pPr>
        <w:ind w:left="2330" w:hanging="180"/>
      </w:pPr>
    </w:lvl>
    <w:lvl w:ilvl="3" w:tplc="0807000F" w:tentative="1">
      <w:start w:val="1"/>
      <w:numFmt w:val="decimal"/>
      <w:lvlText w:val="%4."/>
      <w:lvlJc w:val="left"/>
      <w:pPr>
        <w:ind w:left="3050" w:hanging="360"/>
      </w:pPr>
    </w:lvl>
    <w:lvl w:ilvl="4" w:tplc="08070019" w:tentative="1">
      <w:start w:val="1"/>
      <w:numFmt w:val="lowerLetter"/>
      <w:lvlText w:val="%5."/>
      <w:lvlJc w:val="left"/>
      <w:pPr>
        <w:ind w:left="3770" w:hanging="360"/>
      </w:pPr>
    </w:lvl>
    <w:lvl w:ilvl="5" w:tplc="0807001B" w:tentative="1">
      <w:start w:val="1"/>
      <w:numFmt w:val="lowerRoman"/>
      <w:lvlText w:val="%6."/>
      <w:lvlJc w:val="right"/>
      <w:pPr>
        <w:ind w:left="4490" w:hanging="180"/>
      </w:pPr>
    </w:lvl>
    <w:lvl w:ilvl="6" w:tplc="0807000F" w:tentative="1">
      <w:start w:val="1"/>
      <w:numFmt w:val="decimal"/>
      <w:lvlText w:val="%7."/>
      <w:lvlJc w:val="left"/>
      <w:pPr>
        <w:ind w:left="5210" w:hanging="360"/>
      </w:pPr>
    </w:lvl>
    <w:lvl w:ilvl="7" w:tplc="08070019" w:tentative="1">
      <w:start w:val="1"/>
      <w:numFmt w:val="lowerLetter"/>
      <w:lvlText w:val="%8."/>
      <w:lvlJc w:val="left"/>
      <w:pPr>
        <w:ind w:left="5930" w:hanging="360"/>
      </w:pPr>
    </w:lvl>
    <w:lvl w:ilvl="8" w:tplc="0807001B" w:tentative="1">
      <w:start w:val="1"/>
      <w:numFmt w:val="lowerRoman"/>
      <w:lvlText w:val="%9."/>
      <w:lvlJc w:val="right"/>
      <w:pPr>
        <w:ind w:left="6650" w:hanging="180"/>
      </w:pPr>
    </w:lvl>
  </w:abstractNum>
  <w:num w:numId="1" w16cid:durableId="1816487952">
    <w:abstractNumId w:val="1"/>
  </w:num>
  <w:num w:numId="2" w16cid:durableId="379716589">
    <w:abstractNumId w:val="3"/>
  </w:num>
  <w:num w:numId="3" w16cid:durableId="1479614155">
    <w:abstractNumId w:val="0"/>
  </w:num>
  <w:num w:numId="4" w16cid:durableId="161169770">
    <w:abstractNumId w:val="4"/>
  </w:num>
  <w:num w:numId="5" w16cid:durableId="850295866">
    <w:abstractNumId w:val="2"/>
  </w:num>
  <w:num w:numId="6" w16cid:durableId="1150825467">
    <w:abstractNumId w:val="5"/>
  </w:num>
  <w:num w:numId="7" w16cid:durableId="1667398876">
    <w:abstractNumId w:val="1"/>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embedTrueType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stylePaneSortMethod w:val="0002"/>
  <w:defaultTabStop w:val="720"/>
  <w:autoHyphenation/>
  <w:hyphenationZone w:val="425"/>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APA 7th&lt;/Style&gt;&lt;LeftDelim&gt;{&lt;/LeftDelim&gt;&lt;RightDelim&gt;}&lt;/RightDelim&gt;&lt;FontName&gt;Open Sans SemiCondensed&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ze55sv5wdxf0poezxaoxwtw6xpv22rtd2a0w&quot;&gt;My EndNote Library&lt;record-ids&gt;&lt;item&gt;579&lt;/item&gt;&lt;/record-ids&gt;&lt;/item&gt;&lt;/Libraries&gt;"/>
  </w:docVars>
  <w:rsids>
    <w:rsidRoot w:val="001375F2"/>
    <w:rsid w:val="000002CB"/>
    <w:rsid w:val="00000828"/>
    <w:rsid w:val="00001812"/>
    <w:rsid w:val="00001886"/>
    <w:rsid w:val="00002255"/>
    <w:rsid w:val="00003C18"/>
    <w:rsid w:val="00004935"/>
    <w:rsid w:val="00004FDA"/>
    <w:rsid w:val="000052C8"/>
    <w:rsid w:val="000059B0"/>
    <w:rsid w:val="00005A15"/>
    <w:rsid w:val="00006037"/>
    <w:rsid w:val="00006FFB"/>
    <w:rsid w:val="000075EA"/>
    <w:rsid w:val="00010135"/>
    <w:rsid w:val="0001252A"/>
    <w:rsid w:val="00013E6B"/>
    <w:rsid w:val="00014943"/>
    <w:rsid w:val="00014ABB"/>
    <w:rsid w:val="00015942"/>
    <w:rsid w:val="00016BFF"/>
    <w:rsid w:val="00016C78"/>
    <w:rsid w:val="00017501"/>
    <w:rsid w:val="00021005"/>
    <w:rsid w:val="00021675"/>
    <w:rsid w:val="0002194E"/>
    <w:rsid w:val="00021CF5"/>
    <w:rsid w:val="00021F1D"/>
    <w:rsid w:val="000221DE"/>
    <w:rsid w:val="000222ED"/>
    <w:rsid w:val="00023149"/>
    <w:rsid w:val="00023298"/>
    <w:rsid w:val="00023FC7"/>
    <w:rsid w:val="00024143"/>
    <w:rsid w:val="000253D8"/>
    <w:rsid w:val="00026600"/>
    <w:rsid w:val="00026674"/>
    <w:rsid w:val="0002758C"/>
    <w:rsid w:val="000276F0"/>
    <w:rsid w:val="000278D3"/>
    <w:rsid w:val="000302CB"/>
    <w:rsid w:val="0003158C"/>
    <w:rsid w:val="00031DE2"/>
    <w:rsid w:val="0003314D"/>
    <w:rsid w:val="0003352D"/>
    <w:rsid w:val="000352CE"/>
    <w:rsid w:val="00036AFC"/>
    <w:rsid w:val="00036B7C"/>
    <w:rsid w:val="0003701C"/>
    <w:rsid w:val="0003722C"/>
    <w:rsid w:val="0004006B"/>
    <w:rsid w:val="00041F90"/>
    <w:rsid w:val="00043382"/>
    <w:rsid w:val="000433BF"/>
    <w:rsid w:val="0004522B"/>
    <w:rsid w:val="00045C7B"/>
    <w:rsid w:val="00046021"/>
    <w:rsid w:val="00046A62"/>
    <w:rsid w:val="00047098"/>
    <w:rsid w:val="000475BF"/>
    <w:rsid w:val="000518C5"/>
    <w:rsid w:val="00051983"/>
    <w:rsid w:val="00052D1C"/>
    <w:rsid w:val="00053353"/>
    <w:rsid w:val="00054679"/>
    <w:rsid w:val="0005497D"/>
    <w:rsid w:val="00056457"/>
    <w:rsid w:val="00056D18"/>
    <w:rsid w:val="00057754"/>
    <w:rsid w:val="00061277"/>
    <w:rsid w:val="00061C0F"/>
    <w:rsid w:val="0006244C"/>
    <w:rsid w:val="00062828"/>
    <w:rsid w:val="00063061"/>
    <w:rsid w:val="0006455B"/>
    <w:rsid w:val="0006571C"/>
    <w:rsid w:val="000720FD"/>
    <w:rsid w:val="00072D93"/>
    <w:rsid w:val="00072E55"/>
    <w:rsid w:val="00073A1F"/>
    <w:rsid w:val="000741F2"/>
    <w:rsid w:val="000742C1"/>
    <w:rsid w:val="00075492"/>
    <w:rsid w:val="000759D7"/>
    <w:rsid w:val="00075BFB"/>
    <w:rsid w:val="000767A2"/>
    <w:rsid w:val="0007773F"/>
    <w:rsid w:val="0007777F"/>
    <w:rsid w:val="00077B6C"/>
    <w:rsid w:val="00080E33"/>
    <w:rsid w:val="00081A0A"/>
    <w:rsid w:val="00083841"/>
    <w:rsid w:val="00083973"/>
    <w:rsid w:val="00083A81"/>
    <w:rsid w:val="00083AB3"/>
    <w:rsid w:val="000857AD"/>
    <w:rsid w:val="00086740"/>
    <w:rsid w:val="0008675C"/>
    <w:rsid w:val="0008726B"/>
    <w:rsid w:val="00090169"/>
    <w:rsid w:val="00091257"/>
    <w:rsid w:val="000914E7"/>
    <w:rsid w:val="00092281"/>
    <w:rsid w:val="00092A35"/>
    <w:rsid w:val="0009730F"/>
    <w:rsid w:val="000A3686"/>
    <w:rsid w:val="000A7F56"/>
    <w:rsid w:val="000B00F1"/>
    <w:rsid w:val="000B2D1D"/>
    <w:rsid w:val="000B30E3"/>
    <w:rsid w:val="000B3C13"/>
    <w:rsid w:val="000B5BB8"/>
    <w:rsid w:val="000B6E43"/>
    <w:rsid w:val="000C019A"/>
    <w:rsid w:val="000C1E93"/>
    <w:rsid w:val="000C3B55"/>
    <w:rsid w:val="000C3BFE"/>
    <w:rsid w:val="000C3C42"/>
    <w:rsid w:val="000C3FBA"/>
    <w:rsid w:val="000C538C"/>
    <w:rsid w:val="000C57EF"/>
    <w:rsid w:val="000C7932"/>
    <w:rsid w:val="000D2835"/>
    <w:rsid w:val="000D2BFA"/>
    <w:rsid w:val="000D3765"/>
    <w:rsid w:val="000D3C1B"/>
    <w:rsid w:val="000D5C6F"/>
    <w:rsid w:val="000D63C1"/>
    <w:rsid w:val="000D67DC"/>
    <w:rsid w:val="000D7118"/>
    <w:rsid w:val="000D7802"/>
    <w:rsid w:val="000E1E8F"/>
    <w:rsid w:val="000E6A66"/>
    <w:rsid w:val="000E732C"/>
    <w:rsid w:val="000E7755"/>
    <w:rsid w:val="000F091F"/>
    <w:rsid w:val="000F0956"/>
    <w:rsid w:val="000F1342"/>
    <w:rsid w:val="000F2775"/>
    <w:rsid w:val="000F3449"/>
    <w:rsid w:val="000F4B54"/>
    <w:rsid w:val="000F5288"/>
    <w:rsid w:val="000F71EB"/>
    <w:rsid w:val="00102753"/>
    <w:rsid w:val="0010334E"/>
    <w:rsid w:val="00105B40"/>
    <w:rsid w:val="001061B8"/>
    <w:rsid w:val="00106856"/>
    <w:rsid w:val="001073A5"/>
    <w:rsid w:val="001114E2"/>
    <w:rsid w:val="0011208F"/>
    <w:rsid w:val="001122AF"/>
    <w:rsid w:val="0011287E"/>
    <w:rsid w:val="001150A5"/>
    <w:rsid w:val="001152F8"/>
    <w:rsid w:val="00115945"/>
    <w:rsid w:val="00115EF5"/>
    <w:rsid w:val="001161B5"/>
    <w:rsid w:val="001161D6"/>
    <w:rsid w:val="00117142"/>
    <w:rsid w:val="0012000A"/>
    <w:rsid w:val="001204C4"/>
    <w:rsid w:val="00120CBF"/>
    <w:rsid w:val="00121486"/>
    <w:rsid w:val="0012224F"/>
    <w:rsid w:val="001225F2"/>
    <w:rsid w:val="001234A5"/>
    <w:rsid w:val="001245CA"/>
    <w:rsid w:val="00124E08"/>
    <w:rsid w:val="00124E65"/>
    <w:rsid w:val="001260AD"/>
    <w:rsid w:val="0012743D"/>
    <w:rsid w:val="00131634"/>
    <w:rsid w:val="0013195A"/>
    <w:rsid w:val="0013266F"/>
    <w:rsid w:val="00132830"/>
    <w:rsid w:val="001329B5"/>
    <w:rsid w:val="00134029"/>
    <w:rsid w:val="00135797"/>
    <w:rsid w:val="001358BF"/>
    <w:rsid w:val="00136AC4"/>
    <w:rsid w:val="001375F2"/>
    <w:rsid w:val="001406FD"/>
    <w:rsid w:val="0014120E"/>
    <w:rsid w:val="00141B96"/>
    <w:rsid w:val="00141BA4"/>
    <w:rsid w:val="00141E62"/>
    <w:rsid w:val="00144A70"/>
    <w:rsid w:val="00144E1B"/>
    <w:rsid w:val="001453AA"/>
    <w:rsid w:val="00145617"/>
    <w:rsid w:val="0014598E"/>
    <w:rsid w:val="00146B99"/>
    <w:rsid w:val="00146BD3"/>
    <w:rsid w:val="00150D56"/>
    <w:rsid w:val="00151BCA"/>
    <w:rsid w:val="00152066"/>
    <w:rsid w:val="001526E7"/>
    <w:rsid w:val="00153041"/>
    <w:rsid w:val="00153133"/>
    <w:rsid w:val="00153AE8"/>
    <w:rsid w:val="00153F12"/>
    <w:rsid w:val="00154415"/>
    <w:rsid w:val="00154A57"/>
    <w:rsid w:val="00156CCF"/>
    <w:rsid w:val="00156E67"/>
    <w:rsid w:val="00157D7E"/>
    <w:rsid w:val="001622EB"/>
    <w:rsid w:val="0016335C"/>
    <w:rsid w:val="00164180"/>
    <w:rsid w:val="00164A8F"/>
    <w:rsid w:val="00164C38"/>
    <w:rsid w:val="0016506C"/>
    <w:rsid w:val="00166BF0"/>
    <w:rsid w:val="00167858"/>
    <w:rsid w:val="00167B41"/>
    <w:rsid w:val="00167DB2"/>
    <w:rsid w:val="00167E67"/>
    <w:rsid w:val="00171FC2"/>
    <w:rsid w:val="00172189"/>
    <w:rsid w:val="00172395"/>
    <w:rsid w:val="0017396D"/>
    <w:rsid w:val="001742FB"/>
    <w:rsid w:val="001752B6"/>
    <w:rsid w:val="00180F35"/>
    <w:rsid w:val="001830A7"/>
    <w:rsid w:val="00183D97"/>
    <w:rsid w:val="00184175"/>
    <w:rsid w:val="001859E6"/>
    <w:rsid w:val="00185D1E"/>
    <w:rsid w:val="0018760F"/>
    <w:rsid w:val="0019071B"/>
    <w:rsid w:val="00191A22"/>
    <w:rsid w:val="00191AA3"/>
    <w:rsid w:val="00192A5C"/>
    <w:rsid w:val="00192F77"/>
    <w:rsid w:val="001933DF"/>
    <w:rsid w:val="00193502"/>
    <w:rsid w:val="001940B6"/>
    <w:rsid w:val="001954D6"/>
    <w:rsid w:val="00195C4D"/>
    <w:rsid w:val="00196563"/>
    <w:rsid w:val="001A0592"/>
    <w:rsid w:val="001A0F28"/>
    <w:rsid w:val="001A0FC9"/>
    <w:rsid w:val="001A2EEC"/>
    <w:rsid w:val="001A3F43"/>
    <w:rsid w:val="001A4CE4"/>
    <w:rsid w:val="001B0147"/>
    <w:rsid w:val="001B03FC"/>
    <w:rsid w:val="001B05BD"/>
    <w:rsid w:val="001B1490"/>
    <w:rsid w:val="001B16E8"/>
    <w:rsid w:val="001B19BE"/>
    <w:rsid w:val="001B1EF2"/>
    <w:rsid w:val="001B25F3"/>
    <w:rsid w:val="001B2E1E"/>
    <w:rsid w:val="001B4C5C"/>
    <w:rsid w:val="001B7365"/>
    <w:rsid w:val="001B7698"/>
    <w:rsid w:val="001B7781"/>
    <w:rsid w:val="001B7945"/>
    <w:rsid w:val="001C06EA"/>
    <w:rsid w:val="001C0D44"/>
    <w:rsid w:val="001C1264"/>
    <w:rsid w:val="001C2221"/>
    <w:rsid w:val="001C226B"/>
    <w:rsid w:val="001C2612"/>
    <w:rsid w:val="001C2D62"/>
    <w:rsid w:val="001C3762"/>
    <w:rsid w:val="001C3C43"/>
    <w:rsid w:val="001C5385"/>
    <w:rsid w:val="001C54C4"/>
    <w:rsid w:val="001C5A3B"/>
    <w:rsid w:val="001C6607"/>
    <w:rsid w:val="001C6785"/>
    <w:rsid w:val="001D0775"/>
    <w:rsid w:val="001D0F98"/>
    <w:rsid w:val="001D1AEC"/>
    <w:rsid w:val="001D20AA"/>
    <w:rsid w:val="001D2B06"/>
    <w:rsid w:val="001D2CF1"/>
    <w:rsid w:val="001D373B"/>
    <w:rsid w:val="001D3BFB"/>
    <w:rsid w:val="001D3CAE"/>
    <w:rsid w:val="001D49E1"/>
    <w:rsid w:val="001D6413"/>
    <w:rsid w:val="001D66C0"/>
    <w:rsid w:val="001E0214"/>
    <w:rsid w:val="001E07B4"/>
    <w:rsid w:val="001E0DFD"/>
    <w:rsid w:val="001E0E5C"/>
    <w:rsid w:val="001E12AF"/>
    <w:rsid w:val="001E1C24"/>
    <w:rsid w:val="001E27A0"/>
    <w:rsid w:val="001E2B3E"/>
    <w:rsid w:val="001E2EB4"/>
    <w:rsid w:val="001E3BE9"/>
    <w:rsid w:val="001E64B5"/>
    <w:rsid w:val="001E6E82"/>
    <w:rsid w:val="001E7955"/>
    <w:rsid w:val="001E7A20"/>
    <w:rsid w:val="001E7C02"/>
    <w:rsid w:val="001F0458"/>
    <w:rsid w:val="001F070A"/>
    <w:rsid w:val="001F23FB"/>
    <w:rsid w:val="001F2A01"/>
    <w:rsid w:val="001F4098"/>
    <w:rsid w:val="001F4D32"/>
    <w:rsid w:val="001F59D1"/>
    <w:rsid w:val="001F65AB"/>
    <w:rsid w:val="001F69F2"/>
    <w:rsid w:val="00200027"/>
    <w:rsid w:val="00200B8D"/>
    <w:rsid w:val="002016AF"/>
    <w:rsid w:val="00202546"/>
    <w:rsid w:val="00202A19"/>
    <w:rsid w:val="00202A26"/>
    <w:rsid w:val="002031BB"/>
    <w:rsid w:val="0020358C"/>
    <w:rsid w:val="0020417C"/>
    <w:rsid w:val="0020467E"/>
    <w:rsid w:val="002047C3"/>
    <w:rsid w:val="002062E1"/>
    <w:rsid w:val="002063A2"/>
    <w:rsid w:val="0020643B"/>
    <w:rsid w:val="0021029A"/>
    <w:rsid w:val="002122B8"/>
    <w:rsid w:val="002146E0"/>
    <w:rsid w:val="002150A7"/>
    <w:rsid w:val="00216FA6"/>
    <w:rsid w:val="00217194"/>
    <w:rsid w:val="00217FC8"/>
    <w:rsid w:val="002203DA"/>
    <w:rsid w:val="002208ED"/>
    <w:rsid w:val="00220A37"/>
    <w:rsid w:val="0022107F"/>
    <w:rsid w:val="002221BE"/>
    <w:rsid w:val="00224EE7"/>
    <w:rsid w:val="002259CB"/>
    <w:rsid w:val="00226FB5"/>
    <w:rsid w:val="00227AEB"/>
    <w:rsid w:val="002317C3"/>
    <w:rsid w:val="00231FCE"/>
    <w:rsid w:val="002331D9"/>
    <w:rsid w:val="002338F4"/>
    <w:rsid w:val="00233A26"/>
    <w:rsid w:val="00233CD9"/>
    <w:rsid w:val="00233CDB"/>
    <w:rsid w:val="002350CB"/>
    <w:rsid w:val="0023527D"/>
    <w:rsid w:val="00235A6C"/>
    <w:rsid w:val="00235DCF"/>
    <w:rsid w:val="00236190"/>
    <w:rsid w:val="00236D45"/>
    <w:rsid w:val="00236EDE"/>
    <w:rsid w:val="00237079"/>
    <w:rsid w:val="002372D0"/>
    <w:rsid w:val="0024007D"/>
    <w:rsid w:val="0024027D"/>
    <w:rsid w:val="00241303"/>
    <w:rsid w:val="00242C8D"/>
    <w:rsid w:val="0024320B"/>
    <w:rsid w:val="002443A6"/>
    <w:rsid w:val="002450D8"/>
    <w:rsid w:val="00245C0F"/>
    <w:rsid w:val="00245E40"/>
    <w:rsid w:val="00246674"/>
    <w:rsid w:val="00247072"/>
    <w:rsid w:val="0024794F"/>
    <w:rsid w:val="002509DD"/>
    <w:rsid w:val="00250D17"/>
    <w:rsid w:val="00250FE2"/>
    <w:rsid w:val="002510CD"/>
    <w:rsid w:val="00253CAD"/>
    <w:rsid w:val="00253CB9"/>
    <w:rsid w:val="002558A6"/>
    <w:rsid w:val="00255AA6"/>
    <w:rsid w:val="00256658"/>
    <w:rsid w:val="00256671"/>
    <w:rsid w:val="00261782"/>
    <w:rsid w:val="00262CBA"/>
    <w:rsid w:val="0026613F"/>
    <w:rsid w:val="002669AC"/>
    <w:rsid w:val="0027066D"/>
    <w:rsid w:val="00270B94"/>
    <w:rsid w:val="00271745"/>
    <w:rsid w:val="0027311D"/>
    <w:rsid w:val="00273E35"/>
    <w:rsid w:val="002749BC"/>
    <w:rsid w:val="00274FB0"/>
    <w:rsid w:val="00275B2C"/>
    <w:rsid w:val="0027642B"/>
    <w:rsid w:val="00276B2C"/>
    <w:rsid w:val="00277D59"/>
    <w:rsid w:val="002802B3"/>
    <w:rsid w:val="00280EE3"/>
    <w:rsid w:val="00281A35"/>
    <w:rsid w:val="00281BB1"/>
    <w:rsid w:val="00281EC8"/>
    <w:rsid w:val="0028254B"/>
    <w:rsid w:val="00282683"/>
    <w:rsid w:val="002837C6"/>
    <w:rsid w:val="00283E44"/>
    <w:rsid w:val="00284EA0"/>
    <w:rsid w:val="002862AA"/>
    <w:rsid w:val="00290CF4"/>
    <w:rsid w:val="00291B0D"/>
    <w:rsid w:val="00291B6E"/>
    <w:rsid w:val="00295289"/>
    <w:rsid w:val="00296C6B"/>
    <w:rsid w:val="00297BBF"/>
    <w:rsid w:val="002A0B0F"/>
    <w:rsid w:val="002A1F08"/>
    <w:rsid w:val="002A2047"/>
    <w:rsid w:val="002A3251"/>
    <w:rsid w:val="002A3B8E"/>
    <w:rsid w:val="002A59A9"/>
    <w:rsid w:val="002A5CC6"/>
    <w:rsid w:val="002A70AB"/>
    <w:rsid w:val="002A7F6E"/>
    <w:rsid w:val="002B0C03"/>
    <w:rsid w:val="002B0EB7"/>
    <w:rsid w:val="002B28D4"/>
    <w:rsid w:val="002B2E25"/>
    <w:rsid w:val="002B378A"/>
    <w:rsid w:val="002B3A5B"/>
    <w:rsid w:val="002B7F32"/>
    <w:rsid w:val="002C0A04"/>
    <w:rsid w:val="002C0ED1"/>
    <w:rsid w:val="002C17BD"/>
    <w:rsid w:val="002C1F34"/>
    <w:rsid w:val="002C2D57"/>
    <w:rsid w:val="002C4EEA"/>
    <w:rsid w:val="002C5235"/>
    <w:rsid w:val="002C5B32"/>
    <w:rsid w:val="002C75AD"/>
    <w:rsid w:val="002D09EB"/>
    <w:rsid w:val="002D267A"/>
    <w:rsid w:val="002D39A1"/>
    <w:rsid w:val="002D5A36"/>
    <w:rsid w:val="002D5CF6"/>
    <w:rsid w:val="002D6C12"/>
    <w:rsid w:val="002D7C30"/>
    <w:rsid w:val="002E1241"/>
    <w:rsid w:val="002E13B6"/>
    <w:rsid w:val="002E2584"/>
    <w:rsid w:val="002E2648"/>
    <w:rsid w:val="002E2CA7"/>
    <w:rsid w:val="002E3785"/>
    <w:rsid w:val="002E5374"/>
    <w:rsid w:val="002E6A50"/>
    <w:rsid w:val="002E6ACA"/>
    <w:rsid w:val="002E7D16"/>
    <w:rsid w:val="002F47A4"/>
    <w:rsid w:val="002F54B9"/>
    <w:rsid w:val="002F66F9"/>
    <w:rsid w:val="002F7884"/>
    <w:rsid w:val="002F788D"/>
    <w:rsid w:val="00302116"/>
    <w:rsid w:val="00302197"/>
    <w:rsid w:val="00303232"/>
    <w:rsid w:val="0030447C"/>
    <w:rsid w:val="00306C30"/>
    <w:rsid w:val="003070EF"/>
    <w:rsid w:val="003072BC"/>
    <w:rsid w:val="00307EC7"/>
    <w:rsid w:val="00310695"/>
    <w:rsid w:val="00310FC9"/>
    <w:rsid w:val="00311C9B"/>
    <w:rsid w:val="00312FA1"/>
    <w:rsid w:val="00313000"/>
    <w:rsid w:val="0031415B"/>
    <w:rsid w:val="0031448E"/>
    <w:rsid w:val="00314AD5"/>
    <w:rsid w:val="00315F6F"/>
    <w:rsid w:val="003164F1"/>
    <w:rsid w:val="00320AFA"/>
    <w:rsid w:val="00320B83"/>
    <w:rsid w:val="003212C4"/>
    <w:rsid w:val="00321DC8"/>
    <w:rsid w:val="00322024"/>
    <w:rsid w:val="003222A6"/>
    <w:rsid w:val="00324866"/>
    <w:rsid w:val="00326397"/>
    <w:rsid w:val="0032714D"/>
    <w:rsid w:val="0033080C"/>
    <w:rsid w:val="0033091C"/>
    <w:rsid w:val="00330C6A"/>
    <w:rsid w:val="00331C39"/>
    <w:rsid w:val="00332C03"/>
    <w:rsid w:val="003347BC"/>
    <w:rsid w:val="00335010"/>
    <w:rsid w:val="00335507"/>
    <w:rsid w:val="00335E34"/>
    <w:rsid w:val="003407B2"/>
    <w:rsid w:val="0034314D"/>
    <w:rsid w:val="0034380D"/>
    <w:rsid w:val="003452FE"/>
    <w:rsid w:val="0034539C"/>
    <w:rsid w:val="0034566B"/>
    <w:rsid w:val="0034631B"/>
    <w:rsid w:val="00346D5E"/>
    <w:rsid w:val="00347037"/>
    <w:rsid w:val="003478FB"/>
    <w:rsid w:val="00350A25"/>
    <w:rsid w:val="00352486"/>
    <w:rsid w:val="003535AB"/>
    <w:rsid w:val="00353E54"/>
    <w:rsid w:val="003556D5"/>
    <w:rsid w:val="00355A9C"/>
    <w:rsid w:val="00357A11"/>
    <w:rsid w:val="00357FF6"/>
    <w:rsid w:val="00360D6A"/>
    <w:rsid w:val="0036124A"/>
    <w:rsid w:val="00362EED"/>
    <w:rsid w:val="00363EC4"/>
    <w:rsid w:val="003645D8"/>
    <w:rsid w:val="0036569A"/>
    <w:rsid w:val="00365730"/>
    <w:rsid w:val="003662AD"/>
    <w:rsid w:val="00370685"/>
    <w:rsid w:val="00370BF2"/>
    <w:rsid w:val="0037140B"/>
    <w:rsid w:val="00372B63"/>
    <w:rsid w:val="00372E0F"/>
    <w:rsid w:val="00373EEE"/>
    <w:rsid w:val="003743DE"/>
    <w:rsid w:val="00374593"/>
    <w:rsid w:val="00374D29"/>
    <w:rsid w:val="00375348"/>
    <w:rsid w:val="00376A23"/>
    <w:rsid w:val="003800AF"/>
    <w:rsid w:val="003804DE"/>
    <w:rsid w:val="003806F2"/>
    <w:rsid w:val="003819B7"/>
    <w:rsid w:val="003822D1"/>
    <w:rsid w:val="00382314"/>
    <w:rsid w:val="00383074"/>
    <w:rsid w:val="003837AF"/>
    <w:rsid w:val="003843F2"/>
    <w:rsid w:val="00384707"/>
    <w:rsid w:val="00385045"/>
    <w:rsid w:val="00386717"/>
    <w:rsid w:val="003868F3"/>
    <w:rsid w:val="00386CFF"/>
    <w:rsid w:val="00387DAE"/>
    <w:rsid w:val="00390220"/>
    <w:rsid w:val="0039027A"/>
    <w:rsid w:val="003907C5"/>
    <w:rsid w:val="00392AFA"/>
    <w:rsid w:val="003967E6"/>
    <w:rsid w:val="00397287"/>
    <w:rsid w:val="003A0EA7"/>
    <w:rsid w:val="003A2259"/>
    <w:rsid w:val="003A2717"/>
    <w:rsid w:val="003A5262"/>
    <w:rsid w:val="003A5A4F"/>
    <w:rsid w:val="003A5CCE"/>
    <w:rsid w:val="003A7AFE"/>
    <w:rsid w:val="003B0A3E"/>
    <w:rsid w:val="003B14FE"/>
    <w:rsid w:val="003B1A18"/>
    <w:rsid w:val="003B3427"/>
    <w:rsid w:val="003B3855"/>
    <w:rsid w:val="003B4C81"/>
    <w:rsid w:val="003B500F"/>
    <w:rsid w:val="003B5258"/>
    <w:rsid w:val="003B638D"/>
    <w:rsid w:val="003C0196"/>
    <w:rsid w:val="003C040C"/>
    <w:rsid w:val="003C10F3"/>
    <w:rsid w:val="003C2A73"/>
    <w:rsid w:val="003C4747"/>
    <w:rsid w:val="003C48AE"/>
    <w:rsid w:val="003C5133"/>
    <w:rsid w:val="003C625B"/>
    <w:rsid w:val="003C691C"/>
    <w:rsid w:val="003C6EFF"/>
    <w:rsid w:val="003D0671"/>
    <w:rsid w:val="003D07E3"/>
    <w:rsid w:val="003D182C"/>
    <w:rsid w:val="003D1DD0"/>
    <w:rsid w:val="003D21A8"/>
    <w:rsid w:val="003D221C"/>
    <w:rsid w:val="003D2552"/>
    <w:rsid w:val="003D3194"/>
    <w:rsid w:val="003D3C18"/>
    <w:rsid w:val="003D44D7"/>
    <w:rsid w:val="003D502F"/>
    <w:rsid w:val="003E022D"/>
    <w:rsid w:val="003E0578"/>
    <w:rsid w:val="003E1081"/>
    <w:rsid w:val="003E3CE4"/>
    <w:rsid w:val="003E3F88"/>
    <w:rsid w:val="003E6D0C"/>
    <w:rsid w:val="003F0107"/>
    <w:rsid w:val="003F099E"/>
    <w:rsid w:val="003F3695"/>
    <w:rsid w:val="003F4249"/>
    <w:rsid w:val="003F55DF"/>
    <w:rsid w:val="003F5AB3"/>
    <w:rsid w:val="003F5FF9"/>
    <w:rsid w:val="003F6064"/>
    <w:rsid w:val="003F6917"/>
    <w:rsid w:val="003F6A6B"/>
    <w:rsid w:val="003F78C2"/>
    <w:rsid w:val="00400769"/>
    <w:rsid w:val="00400D00"/>
    <w:rsid w:val="004022AB"/>
    <w:rsid w:val="004027D5"/>
    <w:rsid w:val="004049FE"/>
    <w:rsid w:val="00404F18"/>
    <w:rsid w:val="00404FD5"/>
    <w:rsid w:val="004076D9"/>
    <w:rsid w:val="00407928"/>
    <w:rsid w:val="00407987"/>
    <w:rsid w:val="00407F76"/>
    <w:rsid w:val="00410082"/>
    <w:rsid w:val="004108D3"/>
    <w:rsid w:val="00411CA6"/>
    <w:rsid w:val="00411D34"/>
    <w:rsid w:val="00413702"/>
    <w:rsid w:val="00414332"/>
    <w:rsid w:val="004145AA"/>
    <w:rsid w:val="00414A4D"/>
    <w:rsid w:val="004152EC"/>
    <w:rsid w:val="004161C7"/>
    <w:rsid w:val="00416574"/>
    <w:rsid w:val="00416932"/>
    <w:rsid w:val="00420AF3"/>
    <w:rsid w:val="00421333"/>
    <w:rsid w:val="0042143B"/>
    <w:rsid w:val="00421D05"/>
    <w:rsid w:val="00422488"/>
    <w:rsid w:val="00422528"/>
    <w:rsid w:val="00422BFC"/>
    <w:rsid w:val="00422F6E"/>
    <w:rsid w:val="00423EEF"/>
    <w:rsid w:val="00424651"/>
    <w:rsid w:val="00424A86"/>
    <w:rsid w:val="00424B79"/>
    <w:rsid w:val="004257D6"/>
    <w:rsid w:val="00425850"/>
    <w:rsid w:val="00426606"/>
    <w:rsid w:val="00427F17"/>
    <w:rsid w:val="004314C1"/>
    <w:rsid w:val="00432F97"/>
    <w:rsid w:val="0043369B"/>
    <w:rsid w:val="00433B19"/>
    <w:rsid w:val="004343F9"/>
    <w:rsid w:val="004351A2"/>
    <w:rsid w:val="004360B1"/>
    <w:rsid w:val="004360D5"/>
    <w:rsid w:val="004364B0"/>
    <w:rsid w:val="0043716C"/>
    <w:rsid w:val="004401B9"/>
    <w:rsid w:val="004402B9"/>
    <w:rsid w:val="0044184B"/>
    <w:rsid w:val="00441F45"/>
    <w:rsid w:val="004421C7"/>
    <w:rsid w:val="004426F1"/>
    <w:rsid w:val="00442C45"/>
    <w:rsid w:val="0044327D"/>
    <w:rsid w:val="0044337B"/>
    <w:rsid w:val="00443380"/>
    <w:rsid w:val="00443D1C"/>
    <w:rsid w:val="00443D38"/>
    <w:rsid w:val="00444BE2"/>
    <w:rsid w:val="00444C3B"/>
    <w:rsid w:val="00445BDB"/>
    <w:rsid w:val="00446EF3"/>
    <w:rsid w:val="0044794C"/>
    <w:rsid w:val="0045005C"/>
    <w:rsid w:val="0045144F"/>
    <w:rsid w:val="004515E3"/>
    <w:rsid w:val="0045460A"/>
    <w:rsid w:val="00454BCF"/>
    <w:rsid w:val="00455AF3"/>
    <w:rsid w:val="00455D29"/>
    <w:rsid w:val="004561B9"/>
    <w:rsid w:val="004601AE"/>
    <w:rsid w:val="00460613"/>
    <w:rsid w:val="004609F9"/>
    <w:rsid w:val="00463E4C"/>
    <w:rsid w:val="00465BBA"/>
    <w:rsid w:val="00466D9C"/>
    <w:rsid w:val="004672A0"/>
    <w:rsid w:val="0046746F"/>
    <w:rsid w:val="00467895"/>
    <w:rsid w:val="00467BFA"/>
    <w:rsid w:val="00467E46"/>
    <w:rsid w:val="0047168D"/>
    <w:rsid w:val="004719D7"/>
    <w:rsid w:val="0047272B"/>
    <w:rsid w:val="00472ABE"/>
    <w:rsid w:val="00472D43"/>
    <w:rsid w:val="00473444"/>
    <w:rsid w:val="0047350C"/>
    <w:rsid w:val="004753EC"/>
    <w:rsid w:val="00475660"/>
    <w:rsid w:val="00475DB4"/>
    <w:rsid w:val="0047682F"/>
    <w:rsid w:val="004769D5"/>
    <w:rsid w:val="0047701C"/>
    <w:rsid w:val="0048138A"/>
    <w:rsid w:val="004815EE"/>
    <w:rsid w:val="00482369"/>
    <w:rsid w:val="0048379E"/>
    <w:rsid w:val="00484D23"/>
    <w:rsid w:val="00485838"/>
    <w:rsid w:val="00486270"/>
    <w:rsid w:val="004904C8"/>
    <w:rsid w:val="00490DB7"/>
    <w:rsid w:val="004919ED"/>
    <w:rsid w:val="004927CF"/>
    <w:rsid w:val="00492ADF"/>
    <w:rsid w:val="00492EDF"/>
    <w:rsid w:val="004953E1"/>
    <w:rsid w:val="00496A14"/>
    <w:rsid w:val="004A2156"/>
    <w:rsid w:val="004A265F"/>
    <w:rsid w:val="004A2854"/>
    <w:rsid w:val="004A3172"/>
    <w:rsid w:val="004A51E1"/>
    <w:rsid w:val="004A520E"/>
    <w:rsid w:val="004A544A"/>
    <w:rsid w:val="004A5607"/>
    <w:rsid w:val="004A568C"/>
    <w:rsid w:val="004A5965"/>
    <w:rsid w:val="004A69D5"/>
    <w:rsid w:val="004A7B4F"/>
    <w:rsid w:val="004A7BC4"/>
    <w:rsid w:val="004A7F10"/>
    <w:rsid w:val="004B1834"/>
    <w:rsid w:val="004B2720"/>
    <w:rsid w:val="004B29F8"/>
    <w:rsid w:val="004B3001"/>
    <w:rsid w:val="004B33EE"/>
    <w:rsid w:val="004B3A29"/>
    <w:rsid w:val="004B3A9F"/>
    <w:rsid w:val="004B437C"/>
    <w:rsid w:val="004B47AB"/>
    <w:rsid w:val="004B49F4"/>
    <w:rsid w:val="004B79E4"/>
    <w:rsid w:val="004B7A9F"/>
    <w:rsid w:val="004C13EB"/>
    <w:rsid w:val="004C1990"/>
    <w:rsid w:val="004C1A5D"/>
    <w:rsid w:val="004C2B98"/>
    <w:rsid w:val="004C477B"/>
    <w:rsid w:val="004C4A76"/>
    <w:rsid w:val="004C5A64"/>
    <w:rsid w:val="004C6F47"/>
    <w:rsid w:val="004D0E20"/>
    <w:rsid w:val="004D204B"/>
    <w:rsid w:val="004D2A8F"/>
    <w:rsid w:val="004D542D"/>
    <w:rsid w:val="004D58AC"/>
    <w:rsid w:val="004D5C69"/>
    <w:rsid w:val="004D5DAB"/>
    <w:rsid w:val="004D6153"/>
    <w:rsid w:val="004D639F"/>
    <w:rsid w:val="004D674B"/>
    <w:rsid w:val="004D6F51"/>
    <w:rsid w:val="004D7A2E"/>
    <w:rsid w:val="004E232F"/>
    <w:rsid w:val="004E3A38"/>
    <w:rsid w:val="004E4FC8"/>
    <w:rsid w:val="004E5A69"/>
    <w:rsid w:val="004E7070"/>
    <w:rsid w:val="004E7BB0"/>
    <w:rsid w:val="004E7CED"/>
    <w:rsid w:val="004F107A"/>
    <w:rsid w:val="004F1952"/>
    <w:rsid w:val="004F1ACD"/>
    <w:rsid w:val="004F2109"/>
    <w:rsid w:val="004F32D7"/>
    <w:rsid w:val="004F51D0"/>
    <w:rsid w:val="004F5470"/>
    <w:rsid w:val="004F5648"/>
    <w:rsid w:val="004F5C23"/>
    <w:rsid w:val="004F6ECD"/>
    <w:rsid w:val="00500648"/>
    <w:rsid w:val="005027CB"/>
    <w:rsid w:val="00503449"/>
    <w:rsid w:val="00503A23"/>
    <w:rsid w:val="00503D63"/>
    <w:rsid w:val="005045D3"/>
    <w:rsid w:val="00504CB8"/>
    <w:rsid w:val="005055D5"/>
    <w:rsid w:val="00505BF1"/>
    <w:rsid w:val="00506005"/>
    <w:rsid w:val="005063DA"/>
    <w:rsid w:val="00507D1E"/>
    <w:rsid w:val="00507E45"/>
    <w:rsid w:val="005104C5"/>
    <w:rsid w:val="00511052"/>
    <w:rsid w:val="00512957"/>
    <w:rsid w:val="005129C9"/>
    <w:rsid w:val="005134C7"/>
    <w:rsid w:val="00514052"/>
    <w:rsid w:val="00516768"/>
    <w:rsid w:val="00516C8B"/>
    <w:rsid w:val="005208F2"/>
    <w:rsid w:val="00520AFA"/>
    <w:rsid w:val="00521559"/>
    <w:rsid w:val="00522993"/>
    <w:rsid w:val="00522B12"/>
    <w:rsid w:val="00522EAE"/>
    <w:rsid w:val="005235DF"/>
    <w:rsid w:val="005237AC"/>
    <w:rsid w:val="00523E26"/>
    <w:rsid w:val="00523F41"/>
    <w:rsid w:val="00525C12"/>
    <w:rsid w:val="00527901"/>
    <w:rsid w:val="00527B34"/>
    <w:rsid w:val="00527DD7"/>
    <w:rsid w:val="00530E98"/>
    <w:rsid w:val="00531D4D"/>
    <w:rsid w:val="00531F75"/>
    <w:rsid w:val="00531F94"/>
    <w:rsid w:val="00532663"/>
    <w:rsid w:val="005326D4"/>
    <w:rsid w:val="00533DA1"/>
    <w:rsid w:val="005345E8"/>
    <w:rsid w:val="005349BF"/>
    <w:rsid w:val="00535F61"/>
    <w:rsid w:val="005366FA"/>
    <w:rsid w:val="0054009D"/>
    <w:rsid w:val="0054039F"/>
    <w:rsid w:val="00542045"/>
    <w:rsid w:val="005452A2"/>
    <w:rsid w:val="00545384"/>
    <w:rsid w:val="00546446"/>
    <w:rsid w:val="00546490"/>
    <w:rsid w:val="00546F9D"/>
    <w:rsid w:val="00547D78"/>
    <w:rsid w:val="00552A40"/>
    <w:rsid w:val="00553502"/>
    <w:rsid w:val="0055441C"/>
    <w:rsid w:val="00555986"/>
    <w:rsid w:val="005579E1"/>
    <w:rsid w:val="00560BA5"/>
    <w:rsid w:val="005634AD"/>
    <w:rsid w:val="0056526B"/>
    <w:rsid w:val="0056578A"/>
    <w:rsid w:val="0056595B"/>
    <w:rsid w:val="00565AC7"/>
    <w:rsid w:val="00566AB1"/>
    <w:rsid w:val="00567941"/>
    <w:rsid w:val="00567A2B"/>
    <w:rsid w:val="00570584"/>
    <w:rsid w:val="00570CF4"/>
    <w:rsid w:val="00571774"/>
    <w:rsid w:val="005718A1"/>
    <w:rsid w:val="00571C0D"/>
    <w:rsid w:val="00571CB1"/>
    <w:rsid w:val="00571F97"/>
    <w:rsid w:val="005722D8"/>
    <w:rsid w:val="00572C4C"/>
    <w:rsid w:val="0057346B"/>
    <w:rsid w:val="0057355C"/>
    <w:rsid w:val="00573D1D"/>
    <w:rsid w:val="00573F7A"/>
    <w:rsid w:val="005748EF"/>
    <w:rsid w:val="005752B9"/>
    <w:rsid w:val="00575338"/>
    <w:rsid w:val="0057542C"/>
    <w:rsid w:val="00575AB3"/>
    <w:rsid w:val="0057605E"/>
    <w:rsid w:val="005762C4"/>
    <w:rsid w:val="00576E09"/>
    <w:rsid w:val="00577261"/>
    <w:rsid w:val="0058127F"/>
    <w:rsid w:val="0058133F"/>
    <w:rsid w:val="00581DB2"/>
    <w:rsid w:val="00581F96"/>
    <w:rsid w:val="00582EE0"/>
    <w:rsid w:val="0058382F"/>
    <w:rsid w:val="00583CCC"/>
    <w:rsid w:val="00585ED0"/>
    <w:rsid w:val="00586771"/>
    <w:rsid w:val="00586A30"/>
    <w:rsid w:val="00586BE2"/>
    <w:rsid w:val="00587EF6"/>
    <w:rsid w:val="00590D2E"/>
    <w:rsid w:val="0059128E"/>
    <w:rsid w:val="005912CB"/>
    <w:rsid w:val="005913D8"/>
    <w:rsid w:val="005920E0"/>
    <w:rsid w:val="00592164"/>
    <w:rsid w:val="005925BB"/>
    <w:rsid w:val="00592B57"/>
    <w:rsid w:val="00593222"/>
    <w:rsid w:val="00594747"/>
    <w:rsid w:val="00594844"/>
    <w:rsid w:val="0059497F"/>
    <w:rsid w:val="00594E8D"/>
    <w:rsid w:val="00597AED"/>
    <w:rsid w:val="00597D0C"/>
    <w:rsid w:val="00597EBC"/>
    <w:rsid w:val="005A1C8E"/>
    <w:rsid w:val="005A2618"/>
    <w:rsid w:val="005A2C97"/>
    <w:rsid w:val="005A35A0"/>
    <w:rsid w:val="005A646E"/>
    <w:rsid w:val="005A6F41"/>
    <w:rsid w:val="005A711F"/>
    <w:rsid w:val="005A7713"/>
    <w:rsid w:val="005A7AE7"/>
    <w:rsid w:val="005B042F"/>
    <w:rsid w:val="005B0A34"/>
    <w:rsid w:val="005B0A6A"/>
    <w:rsid w:val="005B1405"/>
    <w:rsid w:val="005B24EE"/>
    <w:rsid w:val="005B29CE"/>
    <w:rsid w:val="005B2A86"/>
    <w:rsid w:val="005B49D4"/>
    <w:rsid w:val="005B5F1D"/>
    <w:rsid w:val="005B7489"/>
    <w:rsid w:val="005B7E29"/>
    <w:rsid w:val="005C3F7B"/>
    <w:rsid w:val="005C40EC"/>
    <w:rsid w:val="005C52D0"/>
    <w:rsid w:val="005C6909"/>
    <w:rsid w:val="005C6DD2"/>
    <w:rsid w:val="005C7735"/>
    <w:rsid w:val="005D15B8"/>
    <w:rsid w:val="005D15E6"/>
    <w:rsid w:val="005D3B6D"/>
    <w:rsid w:val="005D4048"/>
    <w:rsid w:val="005D4B5D"/>
    <w:rsid w:val="005D603B"/>
    <w:rsid w:val="005D7C2C"/>
    <w:rsid w:val="005E0F1F"/>
    <w:rsid w:val="005E150A"/>
    <w:rsid w:val="005E1FC9"/>
    <w:rsid w:val="005E28CB"/>
    <w:rsid w:val="005E36F9"/>
    <w:rsid w:val="005E4215"/>
    <w:rsid w:val="005E50A7"/>
    <w:rsid w:val="005E517F"/>
    <w:rsid w:val="005E5F60"/>
    <w:rsid w:val="005E6008"/>
    <w:rsid w:val="005E76D5"/>
    <w:rsid w:val="005E7DD5"/>
    <w:rsid w:val="005F17E1"/>
    <w:rsid w:val="005F3A53"/>
    <w:rsid w:val="005F3F99"/>
    <w:rsid w:val="005F50B9"/>
    <w:rsid w:val="005F5300"/>
    <w:rsid w:val="005F7B93"/>
    <w:rsid w:val="0060021B"/>
    <w:rsid w:val="00600E9E"/>
    <w:rsid w:val="00601863"/>
    <w:rsid w:val="00602936"/>
    <w:rsid w:val="006036DE"/>
    <w:rsid w:val="006037FB"/>
    <w:rsid w:val="00603A16"/>
    <w:rsid w:val="00603D43"/>
    <w:rsid w:val="0060470D"/>
    <w:rsid w:val="00610045"/>
    <w:rsid w:val="006111D5"/>
    <w:rsid w:val="006111F5"/>
    <w:rsid w:val="006119AA"/>
    <w:rsid w:val="006119F1"/>
    <w:rsid w:val="006125E7"/>
    <w:rsid w:val="00612B9B"/>
    <w:rsid w:val="00612CF4"/>
    <w:rsid w:val="00613021"/>
    <w:rsid w:val="00613E61"/>
    <w:rsid w:val="00615BDF"/>
    <w:rsid w:val="00616CB6"/>
    <w:rsid w:val="00617777"/>
    <w:rsid w:val="00620469"/>
    <w:rsid w:val="00620879"/>
    <w:rsid w:val="006231E8"/>
    <w:rsid w:val="00623E11"/>
    <w:rsid w:val="00623E23"/>
    <w:rsid w:val="00624104"/>
    <w:rsid w:val="00624D13"/>
    <w:rsid w:val="00624F44"/>
    <w:rsid w:val="0062536E"/>
    <w:rsid w:val="00625B94"/>
    <w:rsid w:val="00626A29"/>
    <w:rsid w:val="00626C2C"/>
    <w:rsid w:val="00630ABD"/>
    <w:rsid w:val="00630CBB"/>
    <w:rsid w:val="00630D41"/>
    <w:rsid w:val="006310C9"/>
    <w:rsid w:val="006322C4"/>
    <w:rsid w:val="00632387"/>
    <w:rsid w:val="00633718"/>
    <w:rsid w:val="0063667C"/>
    <w:rsid w:val="00640223"/>
    <w:rsid w:val="00640472"/>
    <w:rsid w:val="00640CB0"/>
    <w:rsid w:val="006411DE"/>
    <w:rsid w:val="00641C8C"/>
    <w:rsid w:val="006447AE"/>
    <w:rsid w:val="006448C5"/>
    <w:rsid w:val="00645529"/>
    <w:rsid w:val="00645744"/>
    <w:rsid w:val="006461D6"/>
    <w:rsid w:val="0064662D"/>
    <w:rsid w:val="00646684"/>
    <w:rsid w:val="00646FAE"/>
    <w:rsid w:val="00647B3D"/>
    <w:rsid w:val="00647FB6"/>
    <w:rsid w:val="00650AC4"/>
    <w:rsid w:val="00651058"/>
    <w:rsid w:val="0065324C"/>
    <w:rsid w:val="0065344C"/>
    <w:rsid w:val="00654C65"/>
    <w:rsid w:val="006555BD"/>
    <w:rsid w:val="00655A75"/>
    <w:rsid w:val="00655D07"/>
    <w:rsid w:val="00656986"/>
    <w:rsid w:val="00656E1C"/>
    <w:rsid w:val="00660B6E"/>
    <w:rsid w:val="0066134D"/>
    <w:rsid w:val="006616B4"/>
    <w:rsid w:val="00662349"/>
    <w:rsid w:val="00663124"/>
    <w:rsid w:val="00663FB0"/>
    <w:rsid w:val="00665754"/>
    <w:rsid w:val="00666C4D"/>
    <w:rsid w:val="006670DF"/>
    <w:rsid w:val="0066761C"/>
    <w:rsid w:val="006676E2"/>
    <w:rsid w:val="00667974"/>
    <w:rsid w:val="00667C9A"/>
    <w:rsid w:val="00667CF7"/>
    <w:rsid w:val="00670044"/>
    <w:rsid w:val="00670171"/>
    <w:rsid w:val="00670F3C"/>
    <w:rsid w:val="006710E5"/>
    <w:rsid w:val="006718D7"/>
    <w:rsid w:val="00671C34"/>
    <w:rsid w:val="00672C77"/>
    <w:rsid w:val="0067383F"/>
    <w:rsid w:val="00674CD9"/>
    <w:rsid w:val="00675485"/>
    <w:rsid w:val="00675AE1"/>
    <w:rsid w:val="00675BA9"/>
    <w:rsid w:val="00676727"/>
    <w:rsid w:val="00677834"/>
    <w:rsid w:val="00681103"/>
    <w:rsid w:val="00682B8C"/>
    <w:rsid w:val="00682BB1"/>
    <w:rsid w:val="0068367A"/>
    <w:rsid w:val="00683E86"/>
    <w:rsid w:val="00683ED1"/>
    <w:rsid w:val="00684151"/>
    <w:rsid w:val="0068438E"/>
    <w:rsid w:val="00685EB4"/>
    <w:rsid w:val="0068631B"/>
    <w:rsid w:val="00690A5C"/>
    <w:rsid w:val="00691312"/>
    <w:rsid w:val="00691B52"/>
    <w:rsid w:val="006925CC"/>
    <w:rsid w:val="00692C20"/>
    <w:rsid w:val="00693E77"/>
    <w:rsid w:val="0069455B"/>
    <w:rsid w:val="00694E21"/>
    <w:rsid w:val="00695880"/>
    <w:rsid w:val="006958A3"/>
    <w:rsid w:val="00695FAE"/>
    <w:rsid w:val="00696681"/>
    <w:rsid w:val="00696773"/>
    <w:rsid w:val="00696F97"/>
    <w:rsid w:val="0069712F"/>
    <w:rsid w:val="006976CF"/>
    <w:rsid w:val="0069794D"/>
    <w:rsid w:val="006A0C37"/>
    <w:rsid w:val="006A0CF7"/>
    <w:rsid w:val="006A2028"/>
    <w:rsid w:val="006A2BA8"/>
    <w:rsid w:val="006A2CC5"/>
    <w:rsid w:val="006A42FD"/>
    <w:rsid w:val="006A4968"/>
    <w:rsid w:val="006A4C05"/>
    <w:rsid w:val="006A4D2D"/>
    <w:rsid w:val="006A5439"/>
    <w:rsid w:val="006A60CA"/>
    <w:rsid w:val="006A65DA"/>
    <w:rsid w:val="006A6EAF"/>
    <w:rsid w:val="006A7B54"/>
    <w:rsid w:val="006A7CE6"/>
    <w:rsid w:val="006B05C8"/>
    <w:rsid w:val="006B24A4"/>
    <w:rsid w:val="006B35C7"/>
    <w:rsid w:val="006B3BBD"/>
    <w:rsid w:val="006B5540"/>
    <w:rsid w:val="006B7DA5"/>
    <w:rsid w:val="006C0FFB"/>
    <w:rsid w:val="006C2B16"/>
    <w:rsid w:val="006C2B84"/>
    <w:rsid w:val="006C3575"/>
    <w:rsid w:val="006C3DFC"/>
    <w:rsid w:val="006C4936"/>
    <w:rsid w:val="006C4AAF"/>
    <w:rsid w:val="006C4F22"/>
    <w:rsid w:val="006C5390"/>
    <w:rsid w:val="006C6755"/>
    <w:rsid w:val="006C6FE4"/>
    <w:rsid w:val="006C7155"/>
    <w:rsid w:val="006C7222"/>
    <w:rsid w:val="006C7474"/>
    <w:rsid w:val="006D0A90"/>
    <w:rsid w:val="006D15E8"/>
    <w:rsid w:val="006D26B1"/>
    <w:rsid w:val="006D2A85"/>
    <w:rsid w:val="006D3233"/>
    <w:rsid w:val="006D453E"/>
    <w:rsid w:val="006D4C9B"/>
    <w:rsid w:val="006D5C6E"/>
    <w:rsid w:val="006D5CA7"/>
    <w:rsid w:val="006D5D28"/>
    <w:rsid w:val="006D5E43"/>
    <w:rsid w:val="006D5E53"/>
    <w:rsid w:val="006D6806"/>
    <w:rsid w:val="006D6D48"/>
    <w:rsid w:val="006D72A1"/>
    <w:rsid w:val="006D77A3"/>
    <w:rsid w:val="006D7955"/>
    <w:rsid w:val="006E0351"/>
    <w:rsid w:val="006E0521"/>
    <w:rsid w:val="006E0FB3"/>
    <w:rsid w:val="006E1988"/>
    <w:rsid w:val="006E1C81"/>
    <w:rsid w:val="006E210A"/>
    <w:rsid w:val="006E22F9"/>
    <w:rsid w:val="006E2569"/>
    <w:rsid w:val="006E260B"/>
    <w:rsid w:val="006E295E"/>
    <w:rsid w:val="006E385E"/>
    <w:rsid w:val="006E3A2A"/>
    <w:rsid w:val="006E3A7C"/>
    <w:rsid w:val="006E3BCD"/>
    <w:rsid w:val="006E3CAD"/>
    <w:rsid w:val="006E3F72"/>
    <w:rsid w:val="006E4BB3"/>
    <w:rsid w:val="006E51A3"/>
    <w:rsid w:val="006E5665"/>
    <w:rsid w:val="006E65A8"/>
    <w:rsid w:val="006E65D8"/>
    <w:rsid w:val="006E67D2"/>
    <w:rsid w:val="006E6F0B"/>
    <w:rsid w:val="006E76DD"/>
    <w:rsid w:val="006E7749"/>
    <w:rsid w:val="006E7D6E"/>
    <w:rsid w:val="006F2967"/>
    <w:rsid w:val="006F2E80"/>
    <w:rsid w:val="006F37D7"/>
    <w:rsid w:val="006F381B"/>
    <w:rsid w:val="006F4015"/>
    <w:rsid w:val="006F4165"/>
    <w:rsid w:val="006F45A2"/>
    <w:rsid w:val="006F5BB1"/>
    <w:rsid w:val="006F78C0"/>
    <w:rsid w:val="006F7C67"/>
    <w:rsid w:val="00700017"/>
    <w:rsid w:val="00700839"/>
    <w:rsid w:val="00701F70"/>
    <w:rsid w:val="00702BE5"/>
    <w:rsid w:val="00703FF0"/>
    <w:rsid w:val="0071003C"/>
    <w:rsid w:val="00710490"/>
    <w:rsid w:val="007104B4"/>
    <w:rsid w:val="007108DC"/>
    <w:rsid w:val="007109AF"/>
    <w:rsid w:val="00710F88"/>
    <w:rsid w:val="007117C0"/>
    <w:rsid w:val="00712034"/>
    <w:rsid w:val="007155B8"/>
    <w:rsid w:val="0071606E"/>
    <w:rsid w:val="00721C55"/>
    <w:rsid w:val="007226EA"/>
    <w:rsid w:val="007231ED"/>
    <w:rsid w:val="00725722"/>
    <w:rsid w:val="007264B4"/>
    <w:rsid w:val="00726595"/>
    <w:rsid w:val="00730822"/>
    <w:rsid w:val="00732D11"/>
    <w:rsid w:val="00735855"/>
    <w:rsid w:val="007373E7"/>
    <w:rsid w:val="0073756E"/>
    <w:rsid w:val="0073773B"/>
    <w:rsid w:val="00737D21"/>
    <w:rsid w:val="00740A10"/>
    <w:rsid w:val="00740A4F"/>
    <w:rsid w:val="00741953"/>
    <w:rsid w:val="00741979"/>
    <w:rsid w:val="00741D81"/>
    <w:rsid w:val="007424F5"/>
    <w:rsid w:val="00742864"/>
    <w:rsid w:val="00742CC5"/>
    <w:rsid w:val="007432F3"/>
    <w:rsid w:val="00743958"/>
    <w:rsid w:val="0074419B"/>
    <w:rsid w:val="00744259"/>
    <w:rsid w:val="0074442C"/>
    <w:rsid w:val="00745A1E"/>
    <w:rsid w:val="007460BB"/>
    <w:rsid w:val="00746192"/>
    <w:rsid w:val="007473BA"/>
    <w:rsid w:val="007508A2"/>
    <w:rsid w:val="00750DDE"/>
    <w:rsid w:val="00751BD7"/>
    <w:rsid w:val="00752687"/>
    <w:rsid w:val="00752912"/>
    <w:rsid w:val="0075402F"/>
    <w:rsid w:val="007545FE"/>
    <w:rsid w:val="007566D0"/>
    <w:rsid w:val="00757F96"/>
    <w:rsid w:val="00760381"/>
    <w:rsid w:val="0076127B"/>
    <w:rsid w:val="00762000"/>
    <w:rsid w:val="007622C2"/>
    <w:rsid w:val="007642CA"/>
    <w:rsid w:val="007647B8"/>
    <w:rsid w:val="00764D3F"/>
    <w:rsid w:val="00764FC4"/>
    <w:rsid w:val="00767BB4"/>
    <w:rsid w:val="00771E80"/>
    <w:rsid w:val="00773CD6"/>
    <w:rsid w:val="00775449"/>
    <w:rsid w:val="00775563"/>
    <w:rsid w:val="007761EA"/>
    <w:rsid w:val="0077659E"/>
    <w:rsid w:val="00776DD6"/>
    <w:rsid w:val="00777A2F"/>
    <w:rsid w:val="00783990"/>
    <w:rsid w:val="007843A8"/>
    <w:rsid w:val="00786B9D"/>
    <w:rsid w:val="00787591"/>
    <w:rsid w:val="00787B6E"/>
    <w:rsid w:val="00790847"/>
    <w:rsid w:val="00790906"/>
    <w:rsid w:val="00791D15"/>
    <w:rsid w:val="0079206E"/>
    <w:rsid w:val="0079337A"/>
    <w:rsid w:val="00793E5B"/>
    <w:rsid w:val="00794F92"/>
    <w:rsid w:val="00796B28"/>
    <w:rsid w:val="00796C9A"/>
    <w:rsid w:val="007A08E4"/>
    <w:rsid w:val="007A2BC0"/>
    <w:rsid w:val="007A2CD3"/>
    <w:rsid w:val="007A330B"/>
    <w:rsid w:val="007A3489"/>
    <w:rsid w:val="007A4CE2"/>
    <w:rsid w:val="007A5C1C"/>
    <w:rsid w:val="007A6DF4"/>
    <w:rsid w:val="007A6F0B"/>
    <w:rsid w:val="007A75E1"/>
    <w:rsid w:val="007A76E5"/>
    <w:rsid w:val="007B0450"/>
    <w:rsid w:val="007B0DDC"/>
    <w:rsid w:val="007B2A32"/>
    <w:rsid w:val="007B4390"/>
    <w:rsid w:val="007B448B"/>
    <w:rsid w:val="007B4F54"/>
    <w:rsid w:val="007B5701"/>
    <w:rsid w:val="007B5B42"/>
    <w:rsid w:val="007B6075"/>
    <w:rsid w:val="007B62B5"/>
    <w:rsid w:val="007B691E"/>
    <w:rsid w:val="007B6DF1"/>
    <w:rsid w:val="007C0403"/>
    <w:rsid w:val="007C0D45"/>
    <w:rsid w:val="007C0F23"/>
    <w:rsid w:val="007C14CA"/>
    <w:rsid w:val="007C21A5"/>
    <w:rsid w:val="007C21DF"/>
    <w:rsid w:val="007C227D"/>
    <w:rsid w:val="007C30A8"/>
    <w:rsid w:val="007C47F2"/>
    <w:rsid w:val="007C57F2"/>
    <w:rsid w:val="007C5AB3"/>
    <w:rsid w:val="007C5DDC"/>
    <w:rsid w:val="007C5F4E"/>
    <w:rsid w:val="007C69CD"/>
    <w:rsid w:val="007D138D"/>
    <w:rsid w:val="007D28BF"/>
    <w:rsid w:val="007D6B82"/>
    <w:rsid w:val="007D76C0"/>
    <w:rsid w:val="007E3A12"/>
    <w:rsid w:val="007E3CCB"/>
    <w:rsid w:val="007E450D"/>
    <w:rsid w:val="007E48C3"/>
    <w:rsid w:val="007E6EF8"/>
    <w:rsid w:val="007E78D0"/>
    <w:rsid w:val="007E79E9"/>
    <w:rsid w:val="007F297F"/>
    <w:rsid w:val="007F317C"/>
    <w:rsid w:val="007F3C4A"/>
    <w:rsid w:val="007F3C99"/>
    <w:rsid w:val="007F43B0"/>
    <w:rsid w:val="007F5E1D"/>
    <w:rsid w:val="008010BD"/>
    <w:rsid w:val="00801650"/>
    <w:rsid w:val="00802735"/>
    <w:rsid w:val="008027E8"/>
    <w:rsid w:val="008028C1"/>
    <w:rsid w:val="00802F87"/>
    <w:rsid w:val="0080511E"/>
    <w:rsid w:val="00805ADD"/>
    <w:rsid w:val="0080610A"/>
    <w:rsid w:val="008068D4"/>
    <w:rsid w:val="00807528"/>
    <w:rsid w:val="008113A1"/>
    <w:rsid w:val="00813CCB"/>
    <w:rsid w:val="00814596"/>
    <w:rsid w:val="0081521C"/>
    <w:rsid w:val="008152E5"/>
    <w:rsid w:val="008161C9"/>
    <w:rsid w:val="008161E4"/>
    <w:rsid w:val="00816C3E"/>
    <w:rsid w:val="00820019"/>
    <w:rsid w:val="0082002A"/>
    <w:rsid w:val="00821374"/>
    <w:rsid w:val="00821567"/>
    <w:rsid w:val="00824F48"/>
    <w:rsid w:val="008258C2"/>
    <w:rsid w:val="00825D85"/>
    <w:rsid w:val="00826BE3"/>
    <w:rsid w:val="00826F18"/>
    <w:rsid w:val="008271A5"/>
    <w:rsid w:val="00830A17"/>
    <w:rsid w:val="00831DCE"/>
    <w:rsid w:val="00833607"/>
    <w:rsid w:val="008351F7"/>
    <w:rsid w:val="00835C48"/>
    <w:rsid w:val="00840526"/>
    <w:rsid w:val="008433A6"/>
    <w:rsid w:val="00844212"/>
    <w:rsid w:val="0084471D"/>
    <w:rsid w:val="00845635"/>
    <w:rsid w:val="008459F9"/>
    <w:rsid w:val="00847843"/>
    <w:rsid w:val="00847857"/>
    <w:rsid w:val="00852345"/>
    <w:rsid w:val="00852B53"/>
    <w:rsid w:val="00853805"/>
    <w:rsid w:val="00855097"/>
    <w:rsid w:val="00855ABC"/>
    <w:rsid w:val="0085668C"/>
    <w:rsid w:val="00856B75"/>
    <w:rsid w:val="008574BE"/>
    <w:rsid w:val="00857DF3"/>
    <w:rsid w:val="0086069D"/>
    <w:rsid w:val="008614BC"/>
    <w:rsid w:val="008618CA"/>
    <w:rsid w:val="0086305F"/>
    <w:rsid w:val="008634AD"/>
    <w:rsid w:val="008643A1"/>
    <w:rsid w:val="008654C8"/>
    <w:rsid w:val="00865BBF"/>
    <w:rsid w:val="008664CE"/>
    <w:rsid w:val="00870508"/>
    <w:rsid w:val="00870AD8"/>
    <w:rsid w:val="00870F6B"/>
    <w:rsid w:val="00871827"/>
    <w:rsid w:val="00871A75"/>
    <w:rsid w:val="0087209C"/>
    <w:rsid w:val="008725B3"/>
    <w:rsid w:val="008729F7"/>
    <w:rsid w:val="00873BC9"/>
    <w:rsid w:val="00873D78"/>
    <w:rsid w:val="00873E38"/>
    <w:rsid w:val="008746B6"/>
    <w:rsid w:val="008748DA"/>
    <w:rsid w:val="00874F78"/>
    <w:rsid w:val="00875716"/>
    <w:rsid w:val="0088032A"/>
    <w:rsid w:val="00882B9B"/>
    <w:rsid w:val="00883151"/>
    <w:rsid w:val="008854C8"/>
    <w:rsid w:val="008855A8"/>
    <w:rsid w:val="008861AA"/>
    <w:rsid w:val="00887577"/>
    <w:rsid w:val="00887678"/>
    <w:rsid w:val="00890978"/>
    <w:rsid w:val="008910D5"/>
    <w:rsid w:val="00891E7D"/>
    <w:rsid w:val="008924D4"/>
    <w:rsid w:val="00892AAA"/>
    <w:rsid w:val="00892D0C"/>
    <w:rsid w:val="0089313B"/>
    <w:rsid w:val="00893B85"/>
    <w:rsid w:val="0089524E"/>
    <w:rsid w:val="00895F84"/>
    <w:rsid w:val="008960A7"/>
    <w:rsid w:val="00896CFF"/>
    <w:rsid w:val="008A0CCD"/>
    <w:rsid w:val="008A2229"/>
    <w:rsid w:val="008A2EBE"/>
    <w:rsid w:val="008A3646"/>
    <w:rsid w:val="008A376C"/>
    <w:rsid w:val="008A37D9"/>
    <w:rsid w:val="008A4FEB"/>
    <w:rsid w:val="008A7ADD"/>
    <w:rsid w:val="008B0391"/>
    <w:rsid w:val="008B5ADD"/>
    <w:rsid w:val="008B6BF8"/>
    <w:rsid w:val="008B6D80"/>
    <w:rsid w:val="008B76DA"/>
    <w:rsid w:val="008C0112"/>
    <w:rsid w:val="008C06F9"/>
    <w:rsid w:val="008C174B"/>
    <w:rsid w:val="008C233D"/>
    <w:rsid w:val="008C4B5D"/>
    <w:rsid w:val="008C56B6"/>
    <w:rsid w:val="008C613C"/>
    <w:rsid w:val="008C6EDB"/>
    <w:rsid w:val="008D0172"/>
    <w:rsid w:val="008D07E2"/>
    <w:rsid w:val="008D1807"/>
    <w:rsid w:val="008D23F9"/>
    <w:rsid w:val="008D2487"/>
    <w:rsid w:val="008D700B"/>
    <w:rsid w:val="008D734E"/>
    <w:rsid w:val="008D7B79"/>
    <w:rsid w:val="008D7C55"/>
    <w:rsid w:val="008E11CF"/>
    <w:rsid w:val="008E17F5"/>
    <w:rsid w:val="008E27D0"/>
    <w:rsid w:val="008E4357"/>
    <w:rsid w:val="008E51DC"/>
    <w:rsid w:val="008E52D9"/>
    <w:rsid w:val="008E74D8"/>
    <w:rsid w:val="008E77D9"/>
    <w:rsid w:val="008E7D9B"/>
    <w:rsid w:val="008E7E58"/>
    <w:rsid w:val="008F029F"/>
    <w:rsid w:val="008F1B8F"/>
    <w:rsid w:val="008F1E18"/>
    <w:rsid w:val="008F20D4"/>
    <w:rsid w:val="008F2714"/>
    <w:rsid w:val="008F2E4E"/>
    <w:rsid w:val="008F39C4"/>
    <w:rsid w:val="008F542F"/>
    <w:rsid w:val="008F553C"/>
    <w:rsid w:val="008F5DC7"/>
    <w:rsid w:val="008F6A5D"/>
    <w:rsid w:val="008F7098"/>
    <w:rsid w:val="008F71FA"/>
    <w:rsid w:val="00900836"/>
    <w:rsid w:val="0090089D"/>
    <w:rsid w:val="00901420"/>
    <w:rsid w:val="00901F68"/>
    <w:rsid w:val="0090212B"/>
    <w:rsid w:val="00903161"/>
    <w:rsid w:val="00903EA9"/>
    <w:rsid w:val="009058F0"/>
    <w:rsid w:val="00905A9F"/>
    <w:rsid w:val="0090624D"/>
    <w:rsid w:val="009078A4"/>
    <w:rsid w:val="00910A5D"/>
    <w:rsid w:val="00911B18"/>
    <w:rsid w:val="00911E24"/>
    <w:rsid w:val="00912E02"/>
    <w:rsid w:val="009133E9"/>
    <w:rsid w:val="00913A8C"/>
    <w:rsid w:val="00914789"/>
    <w:rsid w:val="00914B0D"/>
    <w:rsid w:val="009171F9"/>
    <w:rsid w:val="009176AE"/>
    <w:rsid w:val="00917A37"/>
    <w:rsid w:val="00917C22"/>
    <w:rsid w:val="00917DAC"/>
    <w:rsid w:val="00920846"/>
    <w:rsid w:val="00920A21"/>
    <w:rsid w:val="009224A6"/>
    <w:rsid w:val="009231A2"/>
    <w:rsid w:val="00923600"/>
    <w:rsid w:val="00924569"/>
    <w:rsid w:val="00924601"/>
    <w:rsid w:val="00924800"/>
    <w:rsid w:val="00924BFE"/>
    <w:rsid w:val="00924EC5"/>
    <w:rsid w:val="00925CBE"/>
    <w:rsid w:val="0092710E"/>
    <w:rsid w:val="00930E14"/>
    <w:rsid w:val="0093331A"/>
    <w:rsid w:val="0093384D"/>
    <w:rsid w:val="00933B1A"/>
    <w:rsid w:val="009341AB"/>
    <w:rsid w:val="0093646E"/>
    <w:rsid w:val="00937194"/>
    <w:rsid w:val="00937A8F"/>
    <w:rsid w:val="00940072"/>
    <w:rsid w:val="0094208D"/>
    <w:rsid w:val="0094256E"/>
    <w:rsid w:val="0094365A"/>
    <w:rsid w:val="00943B46"/>
    <w:rsid w:val="00944617"/>
    <w:rsid w:val="00944EEF"/>
    <w:rsid w:val="00945FD3"/>
    <w:rsid w:val="0094606C"/>
    <w:rsid w:val="009469D9"/>
    <w:rsid w:val="00946EB2"/>
    <w:rsid w:val="00947081"/>
    <w:rsid w:val="00947B4D"/>
    <w:rsid w:val="009500D3"/>
    <w:rsid w:val="00950FBE"/>
    <w:rsid w:val="009518A2"/>
    <w:rsid w:val="00951FB8"/>
    <w:rsid w:val="00952291"/>
    <w:rsid w:val="00952B67"/>
    <w:rsid w:val="00953652"/>
    <w:rsid w:val="00953E37"/>
    <w:rsid w:val="00954CDB"/>
    <w:rsid w:val="009552F9"/>
    <w:rsid w:val="00955437"/>
    <w:rsid w:val="00956F9A"/>
    <w:rsid w:val="0095723E"/>
    <w:rsid w:val="00957AFF"/>
    <w:rsid w:val="00960667"/>
    <w:rsid w:val="009609A9"/>
    <w:rsid w:val="00961D45"/>
    <w:rsid w:val="00961E72"/>
    <w:rsid w:val="00964376"/>
    <w:rsid w:val="00965038"/>
    <w:rsid w:val="00965191"/>
    <w:rsid w:val="009660DC"/>
    <w:rsid w:val="00967C14"/>
    <w:rsid w:val="00967D5F"/>
    <w:rsid w:val="009705A5"/>
    <w:rsid w:val="009710A5"/>
    <w:rsid w:val="00972F4D"/>
    <w:rsid w:val="00973C8D"/>
    <w:rsid w:val="0097540B"/>
    <w:rsid w:val="00975702"/>
    <w:rsid w:val="00977401"/>
    <w:rsid w:val="00980785"/>
    <w:rsid w:val="00981220"/>
    <w:rsid w:val="00981CE9"/>
    <w:rsid w:val="0098228D"/>
    <w:rsid w:val="00982983"/>
    <w:rsid w:val="0098482B"/>
    <w:rsid w:val="00985126"/>
    <w:rsid w:val="009852A3"/>
    <w:rsid w:val="009852B2"/>
    <w:rsid w:val="00985752"/>
    <w:rsid w:val="00985B01"/>
    <w:rsid w:val="00987AB0"/>
    <w:rsid w:val="00990411"/>
    <w:rsid w:val="009904B3"/>
    <w:rsid w:val="00990F57"/>
    <w:rsid w:val="00991FCF"/>
    <w:rsid w:val="00992693"/>
    <w:rsid w:val="00995E3B"/>
    <w:rsid w:val="00997EE5"/>
    <w:rsid w:val="009A1B36"/>
    <w:rsid w:val="009A24E7"/>
    <w:rsid w:val="009A30C1"/>
    <w:rsid w:val="009A4A18"/>
    <w:rsid w:val="009A57A5"/>
    <w:rsid w:val="009A70CA"/>
    <w:rsid w:val="009A72A4"/>
    <w:rsid w:val="009A73FC"/>
    <w:rsid w:val="009A7D75"/>
    <w:rsid w:val="009A7FF6"/>
    <w:rsid w:val="009B02ED"/>
    <w:rsid w:val="009B0507"/>
    <w:rsid w:val="009B0923"/>
    <w:rsid w:val="009B2773"/>
    <w:rsid w:val="009B4715"/>
    <w:rsid w:val="009B485A"/>
    <w:rsid w:val="009B5334"/>
    <w:rsid w:val="009B568A"/>
    <w:rsid w:val="009B60C8"/>
    <w:rsid w:val="009B7542"/>
    <w:rsid w:val="009C0DA9"/>
    <w:rsid w:val="009C269E"/>
    <w:rsid w:val="009C2946"/>
    <w:rsid w:val="009C365F"/>
    <w:rsid w:val="009C3DDE"/>
    <w:rsid w:val="009C4EDC"/>
    <w:rsid w:val="009C5B65"/>
    <w:rsid w:val="009C6886"/>
    <w:rsid w:val="009C753B"/>
    <w:rsid w:val="009C7711"/>
    <w:rsid w:val="009D00E9"/>
    <w:rsid w:val="009D03A3"/>
    <w:rsid w:val="009D1363"/>
    <w:rsid w:val="009D1567"/>
    <w:rsid w:val="009D1605"/>
    <w:rsid w:val="009D1A1B"/>
    <w:rsid w:val="009D2637"/>
    <w:rsid w:val="009D3DFF"/>
    <w:rsid w:val="009D42D2"/>
    <w:rsid w:val="009D45D2"/>
    <w:rsid w:val="009D4CCF"/>
    <w:rsid w:val="009D7761"/>
    <w:rsid w:val="009E02D6"/>
    <w:rsid w:val="009E0373"/>
    <w:rsid w:val="009E0F36"/>
    <w:rsid w:val="009E36FB"/>
    <w:rsid w:val="009E3835"/>
    <w:rsid w:val="009E4CF2"/>
    <w:rsid w:val="009E5005"/>
    <w:rsid w:val="009E51D3"/>
    <w:rsid w:val="009E5F4B"/>
    <w:rsid w:val="009F44D6"/>
    <w:rsid w:val="009F4CD6"/>
    <w:rsid w:val="009F594E"/>
    <w:rsid w:val="009F6A07"/>
    <w:rsid w:val="009F6D81"/>
    <w:rsid w:val="009F7280"/>
    <w:rsid w:val="00A00298"/>
    <w:rsid w:val="00A00639"/>
    <w:rsid w:val="00A0143F"/>
    <w:rsid w:val="00A01A5B"/>
    <w:rsid w:val="00A02A39"/>
    <w:rsid w:val="00A02A8B"/>
    <w:rsid w:val="00A045B2"/>
    <w:rsid w:val="00A04F46"/>
    <w:rsid w:val="00A051A9"/>
    <w:rsid w:val="00A057AD"/>
    <w:rsid w:val="00A067DD"/>
    <w:rsid w:val="00A06DFF"/>
    <w:rsid w:val="00A06E2A"/>
    <w:rsid w:val="00A07C3D"/>
    <w:rsid w:val="00A10362"/>
    <w:rsid w:val="00A11404"/>
    <w:rsid w:val="00A13C40"/>
    <w:rsid w:val="00A13EBF"/>
    <w:rsid w:val="00A1409E"/>
    <w:rsid w:val="00A15919"/>
    <w:rsid w:val="00A16836"/>
    <w:rsid w:val="00A175B6"/>
    <w:rsid w:val="00A17A85"/>
    <w:rsid w:val="00A17DAC"/>
    <w:rsid w:val="00A17FEB"/>
    <w:rsid w:val="00A21927"/>
    <w:rsid w:val="00A22300"/>
    <w:rsid w:val="00A228DB"/>
    <w:rsid w:val="00A23E26"/>
    <w:rsid w:val="00A24C1C"/>
    <w:rsid w:val="00A2543F"/>
    <w:rsid w:val="00A25BBE"/>
    <w:rsid w:val="00A27379"/>
    <w:rsid w:val="00A31A1A"/>
    <w:rsid w:val="00A329D3"/>
    <w:rsid w:val="00A33F1D"/>
    <w:rsid w:val="00A34878"/>
    <w:rsid w:val="00A34953"/>
    <w:rsid w:val="00A359C1"/>
    <w:rsid w:val="00A362AE"/>
    <w:rsid w:val="00A36325"/>
    <w:rsid w:val="00A37E53"/>
    <w:rsid w:val="00A406B1"/>
    <w:rsid w:val="00A40D15"/>
    <w:rsid w:val="00A42BAB"/>
    <w:rsid w:val="00A43F88"/>
    <w:rsid w:val="00A4580E"/>
    <w:rsid w:val="00A46815"/>
    <w:rsid w:val="00A50763"/>
    <w:rsid w:val="00A50915"/>
    <w:rsid w:val="00A50A07"/>
    <w:rsid w:val="00A50A1E"/>
    <w:rsid w:val="00A51270"/>
    <w:rsid w:val="00A51843"/>
    <w:rsid w:val="00A51977"/>
    <w:rsid w:val="00A51C23"/>
    <w:rsid w:val="00A5363A"/>
    <w:rsid w:val="00A539F5"/>
    <w:rsid w:val="00A543D6"/>
    <w:rsid w:val="00A555B4"/>
    <w:rsid w:val="00A55E72"/>
    <w:rsid w:val="00A6099A"/>
    <w:rsid w:val="00A60C14"/>
    <w:rsid w:val="00A610EC"/>
    <w:rsid w:val="00A61330"/>
    <w:rsid w:val="00A61874"/>
    <w:rsid w:val="00A61C3D"/>
    <w:rsid w:val="00A61CB2"/>
    <w:rsid w:val="00A6426C"/>
    <w:rsid w:val="00A65930"/>
    <w:rsid w:val="00A65F72"/>
    <w:rsid w:val="00A66BE0"/>
    <w:rsid w:val="00A7003E"/>
    <w:rsid w:val="00A7079E"/>
    <w:rsid w:val="00A7090D"/>
    <w:rsid w:val="00A70DDD"/>
    <w:rsid w:val="00A7126B"/>
    <w:rsid w:val="00A7178C"/>
    <w:rsid w:val="00A738BD"/>
    <w:rsid w:val="00A73B09"/>
    <w:rsid w:val="00A7562E"/>
    <w:rsid w:val="00A75859"/>
    <w:rsid w:val="00A77721"/>
    <w:rsid w:val="00A777B2"/>
    <w:rsid w:val="00A777C7"/>
    <w:rsid w:val="00A77B05"/>
    <w:rsid w:val="00A77BB3"/>
    <w:rsid w:val="00A804CC"/>
    <w:rsid w:val="00A805BD"/>
    <w:rsid w:val="00A81612"/>
    <w:rsid w:val="00A82220"/>
    <w:rsid w:val="00A8284C"/>
    <w:rsid w:val="00A82C1E"/>
    <w:rsid w:val="00A849E8"/>
    <w:rsid w:val="00A859F5"/>
    <w:rsid w:val="00A861D6"/>
    <w:rsid w:val="00A875F5"/>
    <w:rsid w:val="00A901CB"/>
    <w:rsid w:val="00A9047B"/>
    <w:rsid w:val="00A912F5"/>
    <w:rsid w:val="00A93DCF"/>
    <w:rsid w:val="00A93F50"/>
    <w:rsid w:val="00A94B69"/>
    <w:rsid w:val="00AA0C91"/>
    <w:rsid w:val="00AA22B3"/>
    <w:rsid w:val="00AA2667"/>
    <w:rsid w:val="00AA2F41"/>
    <w:rsid w:val="00AA4660"/>
    <w:rsid w:val="00AA5C8D"/>
    <w:rsid w:val="00AA6221"/>
    <w:rsid w:val="00AA685A"/>
    <w:rsid w:val="00AA6DD5"/>
    <w:rsid w:val="00AA707C"/>
    <w:rsid w:val="00AA77D0"/>
    <w:rsid w:val="00AA7D4C"/>
    <w:rsid w:val="00AB051E"/>
    <w:rsid w:val="00AB2E34"/>
    <w:rsid w:val="00AB4BB5"/>
    <w:rsid w:val="00AB6741"/>
    <w:rsid w:val="00AB7306"/>
    <w:rsid w:val="00AB7501"/>
    <w:rsid w:val="00AB75F0"/>
    <w:rsid w:val="00AB7F30"/>
    <w:rsid w:val="00AC0022"/>
    <w:rsid w:val="00AC01ED"/>
    <w:rsid w:val="00AC20F1"/>
    <w:rsid w:val="00AC4C7F"/>
    <w:rsid w:val="00AC5703"/>
    <w:rsid w:val="00AC6179"/>
    <w:rsid w:val="00AC6D71"/>
    <w:rsid w:val="00AD1C9D"/>
    <w:rsid w:val="00AD466C"/>
    <w:rsid w:val="00AD6126"/>
    <w:rsid w:val="00AD6FF3"/>
    <w:rsid w:val="00AD7943"/>
    <w:rsid w:val="00AD7A38"/>
    <w:rsid w:val="00AD7C43"/>
    <w:rsid w:val="00AD7C78"/>
    <w:rsid w:val="00AD7C7B"/>
    <w:rsid w:val="00AE0325"/>
    <w:rsid w:val="00AE071D"/>
    <w:rsid w:val="00AE1163"/>
    <w:rsid w:val="00AE2138"/>
    <w:rsid w:val="00AE2584"/>
    <w:rsid w:val="00AE2CD1"/>
    <w:rsid w:val="00AE2D59"/>
    <w:rsid w:val="00AE3EDF"/>
    <w:rsid w:val="00AE3FC1"/>
    <w:rsid w:val="00AE4AF3"/>
    <w:rsid w:val="00AE5129"/>
    <w:rsid w:val="00AE583E"/>
    <w:rsid w:val="00AE5B14"/>
    <w:rsid w:val="00AE5D15"/>
    <w:rsid w:val="00AE631D"/>
    <w:rsid w:val="00AE7143"/>
    <w:rsid w:val="00AE7551"/>
    <w:rsid w:val="00AE7FFE"/>
    <w:rsid w:val="00AF1622"/>
    <w:rsid w:val="00AF1646"/>
    <w:rsid w:val="00AF16EB"/>
    <w:rsid w:val="00AF2F32"/>
    <w:rsid w:val="00AF37D7"/>
    <w:rsid w:val="00AF3BDC"/>
    <w:rsid w:val="00AF649C"/>
    <w:rsid w:val="00AF68F9"/>
    <w:rsid w:val="00AF79B5"/>
    <w:rsid w:val="00B00B36"/>
    <w:rsid w:val="00B01FB6"/>
    <w:rsid w:val="00B025FB"/>
    <w:rsid w:val="00B03C62"/>
    <w:rsid w:val="00B04722"/>
    <w:rsid w:val="00B04B1C"/>
    <w:rsid w:val="00B06874"/>
    <w:rsid w:val="00B06BDD"/>
    <w:rsid w:val="00B07E1E"/>
    <w:rsid w:val="00B11DC2"/>
    <w:rsid w:val="00B123B3"/>
    <w:rsid w:val="00B125EE"/>
    <w:rsid w:val="00B14A86"/>
    <w:rsid w:val="00B15C79"/>
    <w:rsid w:val="00B165EC"/>
    <w:rsid w:val="00B17FCB"/>
    <w:rsid w:val="00B206AE"/>
    <w:rsid w:val="00B21644"/>
    <w:rsid w:val="00B21784"/>
    <w:rsid w:val="00B21BA1"/>
    <w:rsid w:val="00B23FEC"/>
    <w:rsid w:val="00B24909"/>
    <w:rsid w:val="00B24C90"/>
    <w:rsid w:val="00B276CF"/>
    <w:rsid w:val="00B30733"/>
    <w:rsid w:val="00B3110A"/>
    <w:rsid w:val="00B31D34"/>
    <w:rsid w:val="00B3336B"/>
    <w:rsid w:val="00B339D4"/>
    <w:rsid w:val="00B36738"/>
    <w:rsid w:val="00B411A1"/>
    <w:rsid w:val="00B412EC"/>
    <w:rsid w:val="00B420D8"/>
    <w:rsid w:val="00B42A63"/>
    <w:rsid w:val="00B43F96"/>
    <w:rsid w:val="00B44048"/>
    <w:rsid w:val="00B447C6"/>
    <w:rsid w:val="00B44D06"/>
    <w:rsid w:val="00B44F08"/>
    <w:rsid w:val="00B462BB"/>
    <w:rsid w:val="00B46382"/>
    <w:rsid w:val="00B469EE"/>
    <w:rsid w:val="00B47087"/>
    <w:rsid w:val="00B472B8"/>
    <w:rsid w:val="00B474F9"/>
    <w:rsid w:val="00B47F40"/>
    <w:rsid w:val="00B50099"/>
    <w:rsid w:val="00B50439"/>
    <w:rsid w:val="00B50E21"/>
    <w:rsid w:val="00B52592"/>
    <w:rsid w:val="00B54C01"/>
    <w:rsid w:val="00B54E5C"/>
    <w:rsid w:val="00B55414"/>
    <w:rsid w:val="00B60015"/>
    <w:rsid w:val="00B6014E"/>
    <w:rsid w:val="00B612B9"/>
    <w:rsid w:val="00B62F70"/>
    <w:rsid w:val="00B639F1"/>
    <w:rsid w:val="00B63BB2"/>
    <w:rsid w:val="00B64EBE"/>
    <w:rsid w:val="00B654DA"/>
    <w:rsid w:val="00B66526"/>
    <w:rsid w:val="00B665B3"/>
    <w:rsid w:val="00B668CA"/>
    <w:rsid w:val="00B67CD4"/>
    <w:rsid w:val="00B705A3"/>
    <w:rsid w:val="00B70702"/>
    <w:rsid w:val="00B71621"/>
    <w:rsid w:val="00B71862"/>
    <w:rsid w:val="00B71AA1"/>
    <w:rsid w:val="00B71D32"/>
    <w:rsid w:val="00B72C04"/>
    <w:rsid w:val="00B72C64"/>
    <w:rsid w:val="00B7300E"/>
    <w:rsid w:val="00B732C4"/>
    <w:rsid w:val="00B737DD"/>
    <w:rsid w:val="00B73CE2"/>
    <w:rsid w:val="00B742DA"/>
    <w:rsid w:val="00B7489C"/>
    <w:rsid w:val="00B7596B"/>
    <w:rsid w:val="00B7689B"/>
    <w:rsid w:val="00B814C8"/>
    <w:rsid w:val="00B8289D"/>
    <w:rsid w:val="00B82BDE"/>
    <w:rsid w:val="00B832BA"/>
    <w:rsid w:val="00B8507E"/>
    <w:rsid w:val="00B85955"/>
    <w:rsid w:val="00B859B0"/>
    <w:rsid w:val="00B864C2"/>
    <w:rsid w:val="00B86567"/>
    <w:rsid w:val="00B865DB"/>
    <w:rsid w:val="00B869E3"/>
    <w:rsid w:val="00B91C10"/>
    <w:rsid w:val="00B93ABF"/>
    <w:rsid w:val="00B944A7"/>
    <w:rsid w:val="00B9612E"/>
    <w:rsid w:val="00B97A09"/>
    <w:rsid w:val="00BA0D19"/>
    <w:rsid w:val="00BA13D5"/>
    <w:rsid w:val="00BA50D5"/>
    <w:rsid w:val="00BA59A1"/>
    <w:rsid w:val="00BA5A2C"/>
    <w:rsid w:val="00BA70B2"/>
    <w:rsid w:val="00BB073F"/>
    <w:rsid w:val="00BB22D2"/>
    <w:rsid w:val="00BB266C"/>
    <w:rsid w:val="00BB3270"/>
    <w:rsid w:val="00BB39B8"/>
    <w:rsid w:val="00BB787C"/>
    <w:rsid w:val="00BB7EDB"/>
    <w:rsid w:val="00BC1775"/>
    <w:rsid w:val="00BC1901"/>
    <w:rsid w:val="00BC1DE8"/>
    <w:rsid w:val="00BC32F4"/>
    <w:rsid w:val="00BC70FA"/>
    <w:rsid w:val="00BC71DF"/>
    <w:rsid w:val="00BD30F4"/>
    <w:rsid w:val="00BD4A00"/>
    <w:rsid w:val="00BD4FAD"/>
    <w:rsid w:val="00BD55FE"/>
    <w:rsid w:val="00BD5829"/>
    <w:rsid w:val="00BD6798"/>
    <w:rsid w:val="00BD690D"/>
    <w:rsid w:val="00BD74F7"/>
    <w:rsid w:val="00BD7D68"/>
    <w:rsid w:val="00BE0D24"/>
    <w:rsid w:val="00BE12E8"/>
    <w:rsid w:val="00BE1463"/>
    <w:rsid w:val="00BE1975"/>
    <w:rsid w:val="00BE234F"/>
    <w:rsid w:val="00BE26B1"/>
    <w:rsid w:val="00BE2CFE"/>
    <w:rsid w:val="00BE40D1"/>
    <w:rsid w:val="00BE4B9A"/>
    <w:rsid w:val="00BE4EE2"/>
    <w:rsid w:val="00BE4F09"/>
    <w:rsid w:val="00BE519A"/>
    <w:rsid w:val="00BE6B58"/>
    <w:rsid w:val="00BE7B7C"/>
    <w:rsid w:val="00BF0C9B"/>
    <w:rsid w:val="00BF12B5"/>
    <w:rsid w:val="00BF2858"/>
    <w:rsid w:val="00BF42B4"/>
    <w:rsid w:val="00BF45B0"/>
    <w:rsid w:val="00BF6856"/>
    <w:rsid w:val="00BF6A1A"/>
    <w:rsid w:val="00BF719A"/>
    <w:rsid w:val="00BF7326"/>
    <w:rsid w:val="00C00377"/>
    <w:rsid w:val="00C00A07"/>
    <w:rsid w:val="00C00B71"/>
    <w:rsid w:val="00C016AB"/>
    <w:rsid w:val="00C01DCF"/>
    <w:rsid w:val="00C02E41"/>
    <w:rsid w:val="00C03DBF"/>
    <w:rsid w:val="00C03E05"/>
    <w:rsid w:val="00C042CF"/>
    <w:rsid w:val="00C04D71"/>
    <w:rsid w:val="00C064B6"/>
    <w:rsid w:val="00C06E4B"/>
    <w:rsid w:val="00C0737E"/>
    <w:rsid w:val="00C076A9"/>
    <w:rsid w:val="00C11834"/>
    <w:rsid w:val="00C118A0"/>
    <w:rsid w:val="00C1201E"/>
    <w:rsid w:val="00C128A1"/>
    <w:rsid w:val="00C1438A"/>
    <w:rsid w:val="00C14A4E"/>
    <w:rsid w:val="00C15603"/>
    <w:rsid w:val="00C16A74"/>
    <w:rsid w:val="00C1707C"/>
    <w:rsid w:val="00C2019E"/>
    <w:rsid w:val="00C201DE"/>
    <w:rsid w:val="00C201F8"/>
    <w:rsid w:val="00C22F95"/>
    <w:rsid w:val="00C23ABF"/>
    <w:rsid w:val="00C23D71"/>
    <w:rsid w:val="00C24303"/>
    <w:rsid w:val="00C24833"/>
    <w:rsid w:val="00C25F9D"/>
    <w:rsid w:val="00C2732E"/>
    <w:rsid w:val="00C30B10"/>
    <w:rsid w:val="00C32046"/>
    <w:rsid w:val="00C32F0C"/>
    <w:rsid w:val="00C33D6A"/>
    <w:rsid w:val="00C33E7B"/>
    <w:rsid w:val="00C350DC"/>
    <w:rsid w:val="00C35569"/>
    <w:rsid w:val="00C35AD9"/>
    <w:rsid w:val="00C40364"/>
    <w:rsid w:val="00C40499"/>
    <w:rsid w:val="00C418A1"/>
    <w:rsid w:val="00C41E4D"/>
    <w:rsid w:val="00C42ABC"/>
    <w:rsid w:val="00C4355F"/>
    <w:rsid w:val="00C43705"/>
    <w:rsid w:val="00C445BC"/>
    <w:rsid w:val="00C45160"/>
    <w:rsid w:val="00C50228"/>
    <w:rsid w:val="00C505CC"/>
    <w:rsid w:val="00C50710"/>
    <w:rsid w:val="00C513C2"/>
    <w:rsid w:val="00C5302A"/>
    <w:rsid w:val="00C536EB"/>
    <w:rsid w:val="00C537DB"/>
    <w:rsid w:val="00C53ECE"/>
    <w:rsid w:val="00C548B4"/>
    <w:rsid w:val="00C54BE4"/>
    <w:rsid w:val="00C57216"/>
    <w:rsid w:val="00C576EB"/>
    <w:rsid w:val="00C63ADB"/>
    <w:rsid w:val="00C64B82"/>
    <w:rsid w:val="00C66522"/>
    <w:rsid w:val="00C66DFA"/>
    <w:rsid w:val="00C67028"/>
    <w:rsid w:val="00C678D9"/>
    <w:rsid w:val="00C67C33"/>
    <w:rsid w:val="00C70597"/>
    <w:rsid w:val="00C7164C"/>
    <w:rsid w:val="00C72037"/>
    <w:rsid w:val="00C72AB6"/>
    <w:rsid w:val="00C7366F"/>
    <w:rsid w:val="00C7387A"/>
    <w:rsid w:val="00C7447F"/>
    <w:rsid w:val="00C75420"/>
    <w:rsid w:val="00C76A86"/>
    <w:rsid w:val="00C76DF8"/>
    <w:rsid w:val="00C77A77"/>
    <w:rsid w:val="00C8147E"/>
    <w:rsid w:val="00C81785"/>
    <w:rsid w:val="00C823D0"/>
    <w:rsid w:val="00C85052"/>
    <w:rsid w:val="00C85AA5"/>
    <w:rsid w:val="00C874A5"/>
    <w:rsid w:val="00C874D7"/>
    <w:rsid w:val="00C8777D"/>
    <w:rsid w:val="00C9072A"/>
    <w:rsid w:val="00C90953"/>
    <w:rsid w:val="00C917DC"/>
    <w:rsid w:val="00C91F8D"/>
    <w:rsid w:val="00C921DB"/>
    <w:rsid w:val="00C922DB"/>
    <w:rsid w:val="00C92491"/>
    <w:rsid w:val="00C92D55"/>
    <w:rsid w:val="00C92DCB"/>
    <w:rsid w:val="00C931E3"/>
    <w:rsid w:val="00C93559"/>
    <w:rsid w:val="00C9692B"/>
    <w:rsid w:val="00C97D89"/>
    <w:rsid w:val="00CA0873"/>
    <w:rsid w:val="00CA1B38"/>
    <w:rsid w:val="00CA354E"/>
    <w:rsid w:val="00CA40AD"/>
    <w:rsid w:val="00CA431E"/>
    <w:rsid w:val="00CA437C"/>
    <w:rsid w:val="00CA4773"/>
    <w:rsid w:val="00CA5F96"/>
    <w:rsid w:val="00CA7EA4"/>
    <w:rsid w:val="00CB0750"/>
    <w:rsid w:val="00CB09B2"/>
    <w:rsid w:val="00CB17AA"/>
    <w:rsid w:val="00CB315B"/>
    <w:rsid w:val="00CB3569"/>
    <w:rsid w:val="00CB3CEB"/>
    <w:rsid w:val="00CB3D72"/>
    <w:rsid w:val="00CB6AE8"/>
    <w:rsid w:val="00CB75C5"/>
    <w:rsid w:val="00CB7BD8"/>
    <w:rsid w:val="00CC1689"/>
    <w:rsid w:val="00CC1C18"/>
    <w:rsid w:val="00CC2881"/>
    <w:rsid w:val="00CC28F2"/>
    <w:rsid w:val="00CC383D"/>
    <w:rsid w:val="00CC490A"/>
    <w:rsid w:val="00CC5D42"/>
    <w:rsid w:val="00CC61A8"/>
    <w:rsid w:val="00CC7A00"/>
    <w:rsid w:val="00CD05DB"/>
    <w:rsid w:val="00CD0F7F"/>
    <w:rsid w:val="00CD165C"/>
    <w:rsid w:val="00CD1A5C"/>
    <w:rsid w:val="00CD1C40"/>
    <w:rsid w:val="00CD1D50"/>
    <w:rsid w:val="00CD1E77"/>
    <w:rsid w:val="00CD2491"/>
    <w:rsid w:val="00CD26EC"/>
    <w:rsid w:val="00CD3ECD"/>
    <w:rsid w:val="00CD5BE9"/>
    <w:rsid w:val="00CD6902"/>
    <w:rsid w:val="00CD76D7"/>
    <w:rsid w:val="00CE1DF5"/>
    <w:rsid w:val="00CE315D"/>
    <w:rsid w:val="00CE4327"/>
    <w:rsid w:val="00CE433E"/>
    <w:rsid w:val="00CE4682"/>
    <w:rsid w:val="00CE4D5B"/>
    <w:rsid w:val="00CE5B03"/>
    <w:rsid w:val="00CF1161"/>
    <w:rsid w:val="00CF37DD"/>
    <w:rsid w:val="00CF3F47"/>
    <w:rsid w:val="00CF43EC"/>
    <w:rsid w:val="00CF49AE"/>
    <w:rsid w:val="00CF4C21"/>
    <w:rsid w:val="00CF6C7A"/>
    <w:rsid w:val="00CF7709"/>
    <w:rsid w:val="00CF788D"/>
    <w:rsid w:val="00CF7D43"/>
    <w:rsid w:val="00D01F84"/>
    <w:rsid w:val="00D02DE1"/>
    <w:rsid w:val="00D06335"/>
    <w:rsid w:val="00D077A4"/>
    <w:rsid w:val="00D07E0E"/>
    <w:rsid w:val="00D10FA1"/>
    <w:rsid w:val="00D12041"/>
    <w:rsid w:val="00D1213C"/>
    <w:rsid w:val="00D13898"/>
    <w:rsid w:val="00D14825"/>
    <w:rsid w:val="00D153FC"/>
    <w:rsid w:val="00D1602C"/>
    <w:rsid w:val="00D1710F"/>
    <w:rsid w:val="00D17F8E"/>
    <w:rsid w:val="00D201C8"/>
    <w:rsid w:val="00D20B74"/>
    <w:rsid w:val="00D20D74"/>
    <w:rsid w:val="00D22E41"/>
    <w:rsid w:val="00D22E80"/>
    <w:rsid w:val="00D232F1"/>
    <w:rsid w:val="00D24E40"/>
    <w:rsid w:val="00D261DF"/>
    <w:rsid w:val="00D276C0"/>
    <w:rsid w:val="00D303D9"/>
    <w:rsid w:val="00D30491"/>
    <w:rsid w:val="00D327E6"/>
    <w:rsid w:val="00D3329A"/>
    <w:rsid w:val="00D33875"/>
    <w:rsid w:val="00D33E4A"/>
    <w:rsid w:val="00D34AC2"/>
    <w:rsid w:val="00D365DE"/>
    <w:rsid w:val="00D36AE4"/>
    <w:rsid w:val="00D3795D"/>
    <w:rsid w:val="00D37A5A"/>
    <w:rsid w:val="00D40B7E"/>
    <w:rsid w:val="00D41270"/>
    <w:rsid w:val="00D41370"/>
    <w:rsid w:val="00D41902"/>
    <w:rsid w:val="00D41D2F"/>
    <w:rsid w:val="00D422F9"/>
    <w:rsid w:val="00D42357"/>
    <w:rsid w:val="00D4347E"/>
    <w:rsid w:val="00D43540"/>
    <w:rsid w:val="00D43B68"/>
    <w:rsid w:val="00D440E8"/>
    <w:rsid w:val="00D45554"/>
    <w:rsid w:val="00D4570A"/>
    <w:rsid w:val="00D45C33"/>
    <w:rsid w:val="00D45D62"/>
    <w:rsid w:val="00D46C56"/>
    <w:rsid w:val="00D50301"/>
    <w:rsid w:val="00D50A94"/>
    <w:rsid w:val="00D51214"/>
    <w:rsid w:val="00D514B4"/>
    <w:rsid w:val="00D525F9"/>
    <w:rsid w:val="00D53011"/>
    <w:rsid w:val="00D535EB"/>
    <w:rsid w:val="00D537C8"/>
    <w:rsid w:val="00D537D5"/>
    <w:rsid w:val="00D542B8"/>
    <w:rsid w:val="00D54F76"/>
    <w:rsid w:val="00D55316"/>
    <w:rsid w:val="00D6025A"/>
    <w:rsid w:val="00D60F5E"/>
    <w:rsid w:val="00D614DC"/>
    <w:rsid w:val="00D620CC"/>
    <w:rsid w:val="00D620DB"/>
    <w:rsid w:val="00D62596"/>
    <w:rsid w:val="00D64A9A"/>
    <w:rsid w:val="00D65100"/>
    <w:rsid w:val="00D66892"/>
    <w:rsid w:val="00D6705D"/>
    <w:rsid w:val="00D672D9"/>
    <w:rsid w:val="00D67ED8"/>
    <w:rsid w:val="00D70451"/>
    <w:rsid w:val="00D71B08"/>
    <w:rsid w:val="00D71D68"/>
    <w:rsid w:val="00D72782"/>
    <w:rsid w:val="00D729FF"/>
    <w:rsid w:val="00D72AE9"/>
    <w:rsid w:val="00D72B67"/>
    <w:rsid w:val="00D73C5A"/>
    <w:rsid w:val="00D74414"/>
    <w:rsid w:val="00D74B18"/>
    <w:rsid w:val="00D758F0"/>
    <w:rsid w:val="00D75B90"/>
    <w:rsid w:val="00D770DC"/>
    <w:rsid w:val="00D80581"/>
    <w:rsid w:val="00D8156A"/>
    <w:rsid w:val="00D82643"/>
    <w:rsid w:val="00D82AEC"/>
    <w:rsid w:val="00D8444B"/>
    <w:rsid w:val="00D926DA"/>
    <w:rsid w:val="00D92793"/>
    <w:rsid w:val="00D93A69"/>
    <w:rsid w:val="00D9463F"/>
    <w:rsid w:val="00D94F22"/>
    <w:rsid w:val="00D95372"/>
    <w:rsid w:val="00D9572E"/>
    <w:rsid w:val="00D95731"/>
    <w:rsid w:val="00D96667"/>
    <w:rsid w:val="00D969AF"/>
    <w:rsid w:val="00D96ECE"/>
    <w:rsid w:val="00D96EEE"/>
    <w:rsid w:val="00D97451"/>
    <w:rsid w:val="00DA0632"/>
    <w:rsid w:val="00DA0863"/>
    <w:rsid w:val="00DA0A86"/>
    <w:rsid w:val="00DA11E3"/>
    <w:rsid w:val="00DA3574"/>
    <w:rsid w:val="00DA394D"/>
    <w:rsid w:val="00DA3CEB"/>
    <w:rsid w:val="00DA4315"/>
    <w:rsid w:val="00DA4472"/>
    <w:rsid w:val="00DA4C89"/>
    <w:rsid w:val="00DA67FD"/>
    <w:rsid w:val="00DA78B9"/>
    <w:rsid w:val="00DB085C"/>
    <w:rsid w:val="00DB09CA"/>
    <w:rsid w:val="00DB0E94"/>
    <w:rsid w:val="00DB1F8B"/>
    <w:rsid w:val="00DB3FE6"/>
    <w:rsid w:val="00DB4CB3"/>
    <w:rsid w:val="00DB5151"/>
    <w:rsid w:val="00DB5625"/>
    <w:rsid w:val="00DB64CD"/>
    <w:rsid w:val="00DB64DB"/>
    <w:rsid w:val="00DC01F8"/>
    <w:rsid w:val="00DC0AB5"/>
    <w:rsid w:val="00DC1A60"/>
    <w:rsid w:val="00DC22E8"/>
    <w:rsid w:val="00DC26FF"/>
    <w:rsid w:val="00DC36D0"/>
    <w:rsid w:val="00DC399A"/>
    <w:rsid w:val="00DC48D8"/>
    <w:rsid w:val="00DC49DA"/>
    <w:rsid w:val="00DC4C21"/>
    <w:rsid w:val="00DC60CE"/>
    <w:rsid w:val="00DC7586"/>
    <w:rsid w:val="00DD09D5"/>
    <w:rsid w:val="00DD1049"/>
    <w:rsid w:val="00DD170E"/>
    <w:rsid w:val="00DD2946"/>
    <w:rsid w:val="00DD2FE8"/>
    <w:rsid w:val="00DD353B"/>
    <w:rsid w:val="00DD3957"/>
    <w:rsid w:val="00DD3DC2"/>
    <w:rsid w:val="00DD4DC2"/>
    <w:rsid w:val="00DD515D"/>
    <w:rsid w:val="00DD5C9F"/>
    <w:rsid w:val="00DD6D35"/>
    <w:rsid w:val="00DD751C"/>
    <w:rsid w:val="00DD7FED"/>
    <w:rsid w:val="00DE046B"/>
    <w:rsid w:val="00DE1501"/>
    <w:rsid w:val="00DE2542"/>
    <w:rsid w:val="00DE2DB0"/>
    <w:rsid w:val="00DE30B6"/>
    <w:rsid w:val="00DE4FB4"/>
    <w:rsid w:val="00DE5B94"/>
    <w:rsid w:val="00DE5D73"/>
    <w:rsid w:val="00DE61E5"/>
    <w:rsid w:val="00DE6B7F"/>
    <w:rsid w:val="00DE6C87"/>
    <w:rsid w:val="00DE7596"/>
    <w:rsid w:val="00DE76A4"/>
    <w:rsid w:val="00DF11B1"/>
    <w:rsid w:val="00DF153A"/>
    <w:rsid w:val="00DF1F39"/>
    <w:rsid w:val="00DF4FB9"/>
    <w:rsid w:val="00DF5157"/>
    <w:rsid w:val="00DF5A48"/>
    <w:rsid w:val="00DF6823"/>
    <w:rsid w:val="00DF7D4D"/>
    <w:rsid w:val="00E03695"/>
    <w:rsid w:val="00E03B3D"/>
    <w:rsid w:val="00E0457C"/>
    <w:rsid w:val="00E04798"/>
    <w:rsid w:val="00E04C5C"/>
    <w:rsid w:val="00E06B40"/>
    <w:rsid w:val="00E07230"/>
    <w:rsid w:val="00E07A0A"/>
    <w:rsid w:val="00E07BB3"/>
    <w:rsid w:val="00E10734"/>
    <w:rsid w:val="00E11D37"/>
    <w:rsid w:val="00E12028"/>
    <w:rsid w:val="00E139C9"/>
    <w:rsid w:val="00E13EF6"/>
    <w:rsid w:val="00E1421F"/>
    <w:rsid w:val="00E16B89"/>
    <w:rsid w:val="00E17065"/>
    <w:rsid w:val="00E22AFF"/>
    <w:rsid w:val="00E23124"/>
    <w:rsid w:val="00E234A9"/>
    <w:rsid w:val="00E23AB4"/>
    <w:rsid w:val="00E23ED1"/>
    <w:rsid w:val="00E2562F"/>
    <w:rsid w:val="00E25EB3"/>
    <w:rsid w:val="00E26ACD"/>
    <w:rsid w:val="00E26C15"/>
    <w:rsid w:val="00E26D95"/>
    <w:rsid w:val="00E26F3D"/>
    <w:rsid w:val="00E272B0"/>
    <w:rsid w:val="00E31225"/>
    <w:rsid w:val="00E32B0A"/>
    <w:rsid w:val="00E32ECD"/>
    <w:rsid w:val="00E3304D"/>
    <w:rsid w:val="00E3315D"/>
    <w:rsid w:val="00E3401D"/>
    <w:rsid w:val="00E343BA"/>
    <w:rsid w:val="00E34563"/>
    <w:rsid w:val="00E34E66"/>
    <w:rsid w:val="00E35A9E"/>
    <w:rsid w:val="00E3661E"/>
    <w:rsid w:val="00E36B0A"/>
    <w:rsid w:val="00E37758"/>
    <w:rsid w:val="00E40320"/>
    <w:rsid w:val="00E41C1A"/>
    <w:rsid w:val="00E41D3A"/>
    <w:rsid w:val="00E42E44"/>
    <w:rsid w:val="00E44C9C"/>
    <w:rsid w:val="00E4519A"/>
    <w:rsid w:val="00E455AE"/>
    <w:rsid w:val="00E45C86"/>
    <w:rsid w:val="00E4694B"/>
    <w:rsid w:val="00E46D47"/>
    <w:rsid w:val="00E46D79"/>
    <w:rsid w:val="00E47345"/>
    <w:rsid w:val="00E47AAD"/>
    <w:rsid w:val="00E47F49"/>
    <w:rsid w:val="00E51A78"/>
    <w:rsid w:val="00E52514"/>
    <w:rsid w:val="00E53A21"/>
    <w:rsid w:val="00E543D8"/>
    <w:rsid w:val="00E543F6"/>
    <w:rsid w:val="00E54DD0"/>
    <w:rsid w:val="00E55E29"/>
    <w:rsid w:val="00E57186"/>
    <w:rsid w:val="00E57412"/>
    <w:rsid w:val="00E60C92"/>
    <w:rsid w:val="00E61152"/>
    <w:rsid w:val="00E61C21"/>
    <w:rsid w:val="00E6236B"/>
    <w:rsid w:val="00E63575"/>
    <w:rsid w:val="00E653D0"/>
    <w:rsid w:val="00E664B7"/>
    <w:rsid w:val="00E6715F"/>
    <w:rsid w:val="00E672CF"/>
    <w:rsid w:val="00E70D91"/>
    <w:rsid w:val="00E71656"/>
    <w:rsid w:val="00E71B05"/>
    <w:rsid w:val="00E71BEE"/>
    <w:rsid w:val="00E735E0"/>
    <w:rsid w:val="00E73A2B"/>
    <w:rsid w:val="00E7472B"/>
    <w:rsid w:val="00E7780E"/>
    <w:rsid w:val="00E80BAB"/>
    <w:rsid w:val="00E8145F"/>
    <w:rsid w:val="00E821FE"/>
    <w:rsid w:val="00E82AFF"/>
    <w:rsid w:val="00E82B87"/>
    <w:rsid w:val="00E83465"/>
    <w:rsid w:val="00E834E4"/>
    <w:rsid w:val="00E85FF7"/>
    <w:rsid w:val="00E860D3"/>
    <w:rsid w:val="00E8625B"/>
    <w:rsid w:val="00E86652"/>
    <w:rsid w:val="00E86BDD"/>
    <w:rsid w:val="00E86D15"/>
    <w:rsid w:val="00E87309"/>
    <w:rsid w:val="00E9142E"/>
    <w:rsid w:val="00E92113"/>
    <w:rsid w:val="00E95ED3"/>
    <w:rsid w:val="00E96031"/>
    <w:rsid w:val="00E96212"/>
    <w:rsid w:val="00E96E69"/>
    <w:rsid w:val="00E970B0"/>
    <w:rsid w:val="00E976B9"/>
    <w:rsid w:val="00EA28BF"/>
    <w:rsid w:val="00EA2FBC"/>
    <w:rsid w:val="00EA4676"/>
    <w:rsid w:val="00EA484D"/>
    <w:rsid w:val="00EA5D55"/>
    <w:rsid w:val="00EA6CCD"/>
    <w:rsid w:val="00EA7BF6"/>
    <w:rsid w:val="00EB0D50"/>
    <w:rsid w:val="00EB0F4E"/>
    <w:rsid w:val="00EB30E4"/>
    <w:rsid w:val="00EB46DE"/>
    <w:rsid w:val="00EB4913"/>
    <w:rsid w:val="00EC03F7"/>
    <w:rsid w:val="00EC073B"/>
    <w:rsid w:val="00EC0A4F"/>
    <w:rsid w:val="00EC152B"/>
    <w:rsid w:val="00EC175E"/>
    <w:rsid w:val="00EC1EBF"/>
    <w:rsid w:val="00EC2436"/>
    <w:rsid w:val="00EC48A9"/>
    <w:rsid w:val="00EC61B0"/>
    <w:rsid w:val="00EC707E"/>
    <w:rsid w:val="00EC7B57"/>
    <w:rsid w:val="00EC7D54"/>
    <w:rsid w:val="00ED192D"/>
    <w:rsid w:val="00ED2B5D"/>
    <w:rsid w:val="00ED3320"/>
    <w:rsid w:val="00ED3E47"/>
    <w:rsid w:val="00ED3F9C"/>
    <w:rsid w:val="00ED3FAB"/>
    <w:rsid w:val="00ED473A"/>
    <w:rsid w:val="00ED58E5"/>
    <w:rsid w:val="00ED5A86"/>
    <w:rsid w:val="00ED7C5D"/>
    <w:rsid w:val="00ED7DEE"/>
    <w:rsid w:val="00EE26FE"/>
    <w:rsid w:val="00EE2975"/>
    <w:rsid w:val="00EE3BBC"/>
    <w:rsid w:val="00EE5303"/>
    <w:rsid w:val="00EE6677"/>
    <w:rsid w:val="00EF0522"/>
    <w:rsid w:val="00EF0680"/>
    <w:rsid w:val="00EF171E"/>
    <w:rsid w:val="00EF1A92"/>
    <w:rsid w:val="00EF4C1D"/>
    <w:rsid w:val="00EF5B44"/>
    <w:rsid w:val="00EF5E03"/>
    <w:rsid w:val="00EF5E2F"/>
    <w:rsid w:val="00EF63B0"/>
    <w:rsid w:val="00EF6FBA"/>
    <w:rsid w:val="00EF73C1"/>
    <w:rsid w:val="00EF7B72"/>
    <w:rsid w:val="00EF7CFB"/>
    <w:rsid w:val="00F00206"/>
    <w:rsid w:val="00F0046B"/>
    <w:rsid w:val="00F03056"/>
    <w:rsid w:val="00F0388F"/>
    <w:rsid w:val="00F03D00"/>
    <w:rsid w:val="00F043CC"/>
    <w:rsid w:val="00F04C5A"/>
    <w:rsid w:val="00F05B77"/>
    <w:rsid w:val="00F06612"/>
    <w:rsid w:val="00F06686"/>
    <w:rsid w:val="00F068FA"/>
    <w:rsid w:val="00F07E17"/>
    <w:rsid w:val="00F10B63"/>
    <w:rsid w:val="00F10C6E"/>
    <w:rsid w:val="00F1228B"/>
    <w:rsid w:val="00F1307E"/>
    <w:rsid w:val="00F13257"/>
    <w:rsid w:val="00F1350C"/>
    <w:rsid w:val="00F13D8A"/>
    <w:rsid w:val="00F147BF"/>
    <w:rsid w:val="00F14868"/>
    <w:rsid w:val="00F16EB6"/>
    <w:rsid w:val="00F203C8"/>
    <w:rsid w:val="00F21D72"/>
    <w:rsid w:val="00F22A96"/>
    <w:rsid w:val="00F23931"/>
    <w:rsid w:val="00F24804"/>
    <w:rsid w:val="00F25154"/>
    <w:rsid w:val="00F27332"/>
    <w:rsid w:val="00F27C29"/>
    <w:rsid w:val="00F32621"/>
    <w:rsid w:val="00F32718"/>
    <w:rsid w:val="00F33439"/>
    <w:rsid w:val="00F3387F"/>
    <w:rsid w:val="00F34558"/>
    <w:rsid w:val="00F3667E"/>
    <w:rsid w:val="00F4039C"/>
    <w:rsid w:val="00F40D7C"/>
    <w:rsid w:val="00F41371"/>
    <w:rsid w:val="00F41B68"/>
    <w:rsid w:val="00F43686"/>
    <w:rsid w:val="00F4488D"/>
    <w:rsid w:val="00F47AD4"/>
    <w:rsid w:val="00F50184"/>
    <w:rsid w:val="00F514B9"/>
    <w:rsid w:val="00F51E0A"/>
    <w:rsid w:val="00F52127"/>
    <w:rsid w:val="00F540EE"/>
    <w:rsid w:val="00F54DBB"/>
    <w:rsid w:val="00F55679"/>
    <w:rsid w:val="00F55B8B"/>
    <w:rsid w:val="00F561AE"/>
    <w:rsid w:val="00F569B4"/>
    <w:rsid w:val="00F56AB2"/>
    <w:rsid w:val="00F56D10"/>
    <w:rsid w:val="00F56E1F"/>
    <w:rsid w:val="00F570F6"/>
    <w:rsid w:val="00F57820"/>
    <w:rsid w:val="00F62608"/>
    <w:rsid w:val="00F626C4"/>
    <w:rsid w:val="00F62A64"/>
    <w:rsid w:val="00F63D23"/>
    <w:rsid w:val="00F650D9"/>
    <w:rsid w:val="00F65447"/>
    <w:rsid w:val="00F660C0"/>
    <w:rsid w:val="00F675A6"/>
    <w:rsid w:val="00F67BA7"/>
    <w:rsid w:val="00F71935"/>
    <w:rsid w:val="00F71BCF"/>
    <w:rsid w:val="00F73B67"/>
    <w:rsid w:val="00F73D08"/>
    <w:rsid w:val="00F7427C"/>
    <w:rsid w:val="00F74E4B"/>
    <w:rsid w:val="00F76227"/>
    <w:rsid w:val="00F767F6"/>
    <w:rsid w:val="00F76CB2"/>
    <w:rsid w:val="00F7742C"/>
    <w:rsid w:val="00F80862"/>
    <w:rsid w:val="00F80ADF"/>
    <w:rsid w:val="00F80F97"/>
    <w:rsid w:val="00F817C4"/>
    <w:rsid w:val="00F8293F"/>
    <w:rsid w:val="00F83A13"/>
    <w:rsid w:val="00F84153"/>
    <w:rsid w:val="00F84897"/>
    <w:rsid w:val="00F85447"/>
    <w:rsid w:val="00F87A8F"/>
    <w:rsid w:val="00F90F24"/>
    <w:rsid w:val="00F9187D"/>
    <w:rsid w:val="00F94B60"/>
    <w:rsid w:val="00F94EBC"/>
    <w:rsid w:val="00F94F9F"/>
    <w:rsid w:val="00F95196"/>
    <w:rsid w:val="00F95E71"/>
    <w:rsid w:val="00F975EC"/>
    <w:rsid w:val="00F978C0"/>
    <w:rsid w:val="00FA2E42"/>
    <w:rsid w:val="00FA458F"/>
    <w:rsid w:val="00FA5F12"/>
    <w:rsid w:val="00FB0044"/>
    <w:rsid w:val="00FB073D"/>
    <w:rsid w:val="00FB094D"/>
    <w:rsid w:val="00FB14DE"/>
    <w:rsid w:val="00FB1884"/>
    <w:rsid w:val="00FB2600"/>
    <w:rsid w:val="00FB2DAA"/>
    <w:rsid w:val="00FB48D2"/>
    <w:rsid w:val="00FB51A2"/>
    <w:rsid w:val="00FB58E5"/>
    <w:rsid w:val="00FB5B8E"/>
    <w:rsid w:val="00FB6407"/>
    <w:rsid w:val="00FB670C"/>
    <w:rsid w:val="00FB7742"/>
    <w:rsid w:val="00FC007D"/>
    <w:rsid w:val="00FC29E7"/>
    <w:rsid w:val="00FC2C26"/>
    <w:rsid w:val="00FC2DC5"/>
    <w:rsid w:val="00FC2F99"/>
    <w:rsid w:val="00FC3F9D"/>
    <w:rsid w:val="00FC4E14"/>
    <w:rsid w:val="00FC6082"/>
    <w:rsid w:val="00FC612E"/>
    <w:rsid w:val="00FC7953"/>
    <w:rsid w:val="00FC7CE4"/>
    <w:rsid w:val="00FD001A"/>
    <w:rsid w:val="00FD0C2D"/>
    <w:rsid w:val="00FD1570"/>
    <w:rsid w:val="00FD3EE7"/>
    <w:rsid w:val="00FD5708"/>
    <w:rsid w:val="00FE02CB"/>
    <w:rsid w:val="00FE192C"/>
    <w:rsid w:val="00FE219C"/>
    <w:rsid w:val="00FE34A4"/>
    <w:rsid w:val="00FE37A6"/>
    <w:rsid w:val="00FE41A7"/>
    <w:rsid w:val="00FE57F9"/>
    <w:rsid w:val="00FE5823"/>
    <w:rsid w:val="00FF1C96"/>
    <w:rsid w:val="00FF209F"/>
    <w:rsid w:val="00FF25EF"/>
    <w:rsid w:val="00FF2CBB"/>
    <w:rsid w:val="00FF2E2B"/>
    <w:rsid w:val="00FF6025"/>
    <w:rsid w:val="00FF7D6C"/>
    <w:rsid w:val="071B7702"/>
    <w:rsid w:val="361EA29C"/>
    <w:rsid w:val="380C2AA7"/>
    <w:rsid w:val="5344DE43"/>
    <w:rsid w:val="5E250BFE"/>
    <w:rsid w:val="669A9055"/>
    <w:rsid w:val="746BE5F7"/>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430457"/>
  <w15:docId w15:val="{99E8FB39-EBD2-4458-81DD-7B87B89EC6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Open Sans SemiCondensed" w:eastAsiaTheme="minorHAnsi" w:hAnsi="Open Sans SemiCondensed" w:cstheme="minorBidi"/>
        <w:spacing w:val="-4"/>
        <w:lang w:val="en-US" w:eastAsia="en-US" w:bidi="ar-SA"/>
      </w:rPr>
    </w:rPrDefault>
    <w:pPrDefault>
      <w:pPr>
        <w:spacing w:after="200"/>
      </w:pPr>
    </w:pPrDefault>
  </w:docDefaults>
  <w:latentStyles w:defLockedState="0" w:defUIPriority="0" w:defSemiHidden="0" w:defUnhideWhenUsed="0" w:defQFormat="0" w:count="376">
    <w:lsdException w:name="heading 1" w:uiPriority="9"/>
    <w:lsdException w:name="heading 5"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99" w:unhideWhenUsed="1" w:qFormat="1"/>
    <w:lsdException w:name="List Bullet" w:semiHidden="1" w:unhideWhenUsed="1"/>
    <w:lsdException w:name="List Number" w:semiHidden="1" w:unhideWhenUsed="1" w:qFormat="1"/>
    <w:lsdException w:name="List 2" w:semiHidden="1" w:uiPriority="99" w:unhideWhenUsed="1"/>
    <w:lsdException w:name="List 3" w:semiHidden="1" w:uiPriority="99"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3" w:uiPriority="99"/>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Intense Reference" w:semiHidden="1" w:uiPriority="32" w:unhideWhenUsed="1" w:qFormat="1"/>
    <w:lsdException w:name="Bibliography" w:semiHidden="1" w:unhideWhenUsed="1"/>
    <w:lsdException w:name="TOC Heading" w:semiHidden="1" w:unhideWhenUsed="1"/>
    <w:lsdException w:name="Grid Table 1 Light" w:uiPriority="4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rsid w:val="000C7932"/>
    <w:pPr>
      <w:spacing w:after="0" w:line="276" w:lineRule="auto"/>
    </w:pPr>
    <w:rPr>
      <w:lang w:val="de-CH"/>
    </w:rPr>
  </w:style>
  <w:style w:type="paragraph" w:styleId="berschrift1">
    <w:name w:val="heading 1"/>
    <w:basedOn w:val="Standard"/>
    <w:next w:val="Textkrper"/>
    <w:link w:val="berschrift1Zchn"/>
    <w:uiPriority w:val="9"/>
    <w:qFormat/>
    <w:rsid w:val="009E5005"/>
    <w:pPr>
      <w:keepNext/>
      <w:keepLines/>
      <w:spacing w:before="360" w:after="60"/>
      <w:contextualSpacing/>
      <w:outlineLvl w:val="0"/>
    </w:pPr>
    <w:rPr>
      <w:rFonts w:eastAsiaTheme="majorEastAsia" w:cs="Open Sans SemiCondensed"/>
      <w:b/>
      <w:bCs/>
      <w:color w:val="000000" w:themeColor="text1"/>
      <w:sz w:val="24"/>
      <w:szCs w:val="32"/>
    </w:rPr>
  </w:style>
  <w:style w:type="paragraph" w:styleId="berschrift2">
    <w:name w:val="heading 2"/>
    <w:basedOn w:val="Standard"/>
    <w:next w:val="Textkrper"/>
    <w:link w:val="berschrift2Zchn"/>
    <w:uiPriority w:val="9"/>
    <w:qFormat/>
    <w:rsid w:val="00855097"/>
    <w:pPr>
      <w:keepNext/>
      <w:keepLines/>
      <w:spacing w:before="240" w:after="60"/>
      <w:outlineLvl w:val="1"/>
    </w:pPr>
    <w:rPr>
      <w:rFonts w:eastAsiaTheme="majorEastAsia" w:cs="Open Sans SemiCondensed"/>
      <w:b/>
      <w:bCs/>
      <w:szCs w:val="24"/>
    </w:rPr>
  </w:style>
  <w:style w:type="paragraph" w:styleId="berschrift3">
    <w:name w:val="heading 3"/>
    <w:basedOn w:val="Standard"/>
    <w:next w:val="Textkrper"/>
    <w:uiPriority w:val="9"/>
    <w:qFormat/>
    <w:rsid w:val="009E5005"/>
    <w:pPr>
      <w:keepNext/>
      <w:keepLines/>
      <w:spacing w:before="120" w:after="60"/>
      <w:outlineLvl w:val="2"/>
    </w:pPr>
    <w:rPr>
      <w:rFonts w:eastAsiaTheme="majorEastAsia" w:cs="Open Sans SemiCondensed"/>
      <w:bCs/>
      <w:i/>
    </w:rPr>
  </w:style>
  <w:style w:type="paragraph" w:styleId="berschrift4">
    <w:name w:val="heading 4"/>
    <w:basedOn w:val="Standard"/>
    <w:next w:val="Textkrper"/>
    <w:uiPriority w:val="9"/>
    <w:unhideWhenUsed/>
    <w:rsid w:val="00153133"/>
    <w:pPr>
      <w:keepNext/>
      <w:keepLines/>
      <w:numPr>
        <w:ilvl w:val="3"/>
        <w:numId w:val="3"/>
      </w:numPr>
      <w:spacing w:before="200"/>
      <w:outlineLvl w:val="3"/>
    </w:pPr>
    <w:rPr>
      <w:rFonts w:eastAsiaTheme="majorEastAsia" w:cstheme="majorBidi"/>
      <w:bCs/>
      <w:i/>
      <w:sz w:val="24"/>
    </w:rPr>
  </w:style>
  <w:style w:type="paragraph" w:styleId="berschrift5">
    <w:name w:val="heading 5"/>
    <w:basedOn w:val="Standard"/>
    <w:next w:val="Textkrper"/>
    <w:uiPriority w:val="9"/>
    <w:unhideWhenUsed/>
    <w:rsid w:val="00153133"/>
    <w:pPr>
      <w:keepNext/>
      <w:keepLines/>
      <w:numPr>
        <w:ilvl w:val="4"/>
        <w:numId w:val="3"/>
      </w:numPr>
      <w:spacing w:before="200"/>
      <w:outlineLvl w:val="4"/>
    </w:pPr>
    <w:rPr>
      <w:rFonts w:eastAsiaTheme="majorEastAsia" w:cstheme="majorBidi"/>
      <w:iCs/>
      <w:sz w:val="24"/>
    </w:rPr>
  </w:style>
  <w:style w:type="paragraph" w:styleId="berschrift6">
    <w:name w:val="heading 6"/>
    <w:basedOn w:val="Standard"/>
    <w:next w:val="Textkrper"/>
    <w:uiPriority w:val="9"/>
    <w:unhideWhenUsed/>
    <w:rsid w:val="00153133"/>
    <w:pPr>
      <w:keepNext/>
      <w:keepLines/>
      <w:numPr>
        <w:ilvl w:val="5"/>
        <w:numId w:val="3"/>
      </w:numPr>
      <w:spacing w:before="200"/>
      <w:outlineLvl w:val="5"/>
    </w:pPr>
    <w:rPr>
      <w:rFonts w:eastAsiaTheme="majorEastAsia" w:cstheme="majorBidi"/>
      <w:sz w:val="24"/>
    </w:rPr>
  </w:style>
  <w:style w:type="paragraph" w:styleId="berschrift7">
    <w:name w:val="heading 7"/>
    <w:basedOn w:val="Standard"/>
    <w:next w:val="Textkrper"/>
    <w:uiPriority w:val="9"/>
    <w:unhideWhenUsed/>
    <w:rsid w:val="00153133"/>
    <w:pPr>
      <w:keepNext/>
      <w:keepLines/>
      <w:numPr>
        <w:ilvl w:val="6"/>
        <w:numId w:val="3"/>
      </w:numPr>
      <w:spacing w:before="200"/>
      <w:outlineLvl w:val="6"/>
    </w:pPr>
    <w:rPr>
      <w:rFonts w:eastAsiaTheme="majorEastAsia" w:cstheme="majorBidi"/>
      <w:sz w:val="24"/>
    </w:rPr>
  </w:style>
  <w:style w:type="paragraph" w:styleId="berschrift8">
    <w:name w:val="heading 8"/>
    <w:basedOn w:val="Standard"/>
    <w:next w:val="Textkrper"/>
    <w:uiPriority w:val="9"/>
    <w:unhideWhenUsed/>
    <w:rsid w:val="00153133"/>
    <w:pPr>
      <w:keepNext/>
      <w:keepLines/>
      <w:numPr>
        <w:ilvl w:val="7"/>
        <w:numId w:val="3"/>
      </w:numPr>
      <w:spacing w:before="200"/>
      <w:outlineLvl w:val="7"/>
    </w:pPr>
    <w:rPr>
      <w:rFonts w:eastAsiaTheme="majorEastAsia" w:cstheme="majorBidi"/>
      <w:sz w:val="24"/>
    </w:rPr>
  </w:style>
  <w:style w:type="paragraph" w:styleId="berschrift9">
    <w:name w:val="heading 9"/>
    <w:basedOn w:val="Standard"/>
    <w:next w:val="Textkrper"/>
    <w:uiPriority w:val="9"/>
    <w:unhideWhenUsed/>
    <w:rsid w:val="00153133"/>
    <w:pPr>
      <w:keepNext/>
      <w:keepLines/>
      <w:numPr>
        <w:ilvl w:val="8"/>
        <w:numId w:val="3"/>
      </w:numPr>
      <w:spacing w:before="200"/>
      <w:outlineLvl w:val="8"/>
    </w:pPr>
    <w:rPr>
      <w:rFonts w:eastAsiaTheme="majorEastAsia" w:cstheme="majorBidi"/>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link w:val="TextkrperZchn"/>
    <w:uiPriority w:val="99"/>
    <w:qFormat/>
    <w:rsid w:val="007F5E1D"/>
    <w:pPr>
      <w:spacing w:before="60" w:after="60"/>
      <w:ind w:firstLine="170"/>
      <w:jc w:val="both"/>
    </w:pPr>
  </w:style>
  <w:style w:type="paragraph" w:customStyle="1" w:styleId="FirstParagraph">
    <w:name w:val="First Paragraph"/>
    <w:basedOn w:val="Textkrper"/>
    <w:next w:val="Textkrper"/>
  </w:style>
  <w:style w:type="paragraph" w:customStyle="1" w:styleId="Compact">
    <w:name w:val="Compact"/>
    <w:basedOn w:val="Textkrper2"/>
    <w:pPr>
      <w:spacing w:before="36" w:after="36"/>
    </w:pPr>
  </w:style>
  <w:style w:type="paragraph" w:styleId="Titel">
    <w:name w:val="Title"/>
    <w:basedOn w:val="Standard"/>
    <w:next w:val="Textkrper"/>
    <w:link w:val="TitelZchn"/>
    <w:uiPriority w:val="10"/>
    <w:qFormat/>
    <w:rsid w:val="003D502F"/>
    <w:pPr>
      <w:keepNext/>
      <w:keepLines/>
      <w:spacing w:line="240" w:lineRule="auto"/>
    </w:pPr>
    <w:rPr>
      <w:rFonts w:eastAsiaTheme="majorEastAsia" w:cstheme="majorBidi"/>
      <w:b/>
      <w:bCs/>
      <w:color w:val="D31932" w:themeColor="accent1"/>
      <w:spacing w:val="20"/>
      <w:sz w:val="28"/>
      <w:szCs w:val="28"/>
    </w:rPr>
  </w:style>
  <w:style w:type="paragraph" w:styleId="Untertitel">
    <w:name w:val="Subtitle"/>
    <w:basedOn w:val="Titel"/>
    <w:next w:val="Textkrper"/>
    <w:link w:val="UntertitelZchn"/>
    <w:uiPriority w:val="11"/>
    <w:qFormat/>
    <w:rsid w:val="00EF7CFB"/>
    <w:pPr>
      <w:spacing w:before="120" w:after="120"/>
    </w:pPr>
    <w:rPr>
      <w:b w:val="0"/>
      <w:color w:val="auto"/>
      <w:sz w:val="24"/>
      <w:szCs w:val="30"/>
    </w:rPr>
  </w:style>
  <w:style w:type="paragraph" w:customStyle="1" w:styleId="Author">
    <w:name w:val="Author"/>
    <w:basedOn w:val="Standard"/>
    <w:next w:val="Textkrper"/>
    <w:qFormat/>
    <w:rsid w:val="000352CE"/>
    <w:pPr>
      <w:keepNext/>
      <w:keepLines/>
      <w:spacing w:after="240"/>
    </w:pPr>
    <w:rPr>
      <w:szCs w:val="18"/>
      <w:lang w:val="fr-CH"/>
    </w:rPr>
  </w:style>
  <w:style w:type="paragraph" w:styleId="Datum">
    <w:name w:val="Date"/>
    <w:next w:val="Textkrper"/>
    <w:pPr>
      <w:keepNext/>
      <w:keepLines/>
      <w:jc w:val="center"/>
    </w:pPr>
  </w:style>
  <w:style w:type="paragraph" w:customStyle="1" w:styleId="Abstract">
    <w:name w:val="Abstract"/>
    <w:basedOn w:val="Standard"/>
    <w:next w:val="Textkrper"/>
    <w:qFormat/>
    <w:rsid w:val="00855097"/>
    <w:pPr>
      <w:keepNext/>
      <w:keepLines/>
      <w:spacing w:after="240"/>
      <w:jc w:val="both"/>
    </w:pPr>
    <w:rPr>
      <w:i/>
    </w:rPr>
  </w:style>
  <w:style w:type="paragraph" w:styleId="Literaturverzeichnis">
    <w:name w:val="Bibliography"/>
    <w:basedOn w:val="Standard"/>
    <w:qFormat/>
    <w:rsid w:val="00CF788D"/>
    <w:pPr>
      <w:ind w:left="567" w:hanging="567"/>
    </w:pPr>
  </w:style>
  <w:style w:type="paragraph" w:styleId="Blocktext">
    <w:name w:val="Block Text"/>
    <w:basedOn w:val="Textkrper"/>
    <w:next w:val="Textkrper"/>
    <w:uiPriority w:val="9"/>
    <w:unhideWhenUsed/>
    <w:pPr>
      <w:spacing w:before="100" w:after="100"/>
      <w:ind w:left="480" w:right="480"/>
    </w:pPr>
  </w:style>
  <w:style w:type="paragraph" w:styleId="Funotentext">
    <w:name w:val="footnote text"/>
    <w:basedOn w:val="Standard"/>
    <w:link w:val="FunotentextZchn"/>
    <w:uiPriority w:val="99"/>
    <w:unhideWhenUsed/>
    <w:qFormat/>
    <w:rsid w:val="007B4390"/>
    <w:rPr>
      <w:sz w:val="18"/>
    </w:r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Standard"/>
    <w:next w:val="Definition"/>
    <w:pPr>
      <w:keepNext/>
      <w:keepLines/>
    </w:pPr>
    <w:rPr>
      <w:b/>
    </w:rPr>
  </w:style>
  <w:style w:type="paragraph" w:customStyle="1" w:styleId="Definition">
    <w:name w:val="Definition"/>
    <w:basedOn w:val="Standard"/>
  </w:style>
  <w:style w:type="paragraph" w:customStyle="1" w:styleId="AbbildungBeschriftung">
    <w:name w:val="Abbildung Beschriftung"/>
    <w:basedOn w:val="TabelleBeschriftung"/>
    <w:qFormat/>
    <w:rsid w:val="0047168D"/>
    <w:rPr>
      <w:lang w:val="fr-CH"/>
    </w:rPr>
  </w:style>
  <w:style w:type="paragraph" w:customStyle="1" w:styleId="NotizTabelle">
    <w:name w:val="Notiz Tabelle"/>
    <w:basedOn w:val="Standard"/>
    <w:qFormat/>
    <w:rsid w:val="00577261"/>
    <w:pPr>
      <w:keepNext/>
      <w:spacing w:before="60" w:after="180" w:line="240" w:lineRule="auto"/>
    </w:pPr>
    <w:rPr>
      <w:iCs/>
      <w:sz w:val="16"/>
    </w:rPr>
  </w:style>
  <w:style w:type="paragraph" w:customStyle="1" w:styleId="NotizAbbildung">
    <w:name w:val="Notiz Abbildung"/>
    <w:basedOn w:val="NotizTabelle"/>
    <w:qFormat/>
    <w:rsid w:val="006B5540"/>
  </w:style>
  <w:style w:type="paragraph" w:customStyle="1" w:styleId="Figure">
    <w:name w:val="Figure"/>
    <w:basedOn w:val="Standard"/>
  </w:style>
  <w:style w:type="character" w:customStyle="1" w:styleId="VerbatimChar">
    <w:name w:val="Verbatim Char"/>
    <w:basedOn w:val="Absatz-Standardschriftart"/>
    <w:rsid w:val="006676E2"/>
    <w:rPr>
      <w:rFonts w:ascii="Open Sans SemiCondensed" w:hAnsi="Open Sans SemiCondensed"/>
      <w:b w:val="0"/>
      <w:bCs/>
      <w:i/>
      <w:iCs/>
      <w:color w:val="C00000"/>
      <w:sz w:val="22"/>
    </w:rPr>
  </w:style>
  <w:style w:type="character" w:customStyle="1" w:styleId="SectionNumber">
    <w:name w:val="Section Number"/>
    <w:basedOn w:val="Absatz-Standardschriftart"/>
    <w:rsid w:val="006676E2"/>
    <w:rPr>
      <w:rFonts w:ascii="Open Sans SemiCondensed" w:hAnsi="Open Sans SemiCondensed"/>
      <w:b w:val="0"/>
      <w:bCs/>
      <w:i/>
      <w:iCs/>
      <w:color w:val="C00000"/>
      <w:sz w:val="20"/>
    </w:rPr>
  </w:style>
  <w:style w:type="character" w:styleId="Funotenzeichen">
    <w:name w:val="footnote reference"/>
    <w:basedOn w:val="Absatz-Standardschriftart"/>
    <w:uiPriority w:val="99"/>
    <w:rsid w:val="00EF7CFB"/>
    <w:rPr>
      <w:rFonts w:ascii="Open Sans SemiCondensed" w:hAnsi="Open Sans SemiCondensed"/>
      <w:b w:val="0"/>
      <w:bCs/>
      <w:i w:val="0"/>
      <w:iCs/>
      <w:color w:val="auto"/>
      <w:sz w:val="20"/>
      <w:vertAlign w:val="superscript"/>
    </w:rPr>
  </w:style>
  <w:style w:type="character" w:styleId="Hyperlink">
    <w:name w:val="Hyperlink"/>
    <w:basedOn w:val="FunotentextZchn"/>
    <w:rsid w:val="003D502F"/>
    <w:rPr>
      <w:rFonts w:ascii="Open Sans SemiCondensed" w:hAnsi="Open Sans SemiCondensed"/>
      <w:b w:val="0"/>
      <w:bCs/>
      <w:i w:val="0"/>
      <w:iCs/>
      <w:color w:val="D31932" w:themeColor="accent1"/>
      <w:spacing w:val="-4"/>
      <w:sz w:val="20"/>
      <w:lang w:val="de-CH"/>
    </w:rPr>
  </w:style>
  <w:style w:type="paragraph" w:styleId="Inhaltsverzeichnisberschrift">
    <w:name w:val="TOC Heading"/>
    <w:basedOn w:val="berschrift1"/>
    <w:next w:val="Textkrper"/>
    <w:uiPriority w:val="39"/>
    <w:unhideWhenUsed/>
    <w:rsid w:val="00024143"/>
    <w:pPr>
      <w:spacing w:line="259" w:lineRule="auto"/>
      <w:outlineLvl w:val="9"/>
    </w:pPr>
    <w:rPr>
      <w:bCs w:val="0"/>
      <w:color w:val="auto"/>
    </w:rPr>
  </w:style>
  <w:style w:type="paragraph" w:styleId="Kopfzeile">
    <w:name w:val="header"/>
    <w:basedOn w:val="Standard"/>
    <w:link w:val="KopfzeileZchn"/>
    <w:unhideWhenUsed/>
    <w:rsid w:val="004B3A29"/>
    <w:pPr>
      <w:tabs>
        <w:tab w:val="center" w:pos="4513"/>
        <w:tab w:val="right" w:pos="9026"/>
      </w:tabs>
    </w:pPr>
  </w:style>
  <w:style w:type="character" w:customStyle="1" w:styleId="TextkrperZchn">
    <w:name w:val="Textkörper Zchn"/>
    <w:basedOn w:val="Absatz-Standardschriftart"/>
    <w:link w:val="Textkrper"/>
    <w:uiPriority w:val="99"/>
    <w:rsid w:val="007F5E1D"/>
  </w:style>
  <w:style w:type="character" w:customStyle="1" w:styleId="KopfzeileZchn">
    <w:name w:val="Kopfzeile Zchn"/>
    <w:basedOn w:val="Absatz-Standardschriftart"/>
    <w:link w:val="Kopfzeile"/>
    <w:rsid w:val="004B3A29"/>
    <w:rPr>
      <w:rFonts w:ascii="Open Sans SemiCondensed" w:hAnsi="Open Sans SemiCondensed"/>
      <w:sz w:val="20"/>
    </w:rPr>
  </w:style>
  <w:style w:type="paragraph" w:styleId="Fuzeile">
    <w:name w:val="footer"/>
    <w:basedOn w:val="Standard"/>
    <w:link w:val="FuzeileZchn"/>
    <w:unhideWhenUsed/>
    <w:rsid w:val="007B448B"/>
    <w:pPr>
      <w:tabs>
        <w:tab w:val="center" w:pos="4513"/>
        <w:tab w:val="right" w:pos="9026"/>
      </w:tabs>
    </w:pPr>
    <w:rPr>
      <w:sz w:val="18"/>
    </w:rPr>
  </w:style>
  <w:style w:type="character" w:customStyle="1" w:styleId="FuzeileZchn">
    <w:name w:val="Fußzeile Zchn"/>
    <w:basedOn w:val="Absatz-Standardschriftart"/>
    <w:link w:val="Fuzeile"/>
    <w:rsid w:val="007B448B"/>
    <w:rPr>
      <w:rFonts w:ascii="Open Sans SemiCondensed" w:hAnsi="Open Sans SemiCondensed"/>
      <w:spacing w:val="-4"/>
      <w:sz w:val="18"/>
    </w:rPr>
  </w:style>
  <w:style w:type="paragraph" w:customStyle="1" w:styleId="Themenschwerpunkt">
    <w:name w:val="Themenschwerpunkt"/>
    <w:basedOn w:val="Kopfzeile"/>
    <w:link w:val="ThemenschwerpunktZchn"/>
    <w:rsid w:val="00CC1689"/>
    <w:pPr>
      <w:tabs>
        <w:tab w:val="clear" w:pos="4513"/>
        <w:tab w:val="clear" w:pos="9026"/>
        <w:tab w:val="center" w:pos="4536"/>
        <w:tab w:val="right" w:pos="9072"/>
      </w:tabs>
      <w:spacing w:line="240" w:lineRule="auto"/>
      <w:jc w:val="both"/>
    </w:pPr>
    <w:rPr>
      <w:b/>
      <w:noProof/>
      <w:spacing w:val="0"/>
      <w:sz w:val="14"/>
      <w:szCs w:val="22"/>
      <w:lang w:val="de-DE"/>
    </w:rPr>
  </w:style>
  <w:style w:type="character" w:customStyle="1" w:styleId="ThemenschwerpunktZchn">
    <w:name w:val="Themenschwerpunkt Zchn"/>
    <w:basedOn w:val="KopfzeileZchn"/>
    <w:link w:val="Themenschwerpunkt"/>
    <w:rsid w:val="00CC1689"/>
    <w:rPr>
      <w:rFonts w:ascii="Open Sans SemiCondensed" w:hAnsi="Open Sans SemiCondensed"/>
      <w:b/>
      <w:noProof/>
      <w:spacing w:val="0"/>
      <w:sz w:val="14"/>
      <w:szCs w:val="22"/>
      <w:lang w:val="de-DE"/>
    </w:rPr>
  </w:style>
  <w:style w:type="paragraph" w:styleId="Textkrper2">
    <w:name w:val="Body Text 2"/>
    <w:basedOn w:val="Textkrper"/>
    <w:link w:val="Textkrper2Zchn"/>
    <w:rsid w:val="007F5E1D"/>
    <w:pPr>
      <w:ind w:firstLine="0"/>
    </w:pPr>
  </w:style>
  <w:style w:type="character" w:customStyle="1" w:styleId="Textkrper2Zchn">
    <w:name w:val="Textkörper 2 Zchn"/>
    <w:basedOn w:val="Absatz-Standardschriftart"/>
    <w:link w:val="Textkrper2"/>
    <w:rsid w:val="007F5E1D"/>
  </w:style>
  <w:style w:type="paragraph" w:styleId="Textkrper3">
    <w:name w:val="Body Text 3"/>
    <w:basedOn w:val="Textkrper"/>
    <w:link w:val="Textkrper3Zchn"/>
    <w:autoRedefine/>
    <w:uiPriority w:val="99"/>
    <w:rsid w:val="007B4390"/>
    <w:pPr>
      <w:spacing w:before="0" w:after="0"/>
      <w:ind w:firstLine="0"/>
      <w:jc w:val="left"/>
    </w:pPr>
  </w:style>
  <w:style w:type="character" w:customStyle="1" w:styleId="Textkrper3Zchn">
    <w:name w:val="Textkörper 3 Zchn"/>
    <w:basedOn w:val="Absatz-Standardschriftart"/>
    <w:link w:val="Textkrper3"/>
    <w:uiPriority w:val="99"/>
    <w:rsid w:val="007B4390"/>
    <w:rPr>
      <w:lang w:val="de-CH"/>
    </w:rPr>
  </w:style>
  <w:style w:type="paragraph" w:customStyle="1" w:styleId="TabelleBeschriftung">
    <w:name w:val="Tabelle Beschriftung"/>
    <w:basedOn w:val="Standard"/>
    <w:qFormat/>
    <w:rsid w:val="003D502F"/>
    <w:pPr>
      <w:keepNext/>
      <w:spacing w:before="120" w:after="120" w:line="240" w:lineRule="auto"/>
    </w:pPr>
    <w:rPr>
      <w:bCs/>
      <w:i/>
      <w:iCs/>
      <w:color w:val="D31932" w:themeColor="accent1"/>
    </w:rPr>
  </w:style>
  <w:style w:type="paragraph" w:styleId="Liste">
    <w:name w:val="List"/>
    <w:basedOn w:val="Standard"/>
    <w:uiPriority w:val="99"/>
    <w:unhideWhenUsed/>
    <w:qFormat/>
    <w:rsid w:val="00ED473A"/>
    <w:pPr>
      <w:numPr>
        <w:numId w:val="1"/>
      </w:numPr>
      <w:ind w:left="454" w:hanging="284"/>
      <w:contextualSpacing/>
    </w:pPr>
  </w:style>
  <w:style w:type="paragraph" w:styleId="Liste2">
    <w:name w:val="List 2"/>
    <w:basedOn w:val="Standard"/>
    <w:uiPriority w:val="99"/>
    <w:unhideWhenUsed/>
    <w:rsid w:val="00ED473A"/>
    <w:pPr>
      <w:numPr>
        <w:ilvl w:val="1"/>
        <w:numId w:val="1"/>
      </w:numPr>
      <w:ind w:left="794" w:hanging="284"/>
      <w:contextualSpacing/>
    </w:pPr>
  </w:style>
  <w:style w:type="paragraph" w:styleId="Liste3">
    <w:name w:val="List 3"/>
    <w:basedOn w:val="Standard"/>
    <w:uiPriority w:val="99"/>
    <w:unhideWhenUsed/>
    <w:rsid w:val="00ED473A"/>
    <w:pPr>
      <w:numPr>
        <w:ilvl w:val="2"/>
        <w:numId w:val="1"/>
      </w:numPr>
      <w:ind w:left="1135" w:hanging="284"/>
      <w:contextualSpacing/>
    </w:pPr>
  </w:style>
  <w:style w:type="paragraph" w:styleId="Index1">
    <w:name w:val="index 1"/>
    <w:basedOn w:val="Standard"/>
    <w:next w:val="Standard"/>
    <w:autoRedefine/>
    <w:rsid w:val="00571C0D"/>
    <w:pPr>
      <w:spacing w:line="240" w:lineRule="auto"/>
      <w:ind w:left="200" w:hanging="200"/>
    </w:pPr>
  </w:style>
  <w:style w:type="character" w:styleId="Erwhnung">
    <w:name w:val="Mention"/>
    <w:basedOn w:val="Absatz-Standardschriftart"/>
    <w:uiPriority w:val="99"/>
    <w:unhideWhenUsed/>
    <w:rsid w:val="00EA4676"/>
    <w:rPr>
      <w:color w:val="2B579A"/>
      <w:shd w:val="clear" w:color="auto" w:fill="E1DFDD"/>
    </w:rPr>
  </w:style>
  <w:style w:type="character" w:styleId="Fett">
    <w:name w:val="Strong"/>
    <w:basedOn w:val="Absatz-Standardschriftart"/>
    <w:uiPriority w:val="22"/>
    <w:qFormat/>
    <w:rsid w:val="00EA4676"/>
    <w:rPr>
      <w:b/>
      <w:bCs/>
    </w:rPr>
  </w:style>
  <w:style w:type="character" w:customStyle="1" w:styleId="FunotentextZchn">
    <w:name w:val="Fußnotentext Zchn"/>
    <w:basedOn w:val="Absatz-Standardschriftart"/>
    <w:link w:val="Funotentext"/>
    <w:uiPriority w:val="99"/>
    <w:rsid w:val="007B4390"/>
    <w:rPr>
      <w:sz w:val="18"/>
      <w:lang w:val="de-CH"/>
    </w:rPr>
  </w:style>
  <w:style w:type="table" w:styleId="Gitternetztabelle1hell">
    <w:name w:val="Grid Table 1 Light"/>
    <w:basedOn w:val="NormaleTabelle"/>
    <w:uiPriority w:val="46"/>
    <w:rsid w:val="00D614DC"/>
    <w:pPr>
      <w:spacing w:after="0"/>
    </w:pPr>
    <w:rPr>
      <w:sz w:val="22"/>
      <w:szCs w:val="22"/>
      <w:lang w:val="de-CH"/>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NichtaufgelsteErwhnung">
    <w:name w:val="Unresolved Mention"/>
    <w:basedOn w:val="Absatz-Standardschriftart"/>
    <w:uiPriority w:val="99"/>
    <w:semiHidden/>
    <w:unhideWhenUsed/>
    <w:rsid w:val="00853805"/>
    <w:rPr>
      <w:color w:val="605E5C"/>
      <w:shd w:val="clear" w:color="auto" w:fill="E1DFDD"/>
    </w:rPr>
  </w:style>
  <w:style w:type="character" w:styleId="Kommentarzeichen">
    <w:name w:val="annotation reference"/>
    <w:basedOn w:val="Absatz-Standardschriftart"/>
    <w:uiPriority w:val="99"/>
    <w:semiHidden/>
    <w:unhideWhenUsed/>
    <w:rsid w:val="00D02DE1"/>
    <w:rPr>
      <w:sz w:val="16"/>
      <w:szCs w:val="16"/>
    </w:rPr>
  </w:style>
  <w:style w:type="paragraph" w:styleId="Kommentartext">
    <w:name w:val="annotation text"/>
    <w:basedOn w:val="Standard"/>
    <w:link w:val="KommentartextZchn"/>
    <w:uiPriority w:val="99"/>
    <w:unhideWhenUsed/>
    <w:rsid w:val="00D02DE1"/>
    <w:pPr>
      <w:spacing w:line="240" w:lineRule="auto"/>
    </w:pPr>
  </w:style>
  <w:style w:type="character" w:customStyle="1" w:styleId="KommentartextZchn">
    <w:name w:val="Kommentartext Zchn"/>
    <w:basedOn w:val="Absatz-Standardschriftart"/>
    <w:link w:val="Kommentartext"/>
    <w:uiPriority w:val="99"/>
    <w:rsid w:val="00D02DE1"/>
    <w:rPr>
      <w:rFonts w:ascii="Open Sans SemiCondensed" w:hAnsi="Open Sans SemiCondensed"/>
      <w:sz w:val="20"/>
      <w:szCs w:val="20"/>
    </w:rPr>
  </w:style>
  <w:style w:type="character" w:customStyle="1" w:styleId="UntertitelZchn">
    <w:name w:val="Untertitel Zchn"/>
    <w:basedOn w:val="Absatz-Standardschriftart"/>
    <w:link w:val="Untertitel"/>
    <w:uiPriority w:val="11"/>
    <w:rsid w:val="00EF7CFB"/>
    <w:rPr>
      <w:rFonts w:ascii="Open Sans SemiCondensed" w:eastAsiaTheme="majorEastAsia" w:hAnsi="Open Sans SemiCondensed" w:cstheme="majorBidi"/>
      <w:bCs/>
      <w:spacing w:val="20"/>
      <w:szCs w:val="30"/>
    </w:rPr>
  </w:style>
  <w:style w:type="table" w:styleId="Tabellenraster">
    <w:name w:val="Table Grid"/>
    <w:basedOn w:val="NormaleTabelle"/>
    <w:uiPriority w:val="39"/>
    <w:rsid w:val="006B554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rvorhebung1">
    <w:name w:val="Hervorhebung1"/>
    <w:basedOn w:val="Standard"/>
    <w:link w:val="HervorhebungCar"/>
    <w:qFormat/>
    <w:rsid w:val="003D502F"/>
    <w:rPr>
      <w:bCs/>
      <w:i/>
      <w:color w:val="D31932" w:themeColor="accent1"/>
      <w:spacing w:val="10"/>
      <w:szCs w:val="22"/>
    </w:rPr>
  </w:style>
  <w:style w:type="character" w:customStyle="1" w:styleId="HervorhebungCar">
    <w:name w:val="Hervorhebung Car"/>
    <w:basedOn w:val="Absatz-Standardschriftart"/>
    <w:link w:val="Hervorhebung1"/>
    <w:rsid w:val="003D502F"/>
    <w:rPr>
      <w:bCs/>
      <w:i/>
      <w:color w:val="D31932" w:themeColor="accent1"/>
      <w:spacing w:val="10"/>
      <w:szCs w:val="22"/>
    </w:rPr>
  </w:style>
  <w:style w:type="paragraph" w:customStyle="1" w:styleId="Zitat1">
    <w:name w:val="Zitat1"/>
    <w:basedOn w:val="Standard"/>
    <w:next w:val="Textkrper"/>
    <w:qFormat/>
    <w:rsid w:val="00157D7E"/>
    <w:pPr>
      <w:spacing w:before="120" w:after="240"/>
      <w:ind w:left="284" w:right="567"/>
      <w:jc w:val="both"/>
    </w:pPr>
    <w:rPr>
      <w:i/>
      <w:iCs/>
      <w:noProof/>
      <w:color w:val="262626" w:themeColor="text1" w:themeTint="D9"/>
    </w:rPr>
  </w:style>
  <w:style w:type="paragraph" w:styleId="Kommentarthema">
    <w:name w:val="annotation subject"/>
    <w:basedOn w:val="Kommentartext"/>
    <w:next w:val="Kommentartext"/>
    <w:link w:val="KommentarthemaZchn"/>
    <w:semiHidden/>
    <w:unhideWhenUsed/>
    <w:rsid w:val="000302CB"/>
    <w:rPr>
      <w:b/>
      <w:bCs/>
    </w:rPr>
  </w:style>
  <w:style w:type="character" w:customStyle="1" w:styleId="KommentarthemaZchn">
    <w:name w:val="Kommentarthema Zchn"/>
    <w:basedOn w:val="KommentartextZchn"/>
    <w:link w:val="Kommentarthema"/>
    <w:semiHidden/>
    <w:rsid w:val="000302CB"/>
    <w:rPr>
      <w:rFonts w:ascii="Open Sans SemiCondensed" w:hAnsi="Open Sans SemiCondensed"/>
      <w:b/>
      <w:bCs/>
      <w:spacing w:val="-4"/>
      <w:sz w:val="20"/>
      <w:szCs w:val="20"/>
    </w:rPr>
  </w:style>
  <w:style w:type="paragraph" w:styleId="Listennummer">
    <w:name w:val="List Number"/>
    <w:basedOn w:val="Standard"/>
    <w:unhideWhenUsed/>
    <w:qFormat/>
    <w:rsid w:val="00ED473A"/>
    <w:pPr>
      <w:numPr>
        <w:numId w:val="2"/>
      </w:numPr>
      <w:ind w:left="527" w:hanging="357"/>
      <w:contextualSpacing/>
    </w:pPr>
    <w:rPr>
      <w:lang w:val="fr-CH"/>
    </w:rPr>
  </w:style>
  <w:style w:type="character" w:styleId="HTMLTastatur">
    <w:name w:val="HTML Keyboard"/>
    <w:basedOn w:val="Absatz-Standardschriftart"/>
    <w:semiHidden/>
    <w:unhideWhenUsed/>
    <w:rsid w:val="00120CBF"/>
    <w:rPr>
      <w:rFonts w:ascii="Open Sans SemiCondensed" w:hAnsi="Open Sans SemiCondensed"/>
      <w:sz w:val="20"/>
      <w:szCs w:val="20"/>
    </w:rPr>
  </w:style>
  <w:style w:type="character" w:styleId="HTMLCode">
    <w:name w:val="HTML Code"/>
    <w:basedOn w:val="Absatz-Standardschriftart"/>
    <w:semiHidden/>
    <w:unhideWhenUsed/>
    <w:rsid w:val="00120CBF"/>
    <w:rPr>
      <w:rFonts w:ascii="Open Sans SemiCondensed" w:hAnsi="Open Sans SemiCondensed"/>
      <w:sz w:val="20"/>
      <w:szCs w:val="20"/>
    </w:rPr>
  </w:style>
  <w:style w:type="paragraph" w:styleId="Dokumentstruktur">
    <w:name w:val="Document Map"/>
    <w:basedOn w:val="Standard"/>
    <w:link w:val="DokumentstrukturZchn"/>
    <w:semiHidden/>
    <w:unhideWhenUsed/>
    <w:rsid w:val="00120CBF"/>
    <w:pPr>
      <w:spacing w:line="240" w:lineRule="auto"/>
    </w:pPr>
    <w:rPr>
      <w:sz w:val="16"/>
      <w:szCs w:val="16"/>
    </w:rPr>
  </w:style>
  <w:style w:type="character" w:customStyle="1" w:styleId="DokumentstrukturZchn">
    <w:name w:val="Dokumentstruktur Zchn"/>
    <w:basedOn w:val="Absatz-Standardschriftart"/>
    <w:link w:val="Dokumentstruktur"/>
    <w:semiHidden/>
    <w:rsid w:val="00120CBF"/>
    <w:rPr>
      <w:rFonts w:ascii="Open Sans SemiCondensed" w:hAnsi="Open Sans SemiCondensed"/>
      <w:spacing w:val="-4"/>
      <w:sz w:val="16"/>
      <w:szCs w:val="16"/>
    </w:rPr>
  </w:style>
  <w:style w:type="character" w:styleId="HTMLBeispiel">
    <w:name w:val="HTML Sample"/>
    <w:basedOn w:val="Absatz-Standardschriftart"/>
    <w:semiHidden/>
    <w:unhideWhenUsed/>
    <w:rsid w:val="00120CBF"/>
    <w:rPr>
      <w:rFonts w:ascii="Open Sans SemiCondensed" w:hAnsi="Open Sans SemiCondensed"/>
      <w:sz w:val="24"/>
      <w:szCs w:val="24"/>
    </w:rPr>
  </w:style>
  <w:style w:type="table" w:styleId="MittlereListe2">
    <w:name w:val="Medium List 2"/>
    <w:basedOn w:val="NormaleTabelle"/>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1">
    <w:name w:val="Medium List 2 Accent 1"/>
    <w:basedOn w:val="NormaleTabelle"/>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tblBorders>
    </w:tblPr>
    <w:tblStylePr w:type="firstRow">
      <w:rPr>
        <w:sz w:val="24"/>
        <w:szCs w:val="24"/>
      </w:rPr>
      <w:tblPr/>
      <w:tcPr>
        <w:tcBorders>
          <w:top w:val="nil"/>
          <w:left w:val="nil"/>
          <w:bottom w:val="single" w:sz="24" w:space="0" w:color="D31932" w:themeColor="accent1"/>
          <w:right w:val="nil"/>
          <w:insideH w:val="nil"/>
          <w:insideV w:val="nil"/>
        </w:tcBorders>
        <w:shd w:val="clear" w:color="auto" w:fill="FFFFFF" w:themeFill="background1"/>
      </w:tcPr>
    </w:tblStylePr>
    <w:tblStylePr w:type="lastRow">
      <w:tblPr/>
      <w:tcPr>
        <w:tcBorders>
          <w:top w:val="single" w:sz="8" w:space="0" w:color="D3193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31932" w:themeColor="accent1"/>
          <w:insideH w:val="nil"/>
          <w:insideV w:val="nil"/>
        </w:tcBorders>
        <w:shd w:val="clear" w:color="auto" w:fill="FFFFFF" w:themeFill="background1"/>
      </w:tcPr>
    </w:tblStylePr>
    <w:tblStylePr w:type="lastCol">
      <w:tblPr/>
      <w:tcPr>
        <w:tcBorders>
          <w:top w:val="nil"/>
          <w:left w:val="single" w:sz="8" w:space="0" w:color="D3193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C2C9" w:themeFill="accent1" w:themeFillTint="3F"/>
      </w:tcPr>
    </w:tblStylePr>
    <w:tblStylePr w:type="band1Horz">
      <w:tblPr/>
      <w:tcPr>
        <w:tcBorders>
          <w:top w:val="nil"/>
          <w:bottom w:val="nil"/>
          <w:insideH w:val="nil"/>
          <w:insideV w:val="nil"/>
        </w:tcBorders>
        <w:shd w:val="clear" w:color="auto" w:fill="F7C2C9" w:themeFill="accent1" w:themeFillTint="3F"/>
      </w:tcPr>
    </w:tblStylePr>
    <w:tblStylePr w:type="nwCell">
      <w:tblPr/>
      <w:tcPr>
        <w:shd w:val="clear" w:color="auto" w:fill="FFFFFF" w:themeFill="background1"/>
      </w:tcPr>
    </w:tblStylePr>
    <w:tblStylePr w:type="swCell">
      <w:tblPr/>
      <w:tcPr>
        <w:tcBorders>
          <w:top w:val="nil"/>
        </w:tcBorders>
      </w:tcPr>
    </w:tblStylePr>
  </w:style>
  <w:style w:type="paragraph" w:styleId="Umschlagadresse">
    <w:name w:val="envelope address"/>
    <w:basedOn w:val="Standard"/>
    <w:semiHidden/>
    <w:unhideWhenUsed/>
    <w:rsid w:val="006676E2"/>
    <w:pPr>
      <w:framePr w:w="4320" w:h="2160" w:hRule="exact" w:hSpace="141" w:wrap="auto" w:hAnchor="page" w:xAlign="center" w:yAlign="bottom"/>
      <w:spacing w:line="240" w:lineRule="auto"/>
      <w:ind w:left="1"/>
    </w:pPr>
    <w:rPr>
      <w:rFonts w:eastAsiaTheme="majorEastAsia" w:cstheme="majorBidi"/>
      <w:sz w:val="24"/>
      <w:szCs w:val="24"/>
    </w:rPr>
  </w:style>
  <w:style w:type="paragraph" w:styleId="Umschlagabsenderadresse">
    <w:name w:val="envelope return"/>
    <w:basedOn w:val="Standard"/>
    <w:semiHidden/>
    <w:unhideWhenUsed/>
    <w:rsid w:val="006676E2"/>
    <w:pPr>
      <w:spacing w:line="240" w:lineRule="auto"/>
    </w:pPr>
    <w:rPr>
      <w:rFonts w:eastAsiaTheme="majorEastAsia" w:cstheme="majorBidi"/>
    </w:rPr>
  </w:style>
  <w:style w:type="paragraph" w:styleId="Nachrichtenkopf">
    <w:name w:val="Message Header"/>
    <w:basedOn w:val="Standard"/>
    <w:link w:val="NachrichtenkopfZchn"/>
    <w:semiHidden/>
    <w:unhideWhenUsed/>
    <w:rsid w:val="006676E2"/>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eastAsiaTheme="majorEastAsia" w:cstheme="majorBidi"/>
      <w:sz w:val="24"/>
      <w:szCs w:val="24"/>
    </w:rPr>
  </w:style>
  <w:style w:type="character" w:customStyle="1" w:styleId="NachrichtenkopfZchn">
    <w:name w:val="Nachrichtenkopf Zchn"/>
    <w:basedOn w:val="Absatz-Standardschriftart"/>
    <w:link w:val="Nachrichtenkopf"/>
    <w:semiHidden/>
    <w:rsid w:val="006676E2"/>
    <w:rPr>
      <w:rFonts w:eastAsiaTheme="majorEastAsia" w:cstheme="majorBidi"/>
      <w:sz w:val="24"/>
      <w:szCs w:val="24"/>
      <w:shd w:val="pct20" w:color="auto" w:fill="auto"/>
    </w:rPr>
  </w:style>
  <w:style w:type="table" w:styleId="MittleresRaster2">
    <w:name w:val="Medium Grid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ittleresRaster2-Akzent1">
    <w:name w:val="Medium Grid 2 Accent 1"/>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insideH w:val="single" w:sz="8" w:space="0" w:color="D31932" w:themeColor="accent1"/>
        <w:insideV w:val="single" w:sz="8" w:space="0" w:color="D31932" w:themeColor="accent1"/>
      </w:tblBorders>
    </w:tblPr>
    <w:tcPr>
      <w:shd w:val="clear" w:color="auto" w:fill="F7C2C9" w:themeFill="accent1" w:themeFillTint="3F"/>
    </w:tcPr>
    <w:tblStylePr w:type="firstRow">
      <w:rPr>
        <w:b/>
        <w:bCs/>
        <w:color w:val="000000" w:themeColor="text1"/>
      </w:rPr>
      <w:tblPr/>
      <w:tcPr>
        <w:shd w:val="clear" w:color="auto" w:fill="FCE6E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9CDD3" w:themeFill="accent1" w:themeFillTint="33"/>
      </w:tcPr>
    </w:tblStylePr>
    <w:tblStylePr w:type="band1Vert">
      <w:tblPr/>
      <w:tcPr>
        <w:shd w:val="clear" w:color="auto" w:fill="F08493" w:themeFill="accent1" w:themeFillTint="7F"/>
      </w:tcPr>
    </w:tblStylePr>
    <w:tblStylePr w:type="band1Horz">
      <w:tblPr/>
      <w:tcPr>
        <w:tcBorders>
          <w:insideH w:val="single" w:sz="6" w:space="0" w:color="D31932" w:themeColor="accent1"/>
          <w:insideV w:val="single" w:sz="6" w:space="0" w:color="D31932" w:themeColor="accent1"/>
        </w:tcBorders>
        <w:shd w:val="clear" w:color="auto" w:fill="F08493" w:themeFill="accent1" w:themeFillTint="7F"/>
      </w:tcPr>
    </w:tblStylePr>
    <w:tblStylePr w:type="nwCell">
      <w:tblPr/>
      <w:tcPr>
        <w:shd w:val="clear" w:color="auto" w:fill="FFFFFF" w:themeFill="background1"/>
      </w:tcPr>
    </w:tblStylePr>
  </w:style>
  <w:style w:type="table" w:styleId="MittleresRaster2-Akzent2">
    <w:name w:val="Medium Grid 2 Accent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insideH w:val="single" w:sz="8" w:space="0" w:color="EB5E51" w:themeColor="accent2"/>
        <w:insideV w:val="single" w:sz="8" w:space="0" w:color="EB5E51" w:themeColor="accent2"/>
      </w:tblBorders>
    </w:tblPr>
    <w:tcPr>
      <w:shd w:val="clear" w:color="auto" w:fill="FAD6D3" w:themeFill="accent2" w:themeFillTint="3F"/>
    </w:tcPr>
    <w:tblStylePr w:type="firstRow">
      <w:rPr>
        <w:b/>
        <w:bCs/>
        <w:color w:val="000000" w:themeColor="text1"/>
      </w:rPr>
      <w:tblPr/>
      <w:tcPr>
        <w:shd w:val="clear" w:color="auto" w:fill="FDEE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DEDC" w:themeFill="accent2" w:themeFillTint="33"/>
      </w:tcPr>
    </w:tblStylePr>
    <w:tblStylePr w:type="band1Vert">
      <w:tblPr/>
      <w:tcPr>
        <w:shd w:val="clear" w:color="auto" w:fill="F5AEA8" w:themeFill="accent2" w:themeFillTint="7F"/>
      </w:tcPr>
    </w:tblStylePr>
    <w:tblStylePr w:type="band1Horz">
      <w:tblPr/>
      <w:tcPr>
        <w:tcBorders>
          <w:insideH w:val="single" w:sz="6" w:space="0" w:color="EB5E51" w:themeColor="accent2"/>
          <w:insideV w:val="single" w:sz="6" w:space="0" w:color="EB5E51" w:themeColor="accent2"/>
        </w:tcBorders>
        <w:shd w:val="clear" w:color="auto" w:fill="F5AEA8" w:themeFill="accent2" w:themeFillTint="7F"/>
      </w:tcPr>
    </w:tblStylePr>
    <w:tblStylePr w:type="nwCell">
      <w:tblPr/>
      <w:tcPr>
        <w:shd w:val="clear" w:color="auto" w:fill="FFFFFF" w:themeFill="background1"/>
      </w:tcPr>
    </w:tblStylePr>
  </w:style>
  <w:style w:type="table" w:styleId="MittleresRaster2-Akzent3">
    <w:name w:val="Medium Grid 2 Accent 3"/>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insideH w:val="single" w:sz="8" w:space="0" w:color="C7CF1C" w:themeColor="accent3"/>
        <w:insideV w:val="single" w:sz="8" w:space="0" w:color="C7CF1C" w:themeColor="accent3"/>
      </w:tblBorders>
    </w:tblPr>
    <w:tcPr>
      <w:shd w:val="clear" w:color="auto" w:fill="F4F7C3" w:themeFill="accent3" w:themeFillTint="3F"/>
    </w:tcPr>
    <w:tblStylePr w:type="firstRow">
      <w:rPr>
        <w:b/>
        <w:bCs/>
        <w:color w:val="000000" w:themeColor="text1"/>
      </w:rPr>
      <w:tblPr/>
      <w:tcPr>
        <w:shd w:val="clear" w:color="auto" w:fill="FAFBE7"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6F8CE" w:themeFill="accent3" w:themeFillTint="33"/>
      </w:tcPr>
    </w:tblStylePr>
    <w:tblStylePr w:type="band1Vert">
      <w:tblPr/>
      <w:tcPr>
        <w:shd w:val="clear" w:color="auto" w:fill="E9EE86" w:themeFill="accent3" w:themeFillTint="7F"/>
      </w:tcPr>
    </w:tblStylePr>
    <w:tblStylePr w:type="band1Horz">
      <w:tblPr/>
      <w:tcPr>
        <w:tcBorders>
          <w:insideH w:val="single" w:sz="6" w:space="0" w:color="C7CF1C" w:themeColor="accent3"/>
          <w:insideV w:val="single" w:sz="6" w:space="0" w:color="C7CF1C" w:themeColor="accent3"/>
        </w:tcBorders>
        <w:shd w:val="clear" w:color="auto" w:fill="E9EE86" w:themeFill="accent3" w:themeFillTint="7F"/>
      </w:tcPr>
    </w:tblStylePr>
    <w:tblStylePr w:type="nwCell">
      <w:tblPr/>
      <w:tcPr>
        <w:shd w:val="clear" w:color="auto" w:fill="FFFFFF" w:themeFill="background1"/>
      </w:tcPr>
    </w:tblStylePr>
  </w:style>
  <w:style w:type="table" w:styleId="MittleresRaster2-Akzent4">
    <w:name w:val="Medium Grid 2 Accent 4"/>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insideH w:val="single" w:sz="8" w:space="0" w:color="51A66D" w:themeColor="accent4"/>
        <w:insideV w:val="single" w:sz="8" w:space="0" w:color="51A66D" w:themeColor="accent4"/>
      </w:tblBorders>
    </w:tblPr>
    <w:tcPr>
      <w:shd w:val="clear" w:color="auto" w:fill="D3E9DA" w:themeFill="accent4" w:themeFillTint="3F"/>
    </w:tcPr>
    <w:tblStylePr w:type="firstRow">
      <w:rPr>
        <w:b/>
        <w:bCs/>
        <w:color w:val="000000" w:themeColor="text1"/>
      </w:rPr>
      <w:tblPr/>
      <w:tcPr>
        <w:shd w:val="clear" w:color="auto" w:fill="EDF6F0"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DE1" w:themeFill="accent4" w:themeFillTint="33"/>
      </w:tcPr>
    </w:tblStylePr>
    <w:tblStylePr w:type="band1Vert">
      <w:tblPr/>
      <w:tcPr>
        <w:shd w:val="clear" w:color="auto" w:fill="A6D4B5" w:themeFill="accent4" w:themeFillTint="7F"/>
      </w:tcPr>
    </w:tblStylePr>
    <w:tblStylePr w:type="band1Horz">
      <w:tblPr/>
      <w:tcPr>
        <w:tcBorders>
          <w:insideH w:val="single" w:sz="6" w:space="0" w:color="51A66D" w:themeColor="accent4"/>
          <w:insideV w:val="single" w:sz="6" w:space="0" w:color="51A66D" w:themeColor="accent4"/>
        </w:tcBorders>
        <w:shd w:val="clear" w:color="auto" w:fill="A6D4B5" w:themeFill="accent4" w:themeFillTint="7F"/>
      </w:tcPr>
    </w:tblStylePr>
    <w:tblStylePr w:type="nwCell">
      <w:tblPr/>
      <w:tcPr>
        <w:shd w:val="clear" w:color="auto" w:fill="FFFFFF" w:themeFill="background1"/>
      </w:tcPr>
    </w:tblStylePr>
  </w:style>
  <w:style w:type="table" w:styleId="MittleresRaster2-Akzent5">
    <w:name w:val="Medium Grid 2 Accent 5"/>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insideH w:val="single" w:sz="8" w:space="0" w:color="5F9FBC" w:themeColor="accent5"/>
        <w:insideV w:val="single" w:sz="8" w:space="0" w:color="5F9FBC" w:themeColor="accent5"/>
      </w:tblBorders>
    </w:tblPr>
    <w:tcPr>
      <w:shd w:val="clear" w:color="auto" w:fill="D7E7EE" w:themeFill="accent5" w:themeFillTint="3F"/>
    </w:tcPr>
    <w:tblStylePr w:type="firstRow">
      <w:rPr>
        <w:b/>
        <w:bCs/>
        <w:color w:val="000000" w:themeColor="text1"/>
      </w:rPr>
      <w:tblPr/>
      <w:tcPr>
        <w:shd w:val="clear" w:color="auto" w:fill="EFF5F8"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BF1" w:themeFill="accent5" w:themeFillTint="33"/>
      </w:tcPr>
    </w:tblStylePr>
    <w:tblStylePr w:type="band1Vert">
      <w:tblPr/>
      <w:tcPr>
        <w:shd w:val="clear" w:color="auto" w:fill="AFCFDD" w:themeFill="accent5" w:themeFillTint="7F"/>
      </w:tcPr>
    </w:tblStylePr>
    <w:tblStylePr w:type="band1Horz">
      <w:tblPr/>
      <w:tcPr>
        <w:tcBorders>
          <w:insideH w:val="single" w:sz="6" w:space="0" w:color="5F9FBC" w:themeColor="accent5"/>
          <w:insideV w:val="single" w:sz="6" w:space="0" w:color="5F9FBC" w:themeColor="accent5"/>
        </w:tcBorders>
        <w:shd w:val="clear" w:color="auto" w:fill="AFCFDD" w:themeFill="accent5" w:themeFillTint="7F"/>
      </w:tcPr>
    </w:tblStylePr>
    <w:tblStylePr w:type="nwCell">
      <w:tblPr/>
      <w:tcPr>
        <w:shd w:val="clear" w:color="auto" w:fill="FFFFFF" w:themeFill="background1"/>
      </w:tcPr>
    </w:tblStylePr>
  </w:style>
  <w:style w:type="table" w:styleId="MittleresRaster2-Akzent6">
    <w:name w:val="Medium Grid 2 Accent 6"/>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insideH w:val="single" w:sz="8" w:space="0" w:color="A98899" w:themeColor="accent6"/>
        <w:insideV w:val="single" w:sz="8" w:space="0" w:color="A98899" w:themeColor="accent6"/>
      </w:tblBorders>
    </w:tblPr>
    <w:tcPr>
      <w:shd w:val="clear" w:color="auto" w:fill="E9E1E5" w:themeFill="accent6" w:themeFillTint="3F"/>
    </w:tcPr>
    <w:tblStylePr w:type="firstRow">
      <w:rPr>
        <w:b/>
        <w:bCs/>
        <w:color w:val="000000" w:themeColor="text1"/>
      </w:rPr>
      <w:tblPr/>
      <w:tcPr>
        <w:shd w:val="clear" w:color="auto" w:fill="F6F3F4"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7EA" w:themeFill="accent6" w:themeFillTint="33"/>
      </w:tcPr>
    </w:tblStylePr>
    <w:tblStylePr w:type="band1Vert">
      <w:tblPr/>
      <w:tcPr>
        <w:shd w:val="clear" w:color="auto" w:fill="D4C3CC" w:themeFill="accent6" w:themeFillTint="7F"/>
      </w:tcPr>
    </w:tblStylePr>
    <w:tblStylePr w:type="band1Horz">
      <w:tblPr/>
      <w:tcPr>
        <w:tcBorders>
          <w:insideH w:val="single" w:sz="6" w:space="0" w:color="A98899" w:themeColor="accent6"/>
          <w:insideV w:val="single" w:sz="6" w:space="0" w:color="A98899" w:themeColor="accent6"/>
        </w:tcBorders>
        <w:shd w:val="clear" w:color="auto" w:fill="D4C3CC" w:themeFill="accent6" w:themeFillTint="7F"/>
      </w:tcPr>
    </w:tblStylePr>
    <w:tblStylePr w:type="nwCell">
      <w:tblPr/>
      <w:tcPr>
        <w:shd w:val="clear" w:color="auto" w:fill="FFFFFF" w:themeFill="background1"/>
      </w:tcPr>
    </w:tblStylePr>
  </w:style>
  <w:style w:type="table" w:styleId="MittlereListe2-Akzent2">
    <w:name w:val="Medium List 2 Accent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tblBorders>
    </w:tblPr>
    <w:tblStylePr w:type="firstRow">
      <w:rPr>
        <w:sz w:val="24"/>
        <w:szCs w:val="24"/>
      </w:rPr>
      <w:tblPr/>
      <w:tcPr>
        <w:tcBorders>
          <w:top w:val="nil"/>
          <w:left w:val="nil"/>
          <w:bottom w:val="single" w:sz="24" w:space="0" w:color="EB5E51" w:themeColor="accent2"/>
          <w:right w:val="nil"/>
          <w:insideH w:val="nil"/>
          <w:insideV w:val="nil"/>
        </w:tcBorders>
        <w:shd w:val="clear" w:color="auto" w:fill="FFFFFF" w:themeFill="background1"/>
      </w:tcPr>
    </w:tblStylePr>
    <w:tblStylePr w:type="lastRow">
      <w:tblPr/>
      <w:tcPr>
        <w:tcBorders>
          <w:top w:val="single" w:sz="8" w:space="0" w:color="EB5E51"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EB5E51" w:themeColor="accent2"/>
          <w:insideH w:val="nil"/>
          <w:insideV w:val="nil"/>
        </w:tcBorders>
        <w:shd w:val="clear" w:color="auto" w:fill="FFFFFF" w:themeFill="background1"/>
      </w:tcPr>
    </w:tblStylePr>
    <w:tblStylePr w:type="lastCol">
      <w:tblPr/>
      <w:tcPr>
        <w:tcBorders>
          <w:top w:val="nil"/>
          <w:left w:val="single" w:sz="8" w:space="0" w:color="EB5E5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6D3" w:themeFill="accent2" w:themeFillTint="3F"/>
      </w:tcPr>
    </w:tblStylePr>
    <w:tblStylePr w:type="band1Horz">
      <w:tblPr/>
      <w:tcPr>
        <w:tcBorders>
          <w:top w:val="nil"/>
          <w:bottom w:val="nil"/>
          <w:insideH w:val="nil"/>
          <w:insideV w:val="nil"/>
        </w:tcBorders>
        <w:shd w:val="clear" w:color="auto" w:fill="FAD6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3">
    <w:name w:val="Medium List 2 Accent 3"/>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tblBorders>
    </w:tblPr>
    <w:tblStylePr w:type="firstRow">
      <w:rPr>
        <w:sz w:val="24"/>
        <w:szCs w:val="24"/>
      </w:rPr>
      <w:tblPr/>
      <w:tcPr>
        <w:tcBorders>
          <w:top w:val="nil"/>
          <w:left w:val="nil"/>
          <w:bottom w:val="single" w:sz="24" w:space="0" w:color="C7CF1C" w:themeColor="accent3"/>
          <w:right w:val="nil"/>
          <w:insideH w:val="nil"/>
          <w:insideV w:val="nil"/>
        </w:tcBorders>
        <w:shd w:val="clear" w:color="auto" w:fill="FFFFFF" w:themeFill="background1"/>
      </w:tcPr>
    </w:tblStylePr>
    <w:tblStylePr w:type="lastRow">
      <w:tblPr/>
      <w:tcPr>
        <w:tcBorders>
          <w:top w:val="single" w:sz="8" w:space="0" w:color="C7CF1C"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7CF1C" w:themeColor="accent3"/>
          <w:insideH w:val="nil"/>
          <w:insideV w:val="nil"/>
        </w:tcBorders>
        <w:shd w:val="clear" w:color="auto" w:fill="FFFFFF" w:themeFill="background1"/>
      </w:tcPr>
    </w:tblStylePr>
    <w:tblStylePr w:type="lastCol">
      <w:tblPr/>
      <w:tcPr>
        <w:tcBorders>
          <w:top w:val="nil"/>
          <w:left w:val="single" w:sz="8" w:space="0" w:color="C7CF1C"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4F7C3" w:themeFill="accent3" w:themeFillTint="3F"/>
      </w:tcPr>
    </w:tblStylePr>
    <w:tblStylePr w:type="band1Horz">
      <w:tblPr/>
      <w:tcPr>
        <w:tcBorders>
          <w:top w:val="nil"/>
          <w:bottom w:val="nil"/>
          <w:insideH w:val="nil"/>
          <w:insideV w:val="nil"/>
        </w:tcBorders>
        <w:shd w:val="clear" w:color="auto" w:fill="F4F7C3"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4">
    <w:name w:val="Medium List 2 Accent 4"/>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tblBorders>
    </w:tblPr>
    <w:tblStylePr w:type="firstRow">
      <w:rPr>
        <w:sz w:val="24"/>
        <w:szCs w:val="24"/>
      </w:rPr>
      <w:tblPr/>
      <w:tcPr>
        <w:tcBorders>
          <w:top w:val="nil"/>
          <w:left w:val="nil"/>
          <w:bottom w:val="single" w:sz="24" w:space="0" w:color="51A66D" w:themeColor="accent4"/>
          <w:right w:val="nil"/>
          <w:insideH w:val="nil"/>
          <w:insideV w:val="nil"/>
        </w:tcBorders>
        <w:shd w:val="clear" w:color="auto" w:fill="FFFFFF" w:themeFill="background1"/>
      </w:tcPr>
    </w:tblStylePr>
    <w:tblStylePr w:type="lastRow">
      <w:tblPr/>
      <w:tcPr>
        <w:tcBorders>
          <w:top w:val="single" w:sz="8" w:space="0" w:color="51A66D"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1A66D" w:themeColor="accent4"/>
          <w:insideH w:val="nil"/>
          <w:insideV w:val="nil"/>
        </w:tcBorders>
        <w:shd w:val="clear" w:color="auto" w:fill="FFFFFF" w:themeFill="background1"/>
      </w:tcPr>
    </w:tblStylePr>
    <w:tblStylePr w:type="lastCol">
      <w:tblPr/>
      <w:tcPr>
        <w:tcBorders>
          <w:top w:val="nil"/>
          <w:left w:val="single" w:sz="8" w:space="0" w:color="51A66D"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E9DA" w:themeFill="accent4" w:themeFillTint="3F"/>
      </w:tcPr>
    </w:tblStylePr>
    <w:tblStylePr w:type="band1Horz">
      <w:tblPr/>
      <w:tcPr>
        <w:tcBorders>
          <w:top w:val="nil"/>
          <w:bottom w:val="nil"/>
          <w:insideH w:val="nil"/>
          <w:insideV w:val="nil"/>
        </w:tcBorders>
        <w:shd w:val="clear" w:color="auto" w:fill="D3E9D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5">
    <w:name w:val="Medium List 2 Accent 5"/>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tblBorders>
    </w:tblPr>
    <w:tblStylePr w:type="firstRow">
      <w:rPr>
        <w:sz w:val="24"/>
        <w:szCs w:val="24"/>
      </w:rPr>
      <w:tblPr/>
      <w:tcPr>
        <w:tcBorders>
          <w:top w:val="nil"/>
          <w:left w:val="nil"/>
          <w:bottom w:val="single" w:sz="24" w:space="0" w:color="5F9FBC" w:themeColor="accent5"/>
          <w:right w:val="nil"/>
          <w:insideH w:val="nil"/>
          <w:insideV w:val="nil"/>
        </w:tcBorders>
        <w:shd w:val="clear" w:color="auto" w:fill="FFFFFF" w:themeFill="background1"/>
      </w:tcPr>
    </w:tblStylePr>
    <w:tblStylePr w:type="lastRow">
      <w:tblPr/>
      <w:tcPr>
        <w:tcBorders>
          <w:top w:val="single" w:sz="8" w:space="0" w:color="5F9FBC"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F9FBC" w:themeColor="accent5"/>
          <w:insideH w:val="nil"/>
          <w:insideV w:val="nil"/>
        </w:tcBorders>
        <w:shd w:val="clear" w:color="auto" w:fill="FFFFFF" w:themeFill="background1"/>
      </w:tcPr>
    </w:tblStylePr>
    <w:tblStylePr w:type="lastCol">
      <w:tblPr/>
      <w:tcPr>
        <w:tcBorders>
          <w:top w:val="nil"/>
          <w:left w:val="single" w:sz="8" w:space="0" w:color="5F9FBC"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7E7EE" w:themeFill="accent5" w:themeFillTint="3F"/>
      </w:tcPr>
    </w:tblStylePr>
    <w:tblStylePr w:type="band1Horz">
      <w:tblPr/>
      <w:tcPr>
        <w:tcBorders>
          <w:top w:val="nil"/>
          <w:bottom w:val="nil"/>
          <w:insideH w:val="nil"/>
          <w:insideV w:val="nil"/>
        </w:tcBorders>
        <w:shd w:val="clear" w:color="auto" w:fill="D7E7EE"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6">
    <w:name w:val="Medium List 2 Accent 6"/>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tblBorders>
    </w:tblPr>
    <w:tblStylePr w:type="firstRow">
      <w:rPr>
        <w:sz w:val="24"/>
        <w:szCs w:val="24"/>
      </w:rPr>
      <w:tblPr/>
      <w:tcPr>
        <w:tcBorders>
          <w:top w:val="nil"/>
          <w:left w:val="nil"/>
          <w:bottom w:val="single" w:sz="24" w:space="0" w:color="A98899" w:themeColor="accent6"/>
          <w:right w:val="nil"/>
          <w:insideH w:val="nil"/>
          <w:insideV w:val="nil"/>
        </w:tcBorders>
        <w:shd w:val="clear" w:color="auto" w:fill="FFFFFF" w:themeFill="background1"/>
      </w:tcPr>
    </w:tblStylePr>
    <w:tblStylePr w:type="lastRow">
      <w:tblPr/>
      <w:tcPr>
        <w:tcBorders>
          <w:top w:val="single" w:sz="8" w:space="0" w:color="A98899"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98899" w:themeColor="accent6"/>
          <w:insideH w:val="nil"/>
          <w:insideV w:val="nil"/>
        </w:tcBorders>
        <w:shd w:val="clear" w:color="auto" w:fill="FFFFFF" w:themeFill="background1"/>
      </w:tcPr>
    </w:tblStylePr>
    <w:tblStylePr w:type="lastCol">
      <w:tblPr/>
      <w:tcPr>
        <w:tcBorders>
          <w:top w:val="nil"/>
          <w:left w:val="single" w:sz="8" w:space="0" w:color="A98899"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9E1E5" w:themeFill="accent6" w:themeFillTint="3F"/>
      </w:tcPr>
    </w:tblStylePr>
    <w:tblStylePr w:type="band1Horz">
      <w:tblPr/>
      <w:tcPr>
        <w:tcBorders>
          <w:top w:val="nil"/>
          <w:bottom w:val="nil"/>
          <w:insideH w:val="nil"/>
          <w:insideV w:val="nil"/>
        </w:tcBorders>
        <w:shd w:val="clear" w:color="auto" w:fill="E9E1E5" w:themeFill="accent6" w:themeFillTint="3F"/>
      </w:tcPr>
    </w:tblStylePr>
    <w:tblStylePr w:type="nwCell">
      <w:tblPr/>
      <w:tcPr>
        <w:shd w:val="clear" w:color="auto" w:fill="FFFFFF" w:themeFill="background1"/>
      </w:tcPr>
    </w:tblStylePr>
    <w:tblStylePr w:type="swCell">
      <w:tblPr/>
      <w:tcPr>
        <w:tcBorders>
          <w:top w:val="nil"/>
        </w:tcBorders>
      </w:tcPr>
    </w:tblStylePr>
  </w:style>
  <w:style w:type="character" w:styleId="HTMLSchreibmaschine">
    <w:name w:val="HTML Typewriter"/>
    <w:basedOn w:val="Absatz-Standardschriftart"/>
    <w:semiHidden/>
    <w:unhideWhenUsed/>
    <w:rsid w:val="006676E2"/>
    <w:rPr>
      <w:rFonts w:ascii="Open Sans SemiCondensed" w:hAnsi="Open Sans SemiCondensed"/>
      <w:sz w:val="20"/>
      <w:szCs w:val="20"/>
    </w:rPr>
  </w:style>
  <w:style w:type="paragraph" w:styleId="StandardWeb">
    <w:name w:val="Normal (Web)"/>
    <w:basedOn w:val="Standard"/>
    <w:semiHidden/>
    <w:unhideWhenUsed/>
    <w:rsid w:val="006676E2"/>
    <w:rPr>
      <w:rFonts w:cs="Times New Roman"/>
      <w:sz w:val="24"/>
      <w:szCs w:val="24"/>
    </w:rPr>
  </w:style>
  <w:style w:type="paragraph" w:styleId="HTMLVorformatiert">
    <w:name w:val="HTML Preformatted"/>
    <w:basedOn w:val="Standard"/>
    <w:link w:val="HTMLVorformatiertZchn"/>
    <w:semiHidden/>
    <w:unhideWhenUsed/>
    <w:rsid w:val="006676E2"/>
    <w:pPr>
      <w:spacing w:line="240" w:lineRule="auto"/>
    </w:pPr>
  </w:style>
  <w:style w:type="character" w:customStyle="1" w:styleId="HTMLVorformatiertZchn">
    <w:name w:val="HTML Vorformatiert Zchn"/>
    <w:basedOn w:val="Absatz-Standardschriftart"/>
    <w:link w:val="HTMLVorformatiert"/>
    <w:semiHidden/>
    <w:rsid w:val="006676E2"/>
  </w:style>
  <w:style w:type="paragraph" w:styleId="NurText">
    <w:name w:val="Plain Text"/>
    <w:basedOn w:val="Standard"/>
    <w:link w:val="NurTextZchn"/>
    <w:semiHidden/>
    <w:unhideWhenUsed/>
    <w:rsid w:val="006676E2"/>
    <w:pPr>
      <w:spacing w:line="240" w:lineRule="auto"/>
    </w:pPr>
    <w:rPr>
      <w:sz w:val="21"/>
      <w:szCs w:val="21"/>
    </w:rPr>
  </w:style>
  <w:style w:type="character" w:customStyle="1" w:styleId="NurTextZchn">
    <w:name w:val="Nur Text Zchn"/>
    <w:basedOn w:val="Absatz-Standardschriftart"/>
    <w:link w:val="NurText"/>
    <w:semiHidden/>
    <w:rsid w:val="006676E2"/>
    <w:rPr>
      <w:sz w:val="21"/>
      <w:szCs w:val="21"/>
    </w:rPr>
  </w:style>
  <w:style w:type="paragraph" w:styleId="Sprechblasentext">
    <w:name w:val="Balloon Text"/>
    <w:basedOn w:val="Standard"/>
    <w:link w:val="SprechblasentextZchn"/>
    <w:semiHidden/>
    <w:unhideWhenUsed/>
    <w:rsid w:val="006676E2"/>
    <w:pPr>
      <w:spacing w:line="240" w:lineRule="auto"/>
    </w:pPr>
    <w:rPr>
      <w:sz w:val="18"/>
      <w:szCs w:val="18"/>
    </w:rPr>
  </w:style>
  <w:style w:type="character" w:customStyle="1" w:styleId="SprechblasentextZchn">
    <w:name w:val="Sprechblasentext Zchn"/>
    <w:basedOn w:val="Absatz-Standardschriftart"/>
    <w:link w:val="Sprechblasentext"/>
    <w:semiHidden/>
    <w:rsid w:val="006676E2"/>
    <w:rPr>
      <w:rFonts w:ascii="Open Sans SemiCondensed" w:hAnsi="Open Sans SemiCondensed"/>
      <w:sz w:val="18"/>
      <w:szCs w:val="18"/>
    </w:rPr>
  </w:style>
  <w:style w:type="paragraph" w:styleId="Makrotext">
    <w:name w:val="macro"/>
    <w:link w:val="MakrotextZchn"/>
    <w:semiHidden/>
    <w:unhideWhenUsed/>
    <w:rsid w:val="006676E2"/>
    <w:pPr>
      <w:tabs>
        <w:tab w:val="left" w:pos="480"/>
        <w:tab w:val="left" w:pos="960"/>
        <w:tab w:val="left" w:pos="1440"/>
        <w:tab w:val="left" w:pos="1920"/>
        <w:tab w:val="left" w:pos="2400"/>
        <w:tab w:val="left" w:pos="2880"/>
        <w:tab w:val="left" w:pos="3360"/>
        <w:tab w:val="left" w:pos="3840"/>
        <w:tab w:val="left" w:pos="4320"/>
      </w:tabs>
      <w:spacing w:after="0" w:line="276" w:lineRule="auto"/>
    </w:pPr>
  </w:style>
  <w:style w:type="character" w:customStyle="1" w:styleId="MakrotextZchn">
    <w:name w:val="Makrotext Zchn"/>
    <w:basedOn w:val="Absatz-Standardschriftart"/>
    <w:link w:val="Makrotext"/>
    <w:semiHidden/>
    <w:rsid w:val="006676E2"/>
  </w:style>
  <w:style w:type="paragraph" w:styleId="Indexberschrift">
    <w:name w:val="index heading"/>
    <w:basedOn w:val="Standard"/>
    <w:next w:val="Index1"/>
    <w:semiHidden/>
    <w:unhideWhenUsed/>
    <w:rsid w:val="006676E2"/>
    <w:rPr>
      <w:rFonts w:eastAsiaTheme="majorEastAsia" w:cstheme="majorBidi"/>
      <w:b/>
      <w:bCs/>
    </w:rPr>
  </w:style>
  <w:style w:type="paragraph" w:styleId="RGV-berschrift">
    <w:name w:val="toa heading"/>
    <w:basedOn w:val="Standard"/>
    <w:next w:val="Standard"/>
    <w:semiHidden/>
    <w:unhideWhenUsed/>
    <w:rsid w:val="006676E2"/>
    <w:pPr>
      <w:spacing w:before="120"/>
    </w:pPr>
    <w:rPr>
      <w:rFonts w:eastAsiaTheme="majorEastAsia" w:cstheme="majorBidi"/>
      <w:b/>
      <w:bCs/>
      <w:sz w:val="24"/>
      <w:szCs w:val="24"/>
    </w:rPr>
  </w:style>
  <w:style w:type="numbering" w:styleId="ArtikelAbschnitt">
    <w:name w:val="Outline List 3"/>
    <w:basedOn w:val="KeineListe"/>
    <w:semiHidden/>
    <w:unhideWhenUsed/>
    <w:rsid w:val="00153133"/>
    <w:pPr>
      <w:numPr>
        <w:numId w:val="3"/>
      </w:numPr>
    </w:pPr>
  </w:style>
  <w:style w:type="paragraph" w:styleId="Listennummer2">
    <w:name w:val="List Number 2"/>
    <w:basedOn w:val="Listennummer"/>
    <w:unhideWhenUsed/>
    <w:rsid w:val="00382314"/>
    <w:pPr>
      <w:numPr>
        <w:ilvl w:val="1"/>
      </w:numPr>
      <w:ind w:left="851" w:hanging="425"/>
    </w:pPr>
    <w:rPr>
      <w:rFonts w:cs="Open Sans SemiCondensed"/>
    </w:rPr>
  </w:style>
  <w:style w:type="paragraph" w:styleId="Listennummer3">
    <w:name w:val="List Number 3"/>
    <w:basedOn w:val="Listennummer"/>
    <w:unhideWhenUsed/>
    <w:rsid w:val="00382314"/>
    <w:pPr>
      <w:numPr>
        <w:ilvl w:val="2"/>
      </w:numPr>
    </w:pPr>
    <w:rPr>
      <w:rFonts w:cs="Open Sans SemiCondensed"/>
    </w:rPr>
  </w:style>
  <w:style w:type="character" w:styleId="BesuchterLink">
    <w:name w:val="FollowedHyperlink"/>
    <w:basedOn w:val="Absatz-Standardschriftart"/>
    <w:semiHidden/>
    <w:unhideWhenUsed/>
    <w:rsid w:val="009E5005"/>
    <w:rPr>
      <w:color w:val="252B46" w:themeColor="followedHyperlink"/>
      <w:u w:val="single"/>
    </w:rPr>
  </w:style>
  <w:style w:type="paragraph" w:customStyle="1" w:styleId="WichtigBox">
    <w:name w:val="Wichtig Box"/>
    <w:basedOn w:val="Textkrper"/>
    <w:qFormat/>
    <w:rsid w:val="00B462BB"/>
    <w:pPr>
      <w:pBdr>
        <w:top w:val="single" w:sz="48" w:space="1" w:color="FFFFFF" w:themeColor="background1"/>
        <w:left w:val="single" w:sz="48" w:space="4" w:color="FFFFFF" w:themeColor="background1"/>
        <w:bottom w:val="single" w:sz="48" w:space="1" w:color="FFFFFF" w:themeColor="background1"/>
        <w:right w:val="single" w:sz="48" w:space="4" w:color="FFFFFF" w:themeColor="background1"/>
      </w:pBdr>
      <w:shd w:val="clear" w:color="auto" w:fill="B8DCC4" w:themeFill="accent4" w:themeFillTint="66"/>
    </w:pPr>
    <w:rPr>
      <w:lang w:val="fr-CH"/>
    </w:rPr>
  </w:style>
  <w:style w:type="paragraph" w:customStyle="1" w:styleId="Fragen">
    <w:name w:val="Fragen"/>
    <w:basedOn w:val="Textkrper"/>
    <w:next w:val="Textkrper"/>
    <w:qFormat/>
    <w:rsid w:val="00413702"/>
    <w:pPr>
      <w:pBdr>
        <w:left w:val="single" w:sz="12" w:space="4" w:color="D31932" w:themeColor="accent1"/>
      </w:pBdr>
      <w:spacing w:before="120"/>
      <w:ind w:left="170" w:firstLine="0"/>
    </w:pPr>
    <w:rPr>
      <w:color w:val="D31932" w:themeColor="accent1"/>
    </w:rPr>
  </w:style>
  <w:style w:type="table" w:styleId="Gitternetztabelle2">
    <w:name w:val="Grid Table 2"/>
    <w:basedOn w:val="NormaleTabelle"/>
    <w:rsid w:val="007F5E1D"/>
    <w:pPr>
      <w:spacing w:after="0"/>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3Akzent4">
    <w:name w:val="List Table 3 Accent 4"/>
    <w:basedOn w:val="NormaleTabelle"/>
    <w:uiPriority w:val="48"/>
    <w:rsid w:val="0020467E"/>
    <w:pPr>
      <w:spacing w:after="0"/>
    </w:pPr>
    <w:tblPr>
      <w:tblStyleRowBandSize w:val="1"/>
      <w:tblStyleColBandSize w:val="1"/>
      <w:tblBorders>
        <w:top w:val="single" w:sz="4" w:space="0" w:color="51A66D" w:themeColor="accent4"/>
        <w:left w:val="single" w:sz="4" w:space="0" w:color="51A66D" w:themeColor="accent4"/>
        <w:bottom w:val="single" w:sz="4" w:space="0" w:color="51A66D" w:themeColor="accent4"/>
        <w:right w:val="single" w:sz="4" w:space="0" w:color="51A66D" w:themeColor="accent4"/>
      </w:tblBorders>
    </w:tblPr>
    <w:tblStylePr w:type="firstRow">
      <w:rPr>
        <w:b/>
        <w:bCs/>
        <w:color w:val="FFFFFF" w:themeColor="background1"/>
      </w:rPr>
      <w:tblPr/>
      <w:tcPr>
        <w:shd w:val="clear" w:color="auto" w:fill="51A66D" w:themeFill="accent4"/>
      </w:tcPr>
    </w:tblStylePr>
    <w:tblStylePr w:type="lastRow">
      <w:rPr>
        <w:b/>
        <w:bCs/>
      </w:rPr>
      <w:tblPr/>
      <w:tcPr>
        <w:tcBorders>
          <w:top w:val="double" w:sz="4" w:space="0" w:color="51A66D" w:themeColor="accent4"/>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1A66D" w:themeColor="accent4"/>
          <w:right w:val="single" w:sz="4" w:space="0" w:color="51A66D" w:themeColor="accent4"/>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1A66D" w:themeColor="accent4"/>
          <w:left w:val="nil"/>
        </w:tcBorders>
      </w:tcPr>
    </w:tblStylePr>
    <w:tblStylePr w:type="swCell">
      <w:tblPr/>
      <w:tcPr>
        <w:tcBorders>
          <w:top w:val="double" w:sz="4" w:space="0" w:color="51A66D" w:themeColor="accent4"/>
          <w:right w:val="nil"/>
        </w:tcBorders>
      </w:tcPr>
    </w:tblStylePr>
  </w:style>
  <w:style w:type="table" w:styleId="Listentabelle4Akzent6">
    <w:name w:val="List Table 4 Accent 6"/>
    <w:basedOn w:val="NormaleTabelle"/>
    <w:uiPriority w:val="49"/>
    <w:rsid w:val="007F5E1D"/>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tcBorders>
        <w:shd w:val="clear" w:color="auto" w:fill="A98899" w:themeFill="accent6"/>
      </w:tcPr>
    </w:tblStylePr>
    <w:tblStylePr w:type="lastRow">
      <w:rPr>
        <w:b/>
        <w:bCs/>
      </w:rPr>
      <w:tblPr/>
      <w:tcPr>
        <w:tcBorders>
          <w:top w:val="doub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entabelle4Akzent1">
    <w:name w:val="List Table 4 Accent 1"/>
    <w:basedOn w:val="NormaleTabelle"/>
    <w:uiPriority w:val="49"/>
    <w:rsid w:val="007F5E1D"/>
    <w:pPr>
      <w:spacing w:after="0"/>
    </w:pPr>
    <w:tblPr>
      <w:tblStyleRowBandSize w:val="1"/>
      <w:tblStyleColBandSize w:val="1"/>
      <w:tblBorders>
        <w:top w:val="single" w:sz="4" w:space="0" w:color="ED6B7D" w:themeColor="accent1" w:themeTint="99"/>
        <w:left w:val="single" w:sz="4" w:space="0" w:color="ED6B7D" w:themeColor="accent1" w:themeTint="99"/>
        <w:bottom w:val="single" w:sz="4" w:space="0" w:color="ED6B7D" w:themeColor="accent1" w:themeTint="99"/>
        <w:right w:val="single" w:sz="4" w:space="0" w:color="ED6B7D" w:themeColor="accent1" w:themeTint="99"/>
        <w:insideH w:val="single" w:sz="4" w:space="0" w:color="ED6B7D" w:themeColor="accent1" w:themeTint="99"/>
      </w:tblBorders>
    </w:tblPr>
    <w:tblStylePr w:type="firstRow">
      <w:rPr>
        <w:b/>
        <w:bCs/>
        <w:color w:val="FFFFFF" w:themeColor="background1"/>
      </w:rPr>
      <w:tblPr/>
      <w:tcPr>
        <w:tcBorders>
          <w:top w:val="single" w:sz="4" w:space="0" w:color="D31932" w:themeColor="accent1"/>
          <w:left w:val="single" w:sz="4" w:space="0" w:color="D31932" w:themeColor="accent1"/>
          <w:bottom w:val="single" w:sz="4" w:space="0" w:color="D31932" w:themeColor="accent1"/>
          <w:right w:val="single" w:sz="4" w:space="0" w:color="D31932" w:themeColor="accent1"/>
          <w:insideH w:val="nil"/>
        </w:tcBorders>
        <w:shd w:val="clear" w:color="auto" w:fill="D31932" w:themeFill="accent1"/>
      </w:tcPr>
    </w:tblStylePr>
    <w:tblStylePr w:type="lastRow">
      <w:rPr>
        <w:b/>
        <w:bCs/>
      </w:rPr>
      <w:tblPr/>
      <w:tcPr>
        <w:tcBorders>
          <w:top w:val="doub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entabelle4Akzent2">
    <w:name w:val="List Table 4 Accent 2"/>
    <w:basedOn w:val="NormaleTabelle"/>
    <w:uiPriority w:val="49"/>
    <w:rsid w:val="007F5E1D"/>
    <w:pPr>
      <w:spacing w:after="0"/>
    </w:pPr>
    <w:tblPr>
      <w:tblStyleRowBandSize w:val="1"/>
      <w:tblStyleColBandSize w:val="1"/>
      <w:tblBorders>
        <w:top w:val="single" w:sz="4" w:space="0" w:color="F39D96" w:themeColor="accent2" w:themeTint="99"/>
        <w:left w:val="single" w:sz="4" w:space="0" w:color="F39D96" w:themeColor="accent2" w:themeTint="99"/>
        <w:bottom w:val="single" w:sz="4" w:space="0" w:color="F39D96" w:themeColor="accent2" w:themeTint="99"/>
        <w:right w:val="single" w:sz="4" w:space="0" w:color="F39D96" w:themeColor="accent2" w:themeTint="99"/>
        <w:insideH w:val="single" w:sz="4" w:space="0" w:color="F39D96" w:themeColor="accent2" w:themeTint="99"/>
      </w:tblBorders>
    </w:tblPr>
    <w:tblStylePr w:type="firstRow">
      <w:rPr>
        <w:b/>
        <w:bCs/>
        <w:color w:val="FFFFFF" w:themeColor="background1"/>
      </w:rPr>
      <w:tblPr/>
      <w:tcPr>
        <w:tcBorders>
          <w:top w:val="single" w:sz="4" w:space="0" w:color="EB5E51" w:themeColor="accent2"/>
          <w:left w:val="single" w:sz="4" w:space="0" w:color="EB5E51" w:themeColor="accent2"/>
          <w:bottom w:val="single" w:sz="4" w:space="0" w:color="EB5E51" w:themeColor="accent2"/>
          <w:right w:val="single" w:sz="4" w:space="0" w:color="EB5E51" w:themeColor="accent2"/>
          <w:insideH w:val="nil"/>
        </w:tcBorders>
        <w:shd w:val="clear" w:color="auto" w:fill="EB5E51" w:themeFill="accent2"/>
      </w:tcPr>
    </w:tblStylePr>
    <w:tblStylePr w:type="lastRow">
      <w:rPr>
        <w:b/>
        <w:bCs/>
      </w:rPr>
      <w:tblPr/>
      <w:tcPr>
        <w:tcBorders>
          <w:top w:val="doub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entabelle1hellAkzent4">
    <w:name w:val="List Table 1 Light Accent 4"/>
    <w:basedOn w:val="NormaleTabelle"/>
    <w:uiPriority w:val="46"/>
    <w:rsid w:val="007F5E1D"/>
    <w:pPr>
      <w:spacing w:after="0"/>
    </w:pPr>
    <w:tblPr>
      <w:tblStyleRowBandSize w:val="1"/>
      <w:tblStyleColBandSize w:val="1"/>
    </w:tblPr>
    <w:tblStylePr w:type="firstRow">
      <w:rPr>
        <w:b/>
        <w:bCs/>
      </w:rPr>
      <w:tblPr/>
      <w:tcPr>
        <w:tcBorders>
          <w:bottom w:val="single" w:sz="4" w:space="0" w:color="94CBA6" w:themeColor="accent4" w:themeTint="99"/>
        </w:tcBorders>
      </w:tcPr>
    </w:tblStylePr>
    <w:tblStylePr w:type="lastRow">
      <w:rPr>
        <w:b/>
        <w:bCs/>
      </w:rPr>
      <w:tblPr/>
      <w:tcPr>
        <w:tcBorders>
          <w:top w:val="single" w:sz="4" w:space="0" w:color="94CBA6" w:themeColor="accent4" w:themeTint="99"/>
        </w:tcBorders>
      </w:tcPr>
    </w:tblStylePr>
    <w:tblStylePr w:type="firstCol">
      <w:rPr>
        <w:b/>
        <w:bCs/>
      </w:rPr>
    </w:tblStylePr>
    <w:tblStylePr w:type="lastCol">
      <w:rPr>
        <w:b/>
        <w:bCs/>
      </w:rPr>
    </w:tblStylePr>
    <w:tblStylePr w:type="band1Vert">
      <w:tblPr/>
      <w:tcPr>
        <w:shd w:val="clear" w:color="auto" w:fill="DBEDE1" w:themeFill="accent4" w:themeFillTint="33"/>
      </w:tcPr>
    </w:tblStylePr>
    <w:tblStylePr w:type="band1Horz">
      <w:tblPr/>
      <w:tcPr>
        <w:shd w:val="clear" w:color="auto" w:fill="DBEDE1" w:themeFill="accent4" w:themeFillTint="33"/>
      </w:tcPr>
    </w:tblStylePr>
  </w:style>
  <w:style w:type="table" w:styleId="Listentabelle1hellAkzent3">
    <w:name w:val="List Table 1 Light Accent 3"/>
    <w:basedOn w:val="NormaleTabelle"/>
    <w:uiPriority w:val="46"/>
    <w:rsid w:val="007F5E1D"/>
    <w:pPr>
      <w:spacing w:after="0"/>
    </w:pPr>
    <w:tblPr>
      <w:tblStyleRowBandSize w:val="1"/>
      <w:tblStyleColBandSize w:val="1"/>
    </w:tblPr>
    <w:tblStylePr w:type="firstRow">
      <w:rPr>
        <w:b/>
        <w:bCs/>
      </w:rPr>
      <w:tblPr/>
      <w:tcPr>
        <w:tcBorders>
          <w:bottom w:val="single" w:sz="4" w:space="0" w:color="E5EB6D" w:themeColor="accent3" w:themeTint="99"/>
        </w:tcBorders>
      </w:tcPr>
    </w:tblStylePr>
    <w:tblStylePr w:type="lastRow">
      <w:rPr>
        <w:b/>
        <w:bCs/>
      </w:rPr>
      <w:tblPr/>
      <w:tcPr>
        <w:tcBorders>
          <w:top w:val="single" w:sz="4" w:space="0" w:color="E5EB6D" w:themeColor="accent3" w:themeTint="99"/>
        </w:tcBorders>
      </w:tcPr>
    </w:tblStylePr>
    <w:tblStylePr w:type="firstCol">
      <w:rPr>
        <w:b/>
        <w:bCs/>
      </w:rPr>
    </w:tblStylePr>
    <w:tblStylePr w:type="lastCol">
      <w:rPr>
        <w:b/>
        <w:bCs/>
      </w:rPr>
    </w:tblStylePr>
    <w:tblStylePr w:type="band1Vert">
      <w:tblPr/>
      <w:tcPr>
        <w:shd w:val="clear" w:color="auto" w:fill="F6F8CE" w:themeFill="accent3" w:themeFillTint="33"/>
      </w:tcPr>
    </w:tblStylePr>
    <w:tblStylePr w:type="band1Horz">
      <w:tblPr/>
      <w:tcPr>
        <w:shd w:val="clear" w:color="auto" w:fill="F6F8CE" w:themeFill="accent3" w:themeFillTint="33"/>
      </w:tcPr>
    </w:tblStylePr>
  </w:style>
  <w:style w:type="table" w:styleId="Listentabelle1hellAkzent2">
    <w:name w:val="List Table 1 Light Accent 2"/>
    <w:basedOn w:val="NormaleTabelle"/>
    <w:uiPriority w:val="46"/>
    <w:rsid w:val="007F5E1D"/>
    <w:pPr>
      <w:spacing w:after="0"/>
    </w:pPr>
    <w:tblPr>
      <w:tblStyleRowBandSize w:val="1"/>
      <w:tblStyleColBandSize w:val="1"/>
    </w:tblPr>
    <w:tblStylePr w:type="firstRow">
      <w:rPr>
        <w:b/>
        <w:bCs/>
      </w:rPr>
      <w:tblPr/>
      <w:tcPr>
        <w:tcBorders>
          <w:bottom w:val="single" w:sz="4" w:space="0" w:color="F39D96" w:themeColor="accent2" w:themeTint="99"/>
        </w:tcBorders>
      </w:tcPr>
    </w:tblStylePr>
    <w:tblStylePr w:type="lastRow">
      <w:rPr>
        <w:b/>
        <w:bCs/>
      </w:rPr>
      <w:tblPr/>
      <w:tcPr>
        <w:tcBorders>
          <w:top w:val="sing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entabelle1hellAkzent1">
    <w:name w:val="List Table 1 Light Accent 1"/>
    <w:basedOn w:val="NormaleTabelle"/>
    <w:uiPriority w:val="46"/>
    <w:rsid w:val="007F5E1D"/>
    <w:pPr>
      <w:spacing w:after="0"/>
    </w:pPr>
    <w:tblPr>
      <w:tblStyleRowBandSize w:val="1"/>
      <w:tblStyleColBandSize w:val="1"/>
    </w:tblPr>
    <w:tblStylePr w:type="firstRow">
      <w:rPr>
        <w:b/>
        <w:bCs/>
      </w:rPr>
      <w:tblPr/>
      <w:tcPr>
        <w:tcBorders>
          <w:bottom w:val="single" w:sz="4" w:space="0" w:color="ED6B7D" w:themeColor="accent1" w:themeTint="99"/>
        </w:tcBorders>
      </w:tcPr>
    </w:tblStylePr>
    <w:tblStylePr w:type="lastRow">
      <w:rPr>
        <w:b/>
        <w:bCs/>
      </w:rPr>
      <w:tblPr/>
      <w:tcPr>
        <w:tcBorders>
          <w:top w:val="sing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entabelle2Akzent5">
    <w:name w:val="List Table 2 Accent 5"/>
    <w:basedOn w:val="NormaleTabelle"/>
    <w:uiPriority w:val="47"/>
    <w:rsid w:val="007F5E1D"/>
    <w:pPr>
      <w:spacing w:after="0"/>
    </w:pPr>
    <w:tblPr>
      <w:tblStyleRowBandSize w:val="1"/>
      <w:tblStyleColBandSize w:val="1"/>
      <w:tblBorders>
        <w:top w:val="single" w:sz="4" w:space="0" w:color="9EC5D6" w:themeColor="accent5" w:themeTint="99"/>
        <w:bottom w:val="single" w:sz="4" w:space="0" w:color="9EC5D6" w:themeColor="accent5" w:themeTint="99"/>
        <w:insideH w:val="single" w:sz="4" w:space="0" w:color="9EC5D6"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BF1" w:themeFill="accent5" w:themeFillTint="33"/>
      </w:tcPr>
    </w:tblStylePr>
    <w:tblStylePr w:type="band1Horz">
      <w:tblPr/>
      <w:tcPr>
        <w:shd w:val="clear" w:color="auto" w:fill="DEEBF1" w:themeFill="accent5" w:themeFillTint="33"/>
      </w:tcPr>
    </w:tblStylePr>
  </w:style>
  <w:style w:type="table" w:styleId="Gitternetztabelle5dunkelAkzent6">
    <w:name w:val="Grid Table 5 Dark Accent 6"/>
    <w:basedOn w:val="NormaleTabelle"/>
    <w:uiPriority w:val="50"/>
    <w:rsid w:val="007F5E1D"/>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7EA"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98899"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98899"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98899"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98899" w:themeFill="accent6"/>
      </w:tcPr>
    </w:tblStylePr>
    <w:tblStylePr w:type="band1Vert">
      <w:tblPr/>
      <w:tcPr>
        <w:shd w:val="clear" w:color="auto" w:fill="DCCFD6" w:themeFill="accent6" w:themeFillTint="66"/>
      </w:tcPr>
    </w:tblStylePr>
    <w:tblStylePr w:type="band1Horz">
      <w:tblPr/>
      <w:tcPr>
        <w:shd w:val="clear" w:color="auto" w:fill="DCCFD6" w:themeFill="accent6" w:themeFillTint="66"/>
      </w:tcPr>
    </w:tblStylePr>
  </w:style>
  <w:style w:type="table" w:styleId="Gitternetztabelle3Akzent6">
    <w:name w:val="Grid Table 3 Accent 6"/>
    <w:basedOn w:val="NormaleTabelle"/>
    <w:uiPriority w:val="48"/>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7EA" w:themeFill="accent6" w:themeFillTint="33"/>
      </w:tcPr>
    </w:tblStylePr>
    <w:tblStylePr w:type="band1Horz">
      <w:tblPr/>
      <w:tcPr>
        <w:shd w:val="clear" w:color="auto" w:fill="EDE7EA" w:themeFill="accent6" w:themeFillTint="33"/>
      </w:tcPr>
    </w:tblStylePr>
    <w:tblStylePr w:type="neCell">
      <w:tblPr/>
      <w:tcPr>
        <w:tcBorders>
          <w:bottom w:val="single" w:sz="4" w:space="0" w:color="CBB7C1" w:themeColor="accent6" w:themeTint="99"/>
        </w:tcBorders>
      </w:tcPr>
    </w:tblStylePr>
    <w:tblStylePr w:type="nwCell">
      <w:tblPr/>
      <w:tcPr>
        <w:tcBorders>
          <w:bottom w:val="single" w:sz="4" w:space="0" w:color="CBB7C1" w:themeColor="accent6" w:themeTint="99"/>
        </w:tcBorders>
      </w:tcPr>
    </w:tblStylePr>
    <w:tblStylePr w:type="seCell">
      <w:tblPr/>
      <w:tcPr>
        <w:tcBorders>
          <w:top w:val="single" w:sz="4" w:space="0" w:color="CBB7C1" w:themeColor="accent6" w:themeTint="99"/>
        </w:tcBorders>
      </w:tcPr>
    </w:tblStylePr>
    <w:tblStylePr w:type="swCell">
      <w:tblPr/>
      <w:tcPr>
        <w:tcBorders>
          <w:top w:val="single" w:sz="4" w:space="0" w:color="CBB7C1" w:themeColor="accent6" w:themeTint="99"/>
        </w:tcBorders>
      </w:tcPr>
    </w:tblStylePr>
  </w:style>
  <w:style w:type="table" w:styleId="Gitternetztabelle4Akzent6">
    <w:name w:val="Grid Table 4 Accent 6"/>
    <w:basedOn w:val="NormaleTabelle"/>
    <w:uiPriority w:val="49"/>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insideV w:val="nil"/>
        </w:tcBorders>
        <w:shd w:val="clear" w:color="auto" w:fill="A98899" w:themeFill="accent6"/>
      </w:tcPr>
    </w:tblStylePr>
    <w:tblStylePr w:type="lastRow">
      <w:rPr>
        <w:b/>
        <w:bCs/>
      </w:rPr>
      <w:tblPr/>
      <w:tcPr>
        <w:tcBorders>
          <w:top w:val="double" w:sz="4" w:space="0" w:color="A98899" w:themeColor="accent6"/>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entabelle1hellAkzent6">
    <w:name w:val="List Table 1 Light Accent 6"/>
    <w:basedOn w:val="NormaleTabelle"/>
    <w:uiPriority w:val="46"/>
    <w:rsid w:val="007B5701"/>
    <w:pPr>
      <w:spacing w:after="0"/>
    </w:pPr>
    <w:tblPr>
      <w:tblStyleRowBandSize w:val="1"/>
      <w:tblStyleColBandSize w:val="1"/>
    </w:tblPr>
    <w:tblStylePr w:type="firstRow">
      <w:rPr>
        <w:b/>
        <w:bCs/>
      </w:rPr>
      <w:tblPr/>
      <w:tcPr>
        <w:tcBorders>
          <w:bottom w:val="single" w:sz="4" w:space="0" w:color="CBB7C1" w:themeColor="accent6" w:themeTint="99"/>
        </w:tcBorders>
      </w:tcPr>
    </w:tblStylePr>
    <w:tblStylePr w:type="lastRow">
      <w:rPr>
        <w:b/>
        <w:bCs/>
      </w:rPr>
      <w:tblPr/>
      <w:tcPr>
        <w:tcBorders>
          <w:top w:val="sing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DCCFD6" w:themeFill="accent6" w:themeFillTint="66"/>
      </w:tcPr>
    </w:tblStylePr>
  </w:style>
  <w:style w:type="table" w:styleId="Listentabelle3Akzent6">
    <w:name w:val="List Table 3 Accent 6"/>
    <w:basedOn w:val="NormaleTabelle"/>
    <w:uiPriority w:val="48"/>
    <w:rsid w:val="00AE5D15"/>
    <w:pPr>
      <w:spacing w:after="0"/>
    </w:pPr>
    <w:tblPr>
      <w:tblStyleRowBandSize w:val="1"/>
      <w:tblStyleColBandSize w:val="1"/>
      <w:tblBorders>
        <w:top w:val="single" w:sz="4" w:space="0" w:color="A98899" w:themeColor="accent6"/>
        <w:left w:val="single" w:sz="4" w:space="0" w:color="A98899" w:themeColor="accent6"/>
        <w:bottom w:val="single" w:sz="4" w:space="0" w:color="A98899" w:themeColor="accent6"/>
        <w:right w:val="single" w:sz="4" w:space="0" w:color="A98899" w:themeColor="accent6"/>
      </w:tblBorders>
    </w:tblPr>
    <w:tblStylePr w:type="firstRow">
      <w:rPr>
        <w:b/>
        <w:bCs/>
        <w:color w:val="FFFFFF" w:themeColor="background1"/>
      </w:rPr>
      <w:tblPr/>
      <w:tcPr>
        <w:shd w:val="clear" w:color="auto" w:fill="A98899" w:themeFill="accent6"/>
      </w:tcPr>
    </w:tblStylePr>
    <w:tblStylePr w:type="lastRow">
      <w:rPr>
        <w:b/>
        <w:bCs/>
      </w:rPr>
      <w:tblPr/>
      <w:tcPr>
        <w:tcBorders>
          <w:top w:val="double" w:sz="4" w:space="0" w:color="A98899" w:themeColor="accent6"/>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shd w:val="clear" w:color="auto" w:fill="FFFFFF" w:themeFill="background1"/>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98899" w:themeColor="accent6"/>
          <w:left w:val="nil"/>
        </w:tcBorders>
      </w:tcPr>
    </w:tblStylePr>
    <w:tblStylePr w:type="swCell">
      <w:tblPr/>
      <w:tcPr>
        <w:tcBorders>
          <w:top w:val="double" w:sz="4" w:space="0" w:color="A98899" w:themeColor="accent6"/>
          <w:right w:val="nil"/>
        </w:tcBorders>
      </w:tcPr>
    </w:tblStylePr>
  </w:style>
  <w:style w:type="table" w:styleId="Listentabelle3Akzent5">
    <w:name w:val="List Table 3 Accent 5"/>
    <w:basedOn w:val="NormaleTabelle"/>
    <w:uiPriority w:val="48"/>
    <w:rsid w:val="0020467E"/>
    <w:pPr>
      <w:spacing w:after="0"/>
    </w:pPr>
    <w:tblPr>
      <w:tblStyleRowBandSize w:val="1"/>
      <w:tblStyleColBandSize w:val="1"/>
      <w:tblBorders>
        <w:top w:val="single" w:sz="4" w:space="0" w:color="5F9FBC" w:themeColor="accent5"/>
        <w:left w:val="single" w:sz="4" w:space="0" w:color="5F9FBC" w:themeColor="accent5"/>
        <w:bottom w:val="single" w:sz="4" w:space="0" w:color="5F9FBC" w:themeColor="accent5"/>
        <w:right w:val="single" w:sz="4" w:space="0" w:color="5F9FBC" w:themeColor="accent5"/>
      </w:tblBorders>
    </w:tblPr>
    <w:tblStylePr w:type="firstRow">
      <w:rPr>
        <w:b/>
        <w:bCs/>
        <w:color w:val="FFFFFF" w:themeColor="background1"/>
      </w:rPr>
      <w:tblPr/>
      <w:tcPr>
        <w:shd w:val="clear" w:color="auto" w:fill="5F9FBC" w:themeFill="accent5"/>
      </w:tcPr>
    </w:tblStylePr>
    <w:tblStylePr w:type="lastRow">
      <w:rPr>
        <w:b/>
        <w:bCs/>
      </w:rPr>
      <w:tblPr/>
      <w:tcPr>
        <w:tcBorders>
          <w:top w:val="double" w:sz="4" w:space="0" w:color="5F9FBC" w:themeColor="accent5"/>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F9FBC" w:themeColor="accent5"/>
          <w:right w:val="single" w:sz="4" w:space="0" w:color="5F9FBC" w:themeColor="accent5"/>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F9FBC" w:themeColor="accent5"/>
          <w:left w:val="nil"/>
        </w:tcBorders>
      </w:tcPr>
    </w:tblStylePr>
    <w:tblStylePr w:type="swCell">
      <w:tblPr/>
      <w:tcPr>
        <w:tcBorders>
          <w:top w:val="double" w:sz="4" w:space="0" w:color="5F9FBC" w:themeColor="accent5"/>
          <w:right w:val="nil"/>
        </w:tcBorders>
      </w:tcPr>
    </w:tblStylePr>
  </w:style>
  <w:style w:type="table" w:styleId="Listentabelle3Akzent3">
    <w:name w:val="List Table 3 Accent 3"/>
    <w:basedOn w:val="NormaleTabelle"/>
    <w:uiPriority w:val="48"/>
    <w:rsid w:val="0020467E"/>
    <w:pPr>
      <w:spacing w:after="0"/>
    </w:pPr>
    <w:tblPr>
      <w:tblStyleRowBandSize w:val="1"/>
      <w:tblStyleColBandSize w:val="1"/>
      <w:tblBorders>
        <w:top w:val="single" w:sz="4" w:space="0" w:color="C7CF1C" w:themeColor="accent3"/>
        <w:left w:val="single" w:sz="4" w:space="0" w:color="C7CF1C" w:themeColor="accent3"/>
        <w:bottom w:val="single" w:sz="4" w:space="0" w:color="C7CF1C" w:themeColor="accent3"/>
        <w:right w:val="single" w:sz="4" w:space="0" w:color="C7CF1C" w:themeColor="accent3"/>
      </w:tblBorders>
    </w:tblPr>
    <w:tblStylePr w:type="firstRow">
      <w:rPr>
        <w:b/>
        <w:bCs/>
        <w:color w:val="FFFFFF" w:themeColor="background1"/>
      </w:rPr>
      <w:tblPr/>
      <w:tcPr>
        <w:shd w:val="clear" w:color="auto" w:fill="C7CF1C" w:themeFill="accent3"/>
      </w:tcPr>
    </w:tblStylePr>
    <w:tblStylePr w:type="lastRow">
      <w:rPr>
        <w:b/>
        <w:bCs/>
      </w:rPr>
      <w:tblPr/>
      <w:tcPr>
        <w:tcBorders>
          <w:top w:val="double" w:sz="4" w:space="0" w:color="C7CF1C" w:themeColor="accent3"/>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C7CF1C" w:themeColor="accent3"/>
          <w:right w:val="single" w:sz="4" w:space="0" w:color="C7CF1C" w:themeColor="accent3"/>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7CF1C" w:themeColor="accent3"/>
          <w:left w:val="nil"/>
        </w:tcBorders>
      </w:tcPr>
    </w:tblStylePr>
    <w:tblStylePr w:type="swCell">
      <w:tblPr/>
      <w:tcPr>
        <w:tcBorders>
          <w:top w:val="double" w:sz="4" w:space="0" w:color="C7CF1C" w:themeColor="accent3"/>
          <w:right w:val="nil"/>
        </w:tcBorders>
      </w:tcPr>
    </w:tblStylePr>
  </w:style>
  <w:style w:type="table" w:styleId="Listentabelle3Akzent2">
    <w:name w:val="List Table 3 Accent 2"/>
    <w:basedOn w:val="NormaleTabelle"/>
    <w:uiPriority w:val="48"/>
    <w:rsid w:val="0020467E"/>
    <w:pPr>
      <w:spacing w:after="0"/>
    </w:pPr>
    <w:tblPr>
      <w:tblStyleRowBandSize w:val="1"/>
      <w:tblStyleColBandSize w:val="1"/>
      <w:tblBorders>
        <w:top w:val="single" w:sz="4" w:space="0" w:color="EB5E51" w:themeColor="accent2"/>
        <w:left w:val="single" w:sz="4" w:space="0" w:color="EB5E51" w:themeColor="accent2"/>
        <w:bottom w:val="single" w:sz="4" w:space="0" w:color="EB5E51" w:themeColor="accent2"/>
        <w:right w:val="single" w:sz="4" w:space="0" w:color="EB5E51" w:themeColor="accent2"/>
      </w:tblBorders>
    </w:tblPr>
    <w:tblStylePr w:type="firstRow">
      <w:rPr>
        <w:b/>
        <w:bCs/>
        <w:color w:val="FFFFFF" w:themeColor="background1"/>
      </w:rPr>
      <w:tblPr/>
      <w:tcPr>
        <w:shd w:val="clear" w:color="auto" w:fill="EB5E51" w:themeFill="accent2"/>
      </w:tcPr>
    </w:tblStylePr>
    <w:tblStylePr w:type="lastRow">
      <w:rPr>
        <w:b/>
        <w:bCs/>
      </w:rPr>
      <w:tblPr/>
      <w:tcPr>
        <w:tcBorders>
          <w:top w:val="double" w:sz="4" w:space="0" w:color="EB5E51" w:themeColor="accent2"/>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EB5E51" w:themeColor="accent2"/>
          <w:right w:val="single" w:sz="4" w:space="0" w:color="EB5E51" w:themeColor="accent2"/>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B5E51" w:themeColor="accent2"/>
          <w:left w:val="nil"/>
        </w:tcBorders>
      </w:tcPr>
    </w:tblStylePr>
    <w:tblStylePr w:type="swCell">
      <w:tblPr/>
      <w:tcPr>
        <w:tcBorders>
          <w:top w:val="double" w:sz="4" w:space="0" w:color="EB5E51" w:themeColor="accent2"/>
          <w:right w:val="nil"/>
        </w:tcBorders>
      </w:tcPr>
    </w:tblStylePr>
  </w:style>
  <w:style w:type="table" w:styleId="Listentabelle3Akzent1">
    <w:name w:val="List Table 3 Accent 1"/>
    <w:basedOn w:val="NormaleTabelle"/>
    <w:uiPriority w:val="48"/>
    <w:rsid w:val="00467E46"/>
    <w:pPr>
      <w:spacing w:after="0"/>
    </w:pPr>
    <w:tblPr>
      <w:tblStyleRowBandSize w:val="1"/>
      <w:tblStyleColBandSize w:val="1"/>
      <w:tblBorders>
        <w:top w:val="single" w:sz="4" w:space="0" w:color="D31932" w:themeColor="accent1"/>
        <w:left w:val="single" w:sz="4" w:space="0" w:color="D31932" w:themeColor="accent1"/>
        <w:bottom w:val="single" w:sz="4" w:space="0" w:color="D31932" w:themeColor="accent1"/>
        <w:right w:val="single" w:sz="4" w:space="0" w:color="D31932" w:themeColor="accent1"/>
      </w:tblBorders>
    </w:tblPr>
    <w:tblStylePr w:type="firstRow">
      <w:rPr>
        <w:b/>
        <w:bCs/>
        <w:color w:val="FFFFFF" w:themeColor="background1"/>
      </w:rPr>
      <w:tblPr/>
      <w:tcPr>
        <w:shd w:val="clear" w:color="auto" w:fill="D31932" w:themeFill="accent1"/>
      </w:tcPr>
    </w:tblStylePr>
    <w:tblStylePr w:type="lastRow">
      <w:rPr>
        <w:b/>
        <w:bCs/>
      </w:rPr>
      <w:tblPr/>
      <w:tcPr>
        <w:tcBorders>
          <w:top w:val="double" w:sz="4" w:space="0" w:color="D31932" w:themeColor="accent1"/>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D31932" w:themeColor="accent1"/>
          <w:right w:val="single" w:sz="4" w:space="0" w:color="D31932" w:themeColor="accent1"/>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31932" w:themeColor="accent1"/>
          <w:left w:val="nil"/>
        </w:tcBorders>
      </w:tcPr>
    </w:tblStylePr>
    <w:tblStylePr w:type="swCell">
      <w:tblPr/>
      <w:tcPr>
        <w:tcBorders>
          <w:top w:val="double" w:sz="4" w:space="0" w:color="D31932" w:themeColor="accent1"/>
          <w:right w:val="nil"/>
        </w:tcBorders>
      </w:tcPr>
    </w:tblStylePr>
  </w:style>
  <w:style w:type="table" w:styleId="Listentabelle4">
    <w:name w:val="List Table 4"/>
    <w:basedOn w:val="NormaleTabelle"/>
    <w:uiPriority w:val="49"/>
    <w:rsid w:val="006411DE"/>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3">
    <w:name w:val="List Table 3"/>
    <w:basedOn w:val="NormaleTabelle"/>
    <w:uiPriority w:val="48"/>
    <w:rsid w:val="006411DE"/>
    <w:pPr>
      <w:spacing w:after="0"/>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paragraph" w:styleId="berarbeitung">
    <w:name w:val="Revision"/>
    <w:hidden/>
    <w:semiHidden/>
    <w:rsid w:val="00036AFC"/>
    <w:pPr>
      <w:spacing w:after="0"/>
    </w:pPr>
  </w:style>
  <w:style w:type="character" w:customStyle="1" w:styleId="berschrift2Zchn">
    <w:name w:val="Überschrift 2 Zchn"/>
    <w:basedOn w:val="Absatz-Standardschriftart"/>
    <w:link w:val="berschrift2"/>
    <w:uiPriority w:val="9"/>
    <w:rsid w:val="00751BD7"/>
    <w:rPr>
      <w:rFonts w:eastAsiaTheme="majorEastAsia" w:cs="Open Sans SemiCondensed"/>
      <w:b/>
      <w:bCs/>
      <w:szCs w:val="24"/>
      <w:lang w:val="de-CH"/>
    </w:rPr>
  </w:style>
  <w:style w:type="paragraph" w:styleId="Listenabsatz">
    <w:name w:val="List Paragraph"/>
    <w:basedOn w:val="Standard"/>
    <w:uiPriority w:val="34"/>
    <w:rsid w:val="00D72AE9"/>
    <w:pPr>
      <w:numPr>
        <w:numId w:val="4"/>
      </w:numPr>
      <w:spacing w:line="240" w:lineRule="auto"/>
      <w:contextualSpacing/>
    </w:pPr>
    <w:rPr>
      <w:rFonts w:ascii="Arial" w:hAnsi="Arial"/>
      <w:spacing w:val="0"/>
      <w:sz w:val="22"/>
      <w:szCs w:val="22"/>
    </w:rPr>
  </w:style>
  <w:style w:type="paragraph" w:customStyle="1" w:styleId="Default">
    <w:name w:val="Default"/>
    <w:rsid w:val="00D72AE9"/>
    <w:pPr>
      <w:autoSpaceDE w:val="0"/>
      <w:autoSpaceDN w:val="0"/>
      <w:adjustRightInd w:val="0"/>
      <w:spacing w:after="0"/>
    </w:pPr>
    <w:rPr>
      <w:rFonts w:ascii="Inter" w:hAnsi="Inter" w:cs="Inter"/>
      <w:color w:val="000000"/>
      <w:spacing w:val="0"/>
      <w:sz w:val="24"/>
      <w:szCs w:val="24"/>
      <w:lang w:val="de-CH"/>
    </w:rPr>
  </w:style>
  <w:style w:type="paragraph" w:customStyle="1" w:styleId="EndNoteBibliographyTitle">
    <w:name w:val="EndNote Bibliography Title"/>
    <w:basedOn w:val="Standard"/>
    <w:link w:val="EndNoteBibliographyTitleZchn"/>
    <w:rsid w:val="00726595"/>
    <w:pPr>
      <w:jc w:val="center"/>
    </w:pPr>
    <w:rPr>
      <w:rFonts w:cs="Open Sans SemiCondensed"/>
      <w:noProof/>
      <w:lang w:val="en-US"/>
    </w:rPr>
  </w:style>
  <w:style w:type="character" w:customStyle="1" w:styleId="EndNoteBibliographyTitleZchn">
    <w:name w:val="EndNote Bibliography Title Zchn"/>
    <w:basedOn w:val="Absatz-Standardschriftart"/>
    <w:link w:val="EndNoteBibliographyTitle"/>
    <w:rsid w:val="00726595"/>
    <w:rPr>
      <w:rFonts w:cs="Open Sans SemiCondensed"/>
      <w:noProof/>
    </w:rPr>
  </w:style>
  <w:style w:type="paragraph" w:customStyle="1" w:styleId="EndNoteBibliography">
    <w:name w:val="EndNote Bibliography"/>
    <w:basedOn w:val="Standard"/>
    <w:link w:val="EndNoteBibliographyZchn"/>
    <w:rsid w:val="00726595"/>
    <w:pPr>
      <w:spacing w:line="240" w:lineRule="auto"/>
    </w:pPr>
    <w:rPr>
      <w:rFonts w:cs="Open Sans SemiCondensed"/>
      <w:noProof/>
      <w:lang w:val="en-US"/>
    </w:rPr>
  </w:style>
  <w:style w:type="character" w:customStyle="1" w:styleId="EndNoteBibliographyZchn">
    <w:name w:val="EndNote Bibliography Zchn"/>
    <w:basedOn w:val="Absatz-Standardschriftart"/>
    <w:link w:val="EndNoteBibliography"/>
    <w:rsid w:val="00726595"/>
    <w:rPr>
      <w:rFonts w:cs="Open Sans SemiCondensed"/>
      <w:noProof/>
    </w:rPr>
  </w:style>
  <w:style w:type="table" w:customStyle="1" w:styleId="Tabellenraster1">
    <w:name w:val="Tabellenraster1"/>
    <w:basedOn w:val="NormaleTabelle"/>
    <w:next w:val="Tabellenraster"/>
    <w:uiPriority w:val="39"/>
    <w:rsid w:val="00A61874"/>
    <w:pPr>
      <w:spacing w:after="0"/>
    </w:pPr>
    <w:rPr>
      <w:rFonts w:eastAsia="Aptos"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1">
    <w:name w:val="Tabellenraster11"/>
    <w:basedOn w:val="NormaleTabelle"/>
    <w:next w:val="Tabellenraster"/>
    <w:rsid w:val="00B3110A"/>
    <w:pPr>
      <w:spacing w:after="0"/>
    </w:pPr>
    <w:rPr>
      <w:rFonts w:ascii="Open Sans SemiCondensed SemiCon" w:hAnsi="Open Sans SemiCondensed SemiCo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1Zchn">
    <w:name w:val="Überschrift 1 Zchn"/>
    <w:basedOn w:val="Absatz-Standardschriftart"/>
    <w:link w:val="berschrift1"/>
    <w:uiPriority w:val="9"/>
    <w:rsid w:val="0094606C"/>
    <w:rPr>
      <w:rFonts w:eastAsiaTheme="majorEastAsia" w:cs="Open Sans SemiCondensed"/>
      <w:b/>
      <w:bCs/>
      <w:color w:val="000000" w:themeColor="text1"/>
      <w:sz w:val="24"/>
      <w:szCs w:val="32"/>
      <w:lang w:val="de-CH"/>
    </w:rPr>
  </w:style>
  <w:style w:type="character" w:styleId="Hervorhebung">
    <w:name w:val="Emphasis"/>
    <w:basedOn w:val="Absatz-Standardschriftart"/>
    <w:uiPriority w:val="20"/>
    <w:qFormat/>
    <w:rsid w:val="0094606C"/>
    <w:rPr>
      <w:b/>
      <w:bCs w:val="0"/>
      <w:i w:val="0"/>
      <w:iCs w:val="0"/>
    </w:rPr>
  </w:style>
  <w:style w:type="character" w:customStyle="1" w:styleId="TitelZchn">
    <w:name w:val="Titel Zchn"/>
    <w:basedOn w:val="Absatz-Standardschriftart"/>
    <w:link w:val="Titel"/>
    <w:uiPriority w:val="10"/>
    <w:rsid w:val="0094606C"/>
    <w:rPr>
      <w:rFonts w:eastAsiaTheme="majorEastAsia" w:cstheme="majorBidi"/>
      <w:b/>
      <w:bCs/>
      <w:color w:val="D31932" w:themeColor="accent1"/>
      <w:spacing w:val="20"/>
      <w:sz w:val="28"/>
      <w:szCs w:val="28"/>
      <w:lang w:val="de-CH"/>
    </w:rPr>
  </w:style>
  <w:style w:type="character" w:styleId="IntensiverVerweis">
    <w:name w:val="Intense Reference"/>
    <w:basedOn w:val="Absatz-Standardschriftart"/>
    <w:uiPriority w:val="32"/>
    <w:qFormat/>
    <w:rsid w:val="0094606C"/>
    <w:rPr>
      <w:b/>
      <w:bCs/>
      <w:smallCaps/>
      <w:color w:val="D31932" w:themeColor="accent1"/>
      <w:spacing w:val="5"/>
    </w:rPr>
  </w:style>
  <w:style w:type="paragraph" w:customStyle="1" w:styleId="CitaviBibliographyEntry">
    <w:name w:val="Citavi Bibliography Entry"/>
    <w:basedOn w:val="Standard"/>
    <w:link w:val="CitaviBibliographyEntryZchn"/>
    <w:rsid w:val="006461D6"/>
    <w:pPr>
      <w:tabs>
        <w:tab w:val="left" w:pos="283"/>
      </w:tabs>
      <w:spacing w:after="120" w:line="240" w:lineRule="atLeast"/>
      <w:ind w:left="283" w:hanging="283"/>
    </w:pPr>
    <w:rPr>
      <w:rFonts w:ascii="Arial" w:eastAsia="Calibri" w:hAnsi="Arial" w:cs="Times New Roman"/>
      <w:spacing w:val="2"/>
    </w:rPr>
  </w:style>
  <w:style w:type="character" w:customStyle="1" w:styleId="CitaviBibliographyEntryZchn">
    <w:name w:val="Citavi Bibliography Entry Zchn"/>
    <w:basedOn w:val="Absatz-Standardschriftart"/>
    <w:link w:val="CitaviBibliographyEntry"/>
    <w:rsid w:val="006461D6"/>
    <w:rPr>
      <w:rFonts w:ascii="Arial" w:eastAsia="Calibri" w:hAnsi="Arial" w:cs="Times New Roman"/>
      <w:spacing w:val="2"/>
      <w:lang w:val="de-CH"/>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6795333">
      <w:bodyDiv w:val="1"/>
      <w:marLeft w:val="0"/>
      <w:marRight w:val="0"/>
      <w:marTop w:val="0"/>
      <w:marBottom w:val="0"/>
      <w:divBdr>
        <w:top w:val="none" w:sz="0" w:space="0" w:color="auto"/>
        <w:left w:val="none" w:sz="0" w:space="0" w:color="auto"/>
        <w:bottom w:val="none" w:sz="0" w:space="0" w:color="auto"/>
        <w:right w:val="none" w:sz="0" w:space="0" w:color="auto"/>
      </w:divBdr>
    </w:div>
    <w:div w:id="730007623">
      <w:bodyDiv w:val="1"/>
      <w:marLeft w:val="0"/>
      <w:marRight w:val="0"/>
      <w:marTop w:val="0"/>
      <w:marBottom w:val="0"/>
      <w:divBdr>
        <w:top w:val="none" w:sz="0" w:space="0" w:color="auto"/>
        <w:left w:val="none" w:sz="0" w:space="0" w:color="auto"/>
        <w:bottom w:val="none" w:sz="0" w:space="0" w:color="auto"/>
        <w:right w:val="none" w:sz="0" w:space="0" w:color="auto"/>
      </w:divBdr>
    </w:div>
    <w:div w:id="846096855">
      <w:bodyDiv w:val="1"/>
      <w:marLeft w:val="0"/>
      <w:marRight w:val="0"/>
      <w:marTop w:val="0"/>
      <w:marBottom w:val="0"/>
      <w:divBdr>
        <w:top w:val="none" w:sz="0" w:space="0" w:color="auto"/>
        <w:left w:val="none" w:sz="0" w:space="0" w:color="auto"/>
        <w:bottom w:val="none" w:sz="0" w:space="0" w:color="auto"/>
        <w:right w:val="none" w:sz="0" w:space="0" w:color="auto"/>
      </w:divBdr>
    </w:div>
    <w:div w:id="1306621786">
      <w:bodyDiv w:val="1"/>
      <w:marLeft w:val="0"/>
      <w:marRight w:val="0"/>
      <w:marTop w:val="0"/>
      <w:marBottom w:val="0"/>
      <w:divBdr>
        <w:top w:val="none" w:sz="0" w:space="0" w:color="auto"/>
        <w:left w:val="none" w:sz="0" w:space="0" w:color="auto"/>
        <w:bottom w:val="none" w:sz="0" w:space="0" w:color="auto"/>
        <w:right w:val="none" w:sz="0" w:space="0" w:color="auto"/>
      </w:divBdr>
    </w:div>
    <w:div w:id="1464616393">
      <w:bodyDiv w:val="1"/>
      <w:marLeft w:val="0"/>
      <w:marRight w:val="0"/>
      <w:marTop w:val="0"/>
      <w:marBottom w:val="0"/>
      <w:divBdr>
        <w:top w:val="none" w:sz="0" w:space="0" w:color="auto"/>
        <w:left w:val="none" w:sz="0" w:space="0" w:color="auto"/>
        <w:bottom w:val="none" w:sz="0" w:space="0" w:color="auto"/>
        <w:right w:val="none" w:sz="0" w:space="0" w:color="auto"/>
      </w:divBdr>
    </w:div>
    <w:div w:id="1543320280">
      <w:bodyDiv w:val="1"/>
      <w:marLeft w:val="0"/>
      <w:marRight w:val="0"/>
      <w:marTop w:val="0"/>
      <w:marBottom w:val="0"/>
      <w:divBdr>
        <w:top w:val="none" w:sz="0" w:space="0" w:color="auto"/>
        <w:left w:val="none" w:sz="0" w:space="0" w:color="auto"/>
        <w:bottom w:val="none" w:sz="0" w:space="0" w:color="auto"/>
        <w:right w:val="none" w:sz="0" w:space="0" w:color="auto"/>
      </w:divBdr>
    </w:div>
    <w:div w:id="1636638901">
      <w:bodyDiv w:val="1"/>
      <w:marLeft w:val="0"/>
      <w:marRight w:val="0"/>
      <w:marTop w:val="0"/>
      <w:marBottom w:val="0"/>
      <w:divBdr>
        <w:top w:val="none" w:sz="0" w:space="0" w:color="auto"/>
        <w:left w:val="none" w:sz="0" w:space="0" w:color="auto"/>
        <w:bottom w:val="none" w:sz="0" w:space="0" w:color="auto"/>
        <w:right w:val="none" w:sz="0" w:space="0" w:color="auto"/>
      </w:divBdr>
    </w:div>
    <w:div w:id="1705902940">
      <w:bodyDiv w:val="1"/>
      <w:marLeft w:val="0"/>
      <w:marRight w:val="0"/>
      <w:marTop w:val="0"/>
      <w:marBottom w:val="0"/>
      <w:divBdr>
        <w:top w:val="none" w:sz="0" w:space="0" w:color="auto"/>
        <w:left w:val="none" w:sz="0" w:space="0" w:color="auto"/>
        <w:bottom w:val="none" w:sz="0" w:space="0" w:color="auto"/>
        <w:right w:val="none" w:sz="0" w:space="0" w:color="auto"/>
      </w:divBdr>
    </w:div>
    <w:div w:id="1759252519">
      <w:bodyDiv w:val="1"/>
      <w:marLeft w:val="0"/>
      <w:marRight w:val="0"/>
      <w:marTop w:val="0"/>
      <w:marBottom w:val="0"/>
      <w:divBdr>
        <w:top w:val="none" w:sz="0" w:space="0" w:color="auto"/>
        <w:left w:val="none" w:sz="0" w:space="0" w:color="auto"/>
        <w:bottom w:val="none" w:sz="0" w:space="0" w:color="auto"/>
        <w:right w:val="none" w:sz="0" w:space="0" w:color="auto"/>
      </w:divBdr>
    </w:div>
    <w:div w:id="2016302128">
      <w:bodyDiv w:val="1"/>
      <w:marLeft w:val="0"/>
      <w:marRight w:val="0"/>
      <w:marTop w:val="0"/>
      <w:marBottom w:val="0"/>
      <w:divBdr>
        <w:top w:val="none" w:sz="0" w:space="0" w:color="auto"/>
        <w:left w:val="none" w:sz="0" w:space="0" w:color="auto"/>
        <w:bottom w:val="none" w:sz="0" w:space="0" w:color="auto"/>
        <w:right w:val="none" w:sz="0" w:space="0" w:color="auto"/>
      </w:divBdr>
    </w:div>
    <w:div w:id="2063095355">
      <w:bodyDiv w:val="1"/>
      <w:marLeft w:val="0"/>
      <w:marRight w:val="0"/>
      <w:marTop w:val="0"/>
      <w:marBottom w:val="0"/>
      <w:divBdr>
        <w:top w:val="none" w:sz="0" w:space="0" w:color="auto"/>
        <w:left w:val="none" w:sz="0" w:space="0" w:color="auto"/>
        <w:bottom w:val="none" w:sz="0" w:space="0" w:color="auto"/>
        <w:right w:val="none" w:sz="0" w:space="0" w:color="auto"/>
      </w:divBdr>
    </w:div>
    <w:div w:id="209061489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svg"/><Relationship Id="rId18" Type="http://schemas.openxmlformats.org/officeDocument/2006/relationships/hyperlink" Target="https://edudoc.ch/record/217614/files/Terminologie_sonderpaed_de.pdf" TargetMode="External"/><Relationship Id="rId26"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hyperlink" Target="https://www.lch.ch/fileadmin/user_upload_lch/Verband/Grundlagen/LCH_Berufsleitbild_Standesregeln_2008.pdf" TargetMode="Externa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hyperlink" Target="https://edudoc.ch/record/25914/files/Terminologie_d.pdf" TargetMode="External"/><Relationship Id="rId25" Type="http://schemas.openxmlformats.org/officeDocument/2006/relationships/hyperlink" Target="https://iris.who.int/bitstream/handle/10665/42407/9241545429.pdf?sequence=1" TargetMode="External"/><Relationship Id="rId2" Type="http://schemas.openxmlformats.org/officeDocument/2006/relationships/customXml" Target="../customXml/item2.xml"/><Relationship Id="rId16" Type="http://schemas.openxmlformats.org/officeDocument/2006/relationships/hyperlink" Target="mailto:thomas.mueller@phlu.ch" TargetMode="External"/><Relationship Id="rId20" Type="http://schemas.openxmlformats.org/officeDocument/2006/relationships/hyperlink" Target="https://www.szh.ch/bausteine.net/file/showfile.aspx?downdaid=8343&amp;guid=14bef2b8-4663-4405-a66b-5a3bcc08b89a&amp;fd=3"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doi.org/10.57161/z2024-09-05" TargetMode="External"/><Relationship Id="rId24" Type="http://schemas.openxmlformats.org/officeDocument/2006/relationships/hyperlink" Target="https://www.swissuniversities.ch/fileadmin/swissuniversities/Dokumente/Lehre/NQR/nqf-ch-HS-d.pdf" TargetMode="External"/><Relationship Id="rId5"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hyperlink" Target="http://www.socialnet.de/rezensionen/isbn.php?isbn=978-3-497-01998-4" TargetMode="Externa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edudoc.ch/nanna/record/226446/files/Reglement_SHP-HFE_d.pdf"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hyperlink" Target="https://www.lch.ch/fileadmin/user_upload_lch/Verband/Grundlagen/Berufsauftrag_LCH.pdf" TargetMode="External"/><Relationship Id="rId27"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Office Theme">
  <a:themeElements>
    <a:clrScheme name="SZH/CSPS">
      <a:dk1>
        <a:sysClr val="windowText" lastClr="000000"/>
      </a:dk1>
      <a:lt1>
        <a:sysClr val="window" lastClr="FFFFFF"/>
      </a:lt1>
      <a:dk2>
        <a:srgbClr val="252B46"/>
      </a:dk2>
      <a:lt2>
        <a:srgbClr val="FFFFFF"/>
      </a:lt2>
      <a:accent1>
        <a:srgbClr val="D31932"/>
      </a:accent1>
      <a:accent2>
        <a:srgbClr val="EB5E51"/>
      </a:accent2>
      <a:accent3>
        <a:srgbClr val="C7CF1C"/>
      </a:accent3>
      <a:accent4>
        <a:srgbClr val="51A66D"/>
      </a:accent4>
      <a:accent5>
        <a:srgbClr val="5F9FBC"/>
      </a:accent5>
      <a:accent6>
        <a:srgbClr val="A98899"/>
      </a:accent6>
      <a:hlink>
        <a:srgbClr val="D31932"/>
      </a:hlink>
      <a:folHlink>
        <a:srgbClr val="252B46"/>
      </a:folHlink>
    </a:clrScheme>
    <a:fontScheme name="Personnalisé 1">
      <a:majorFont>
        <a:latin typeface="Open Sans SemiCondensed"/>
        <a:ea typeface=""/>
        <a:cs typeface=""/>
      </a:majorFont>
      <a:minorFont>
        <a:latin typeface="Open Sans SemiCondensed"/>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4fd9addd-010e-4f5f-8f1c-4194eaaa354f" xsi:nil="true"/>
    <lcf76f155ced4ddcb4097134ff3c332f xmlns="76555f21-dda2-40b2-9e67-0c5126acc9bb">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kument" ma:contentTypeID="0x010100C27681858B7D484080A6C8E6830BC98C" ma:contentTypeVersion="18" ma:contentTypeDescription="Ein neues Dokument erstellen." ma:contentTypeScope="" ma:versionID="4c042081b775e753c1bb232e58584a4e">
  <xsd:schema xmlns:xsd="http://www.w3.org/2001/XMLSchema" xmlns:xs="http://www.w3.org/2001/XMLSchema" xmlns:p="http://schemas.microsoft.com/office/2006/metadata/properties" xmlns:ns2="76555f21-dda2-40b2-9e67-0c5126acc9bb" xmlns:ns3="4fd9addd-010e-4f5f-8f1c-4194eaaa354f" targetNamespace="http://schemas.microsoft.com/office/2006/metadata/properties" ma:root="true" ma:fieldsID="ffe972dd866110c8e29933bd44e2f340" ns2:_="" ns3:_="">
    <xsd:import namespace="76555f21-dda2-40b2-9e67-0c5126acc9bb"/>
    <xsd:import namespace="4fd9addd-010e-4f5f-8f1c-4194eaaa354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555f21-dda2-40b2-9e67-0c5126acc9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d8ca9b99-a138-4061-96ae-ccea63f4814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fd9addd-010e-4f5f-8f1c-4194eaaa354f" elementFormDefault="qualified">
    <xsd:import namespace="http://schemas.microsoft.com/office/2006/documentManagement/types"/>
    <xsd:import namespace="http://schemas.microsoft.com/office/infopath/2007/PartnerControls"/>
    <xsd:element name="SharedWithUsers" ma:index="1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8d73401d-95f3-4a64-be7b-bef45ce11d4d}" ma:internalName="TaxCatchAll" ma:showField="CatchAllData" ma:web="4fd9addd-010e-4f5f-8f1c-4194eaaa35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47EC88C-8D21-434D-9DE7-8252E3B8ED27}">
  <ds:schemaRefs>
    <ds:schemaRef ds:uri="http://schemas.microsoft.com/sharepoint/v3/contenttype/forms"/>
  </ds:schemaRefs>
</ds:datastoreItem>
</file>

<file path=customXml/itemProps2.xml><?xml version="1.0" encoding="utf-8"?>
<ds:datastoreItem xmlns:ds="http://schemas.openxmlformats.org/officeDocument/2006/customXml" ds:itemID="{E3F9FDA9-7FB6-4D8D-862D-895C44714D11}">
  <ds:schemaRefs>
    <ds:schemaRef ds:uri="http://schemas.microsoft.com/office/2006/metadata/properties"/>
    <ds:schemaRef ds:uri="http://schemas.microsoft.com/office/infopath/2007/PartnerControls"/>
    <ds:schemaRef ds:uri="4fd9addd-010e-4f5f-8f1c-4194eaaa354f"/>
    <ds:schemaRef ds:uri="76555f21-dda2-40b2-9e67-0c5126acc9bb"/>
  </ds:schemaRefs>
</ds:datastoreItem>
</file>

<file path=customXml/itemProps3.xml><?xml version="1.0" encoding="utf-8"?>
<ds:datastoreItem xmlns:ds="http://schemas.openxmlformats.org/officeDocument/2006/customXml" ds:itemID="{14A644E3-04CA-494A-AE18-74A0A7989E17}">
  <ds:schemaRefs>
    <ds:schemaRef ds:uri="http://schemas.openxmlformats.org/officeDocument/2006/bibliography"/>
  </ds:schemaRefs>
</ds:datastoreItem>
</file>

<file path=customXml/itemProps4.xml><?xml version="1.0" encoding="utf-8"?>
<ds:datastoreItem xmlns:ds="http://schemas.openxmlformats.org/officeDocument/2006/customXml" ds:itemID="{08C7171A-6A22-4462-912C-76C9F10B6D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555f21-dda2-40b2-9e67-0c5126acc9bb"/>
    <ds:schemaRef ds:uri="4fd9addd-010e-4f5f-8f1c-4194eaaa35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2240</Words>
  <Characters>16896</Characters>
  <Application>Microsoft Office Word</Application>
  <DocSecurity>0</DocSecurity>
  <Lines>216</Lines>
  <Paragraphs>96</Paragraphs>
  <ScaleCrop>false</ScaleCrop>
  <HeadingPairs>
    <vt:vector size="2" baseType="variant">
      <vt:variant>
        <vt:lpstr>Titel</vt:lpstr>
      </vt:variant>
      <vt:variant>
        <vt:i4>1</vt:i4>
      </vt:variant>
    </vt:vector>
  </HeadingPairs>
  <TitlesOfParts>
    <vt:vector size="1" baseType="lpstr">
      <vt:lpstr>Das Haus der Schulischen Heilpädagogik_x000d_</vt:lpstr>
    </vt:vector>
  </TitlesOfParts>
  <Company/>
  <LinksUpToDate>false</LinksUpToDate>
  <CharactersWithSpaces>19040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Das Haus der Schulischen Heilpädagogik_x000d_</dc:title>
  <dc:subject/>
  <dc:creator>Thomas Müller_x000d_</dc:creator>
  <cp:keywords>Schulische Heilpädagogik, Berufsbild, inklusiver Unterricht, berufliche Qualifikation, Berufsfeld, Theorie-Praxis Verhältnis / enseignement spécialisé en école, profil de la profession, enseignement inclusif, qualification professionnelle, champ professionnel, relation théorie – pratique</cp:keywords>
  <cp:lastModifiedBy>Gut, Damaris</cp:lastModifiedBy>
  <cp:revision>66</cp:revision>
  <cp:lastPrinted>2024-11-26T16:15:00Z</cp:lastPrinted>
  <dcterms:created xsi:type="dcterms:W3CDTF">2024-11-18T14:03:00Z</dcterms:created>
  <dcterms:modified xsi:type="dcterms:W3CDTF">2024-11-26T16:15:00Z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0x010100C27681858B7D484080A6C8E6830BC98C</vt:lpwstr>
  </property>
  <property fmtid="{D5CDD505-2E9C-101B-9397-08002B2CF9AE}" pid="3" name="MediaServiceImageTags">
    <vt:lpwstr/>
  </property>
  <property fmtid="{D5CDD505-2E9C-101B-9397-08002B2CF9AE}" pid="4" name="ZOTERO_PREF_1">
    <vt:lpwstr>&lt;data data-version="3" zotero-version="5.0.96.3"&gt;&lt;session id="QVTIewH6"/&gt;&lt;style id="http://www.zotero.org/styles/apa" locale="fr-FR" hasBibliography="1" bibliographyStyleHasBeenSet="1"/&gt;&lt;prefs&gt;&lt;pref name="fieldType" value="Bookmark"/&gt;&lt;pref name="automatic</vt:lpwstr>
  </property>
  <property fmtid="{D5CDD505-2E9C-101B-9397-08002B2CF9AE}" pid="5" name="ZOTERO_PREF_2">
    <vt:lpwstr>JournalAbbreviations" value="true"/&gt;&lt;/prefs&gt;&lt;/data&gt;</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 11th edition</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7th edition</vt:lpwstr>
  </property>
  <property fmtid="{D5CDD505-2E9C-101B-9397-08002B2CF9AE}" pid="12" name="Mendeley Recent Style Id 3_1">
    <vt:lpwstr>http://www.zotero.org/styles/american-sociological-association</vt:lpwstr>
  </property>
  <property fmtid="{D5CDD505-2E9C-101B-9397-08002B2CF9AE}" pid="13" name="Mendeley Recent Style Name 3_1">
    <vt:lpwstr>American Sociological Association 6th edition</vt:lpwstr>
  </property>
  <property fmtid="{D5CDD505-2E9C-101B-9397-08002B2CF9AE}" pid="14" name="Mendeley Recent Style Id 4_1">
    <vt:lpwstr>http://www.zotero.org/styles/chicago-author-date</vt:lpwstr>
  </property>
  <property fmtid="{D5CDD505-2E9C-101B-9397-08002B2CF9AE}" pid="15" name="Mendeley Recent Style Name 4_1">
    <vt:lpwstr>Chicago Manual of Style 17th edition (author-date)</vt:lpwstr>
  </property>
  <property fmtid="{D5CDD505-2E9C-101B-9397-08002B2CF9AE}" pid="16" name="Mendeley Recent Style Id 5_1">
    <vt:lpwstr>http://www.zotero.org/styles/harvard-cite-them-right</vt:lpwstr>
  </property>
  <property fmtid="{D5CDD505-2E9C-101B-9397-08002B2CF9AE}" pid="17" name="Mendeley Recent Style Name 5_1">
    <vt:lpwstr>Cite Them Right 10th edition - Harvard</vt:lpwstr>
  </property>
  <property fmtid="{D5CDD505-2E9C-101B-9397-08002B2CF9AE}" pid="18" name="Mendeley Recent Style Id 6_1">
    <vt:lpwstr>http://www.zotero.org/styles/ieee</vt:lpwstr>
  </property>
  <property fmtid="{D5CDD505-2E9C-101B-9397-08002B2CF9AE}" pid="19" name="Mendeley Recent Style Name 6_1">
    <vt:lpwstr>IEEE</vt:lpwstr>
  </property>
  <property fmtid="{D5CDD505-2E9C-101B-9397-08002B2CF9AE}" pid="20" name="Mendeley Recent Style Id 7_1">
    <vt:lpwstr>http://www.zotero.org/styles/modern-humanities-research-association</vt:lpwstr>
  </property>
  <property fmtid="{D5CDD505-2E9C-101B-9397-08002B2CF9AE}" pid="21" name="Mendeley Recent Style Name 7_1">
    <vt:lpwstr>Modern Humanities Research Association 3rd edition (note with bibliography)</vt:lpwstr>
  </property>
  <property fmtid="{D5CDD505-2E9C-101B-9397-08002B2CF9AE}" pid="22" name="Mendeley Recent Style Id 8_1">
    <vt:lpwstr>http://www.zotero.org/styles/modern-language-association</vt:lpwstr>
  </property>
  <property fmtid="{D5CDD505-2E9C-101B-9397-08002B2CF9AE}" pid="23" name="Mendeley Recent Style Name 8_1">
    <vt:lpwstr>Modern Language Association 8th edition</vt:lpwstr>
  </property>
  <property fmtid="{D5CDD505-2E9C-101B-9397-08002B2CF9AE}" pid="24" name="Mendeley Recent Style Id 9_1">
    <vt:lpwstr>http://www.zotero.org/styles/nature</vt:lpwstr>
  </property>
  <property fmtid="{D5CDD505-2E9C-101B-9397-08002B2CF9AE}" pid="25" name="Mendeley Recent Style Name 9_1">
    <vt:lpwstr>Nature</vt:lpwstr>
  </property>
  <property fmtid="{D5CDD505-2E9C-101B-9397-08002B2CF9AE}" pid="26" name="ZOTERO_BREF_LJpYRCftHTcs_1">
    <vt:lpwstr>ZOTERO_ITEM CSL_CITATION {"citationID":"UR6fXmLH","properties":{"formattedCitation":"(Bourke-Taylor et al., 2010)","plainCitation":"(Bourke-Taylor et al., 2010)","noteIndex":0},"citationItems":[{"id":2,"uris":["http://zotero.org/users/local/VFQK57b2/items</vt:lpwstr>
  </property>
  <property fmtid="{D5CDD505-2E9C-101B-9397-08002B2CF9AE}" pid="27" name="ZOTERO_BREF_LJpYRCftHTcs_2">
    <vt:lpwstr>/ELZKDGJZ"],"uri":["http://zotero.org/users/local/VFQK57b2/items/ELZKDGJZ"],"itemData":{"id":2,"type":"article-journal","container-title":"Australian Occupational Therapy Journal","DOI":"10.1111/j.1440-1630.2009.00817.x","issue":"2","language":"en","page"</vt:lpwstr>
  </property>
  <property fmtid="{D5CDD505-2E9C-101B-9397-08002B2CF9AE}" pid="28" name="ZOTERO_BREF_LJpYRCftHTcs_3">
    <vt:lpwstr>:"127–36","title":"Impact of caring for a school-aged child with a disability: understanding mothers' perspectives","volume":"57","author":[{"family":"Bourke-Taylor","given":"H."},{"family":"Howie","given":"L."},{"family":"Law","given":"M."}],"issued":{"d</vt:lpwstr>
  </property>
  <property fmtid="{D5CDD505-2E9C-101B-9397-08002B2CF9AE}" pid="29" name="ZOTERO_BREF_LJpYRCftHTcs_4">
    <vt:lpwstr>ate-parts":[["2010"]]},"citation-key":"bourke-taylorImpactCaringSchoolaged2010"}}],"schema":"https://github.com/citation-style-language/schema/raw/master/csl-citation.json"}</vt:lpwstr>
  </property>
  <property fmtid="{D5CDD505-2E9C-101B-9397-08002B2CF9AE}" pid="30" name="ZOTERO_BREF_0lLwaBULNIz3_1">
    <vt:lpwstr>ZOTERO_BIBL {"uncited":[],"omitted":[],"custom":[]} CSL_BIBLIOGRAPHY</vt:lpwstr>
  </property>
</Properties>
</file>