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4E13F" w14:textId="77777777" w:rsidR="00ED609C" w:rsidRPr="00BC29AE" w:rsidRDefault="00ED609C" w:rsidP="00920C5A">
      <w:pPr>
        <w:pStyle w:val="Titel"/>
        <w:rPr>
          <w:b w:val="0"/>
          <w:bCs w:val="0"/>
        </w:rPr>
      </w:pPr>
      <w:r w:rsidRPr="00BC29AE">
        <w:rPr>
          <w:rStyle w:val="TitelZchn"/>
          <w:b/>
          <w:bCs/>
        </w:rPr>
        <w:t xml:space="preserve">Multiprofessionelle Zusammenarbeit am Beispiel der </w:t>
      </w:r>
      <w:r w:rsidRPr="00BC29AE">
        <w:rPr>
          <w:rStyle w:val="TitelZchn"/>
          <w:b/>
          <w:bCs/>
          <w:noProof/>
        </w:rPr>
        <w:t>Grafomotorik</w:t>
      </w:r>
      <w:r w:rsidRPr="00BC29AE">
        <w:rPr>
          <w:b w:val="0"/>
          <w:bCs w:val="0"/>
        </w:rPr>
        <w:t xml:space="preserve"> </w:t>
      </w:r>
    </w:p>
    <w:p w14:paraId="755E85FE" w14:textId="77777777" w:rsidR="006F2CDF" w:rsidRDefault="006F2CDF" w:rsidP="006F2CDF">
      <w:pPr>
        <w:pStyle w:val="Untertitel"/>
      </w:pPr>
      <w:r w:rsidRPr="006F2CDF">
        <w:t>Diagnostisches und entwicklungsbezogenes Fachwissen aus der Psychomotorik unterstützt die Unterrichtsentwicklung</w:t>
      </w:r>
    </w:p>
    <w:p w14:paraId="226DBCCC" w14:textId="1A0FC64B" w:rsidR="00733465" w:rsidRPr="009850BA" w:rsidRDefault="00733465" w:rsidP="00733465">
      <w:pPr>
        <w:pStyle w:val="Author"/>
        <w:rPr>
          <w:i/>
          <w:lang w:val="de-CH"/>
        </w:rPr>
      </w:pPr>
      <w:r w:rsidRPr="009850BA">
        <w:rPr>
          <w:lang w:val="de-CH"/>
        </w:rPr>
        <w:t>Judith Sägesser Wyss, Michelle N.</w:t>
      </w:r>
      <w:r w:rsidR="009562D2">
        <w:rPr>
          <w:lang w:val="de-CH"/>
        </w:rPr>
        <w:t> </w:t>
      </w:r>
      <w:r w:rsidRPr="009850BA">
        <w:rPr>
          <w:lang w:val="de-CH"/>
        </w:rPr>
        <w:t>Maurer und Michael Eckhart</w:t>
      </w:r>
    </w:p>
    <w:p w14:paraId="60044059" w14:textId="57C16296" w:rsidR="00890800" w:rsidRDefault="00985126" w:rsidP="00890800">
      <w:pPr>
        <w:pStyle w:val="Abstract"/>
      </w:pPr>
      <w:r w:rsidRPr="00237079">
        <w:t>Zusammenfassung</w:t>
      </w:r>
      <w:bookmarkStart w:id="0" w:name="_Hlk147386309"/>
      <w:r w:rsidR="00E7780E" w:rsidRPr="00237079">
        <w:br/>
      </w:r>
      <w:bookmarkEnd w:id="0"/>
      <w:r w:rsidR="00890800" w:rsidRPr="00890800">
        <w:t xml:space="preserve">Dieser Artikel liefert ein Beispiel für die Zusammenarbeit zwischen </w:t>
      </w:r>
      <w:proofErr w:type="spellStart"/>
      <w:r w:rsidR="00890800" w:rsidRPr="00890800">
        <w:t>Psychomotoriktherapeut:in</w:t>
      </w:r>
      <w:proofErr w:type="spellEnd"/>
      <w:r w:rsidR="00890800" w:rsidRPr="00890800">
        <w:t xml:space="preserve"> und Lehrperson. Diagnostisches und fachspezifisches Wissen aus der Heilpädagogik, Psychomotorik und Grafomotorik kann die Lehrpersonen unterstützen in der Gestaltung des Unterrichts für heterogene Klassen. An einem Fallbeispiel wird dargelegt, wie die Diagnostik mit GRAFOS-2 in die Unterrichtsplanung und -umsetzung einfliessen und durch situationsbezogene Beobachtungen im Schulalltag ergänzt werden kann. Dabei teilt sich ein multiprofessionelles Team die Verantwortung für die Unterrichtsgestaltung.</w:t>
      </w:r>
    </w:p>
    <w:p w14:paraId="6D2ED7E0" w14:textId="77777777" w:rsidR="009850BA" w:rsidRPr="009850BA" w:rsidRDefault="00CD35D5" w:rsidP="009850BA">
      <w:pPr>
        <w:pStyle w:val="Abstract"/>
        <w:rPr>
          <w:lang w:val="fr-CH"/>
        </w:rPr>
      </w:pPr>
      <w:r w:rsidRPr="009850BA">
        <w:rPr>
          <w:lang w:val="fr-CH"/>
        </w:rPr>
        <w:t>Résumé</w:t>
      </w:r>
      <w:r w:rsidRPr="009850BA">
        <w:rPr>
          <w:rFonts w:cs="Open Sans SemiCondensed"/>
          <w:lang w:val="fr-CH"/>
        </w:rPr>
        <w:br/>
      </w:r>
      <w:r w:rsidR="009850BA" w:rsidRPr="009850BA">
        <w:rPr>
          <w:lang w:val="fr-CH"/>
        </w:rPr>
        <w:t xml:space="preserve">Cet article fournit un exemple de collaboration entre psychomotriciennes ou psychomotriciens et enseignantes ou enseignants. Les connaissances diagnostiques et spécifiques à la pédagogie spécialisée, à la psychomotricité et à la graphomotricité peuvent aider les enseignantes et enseignants dans l’organisation de leurs cours pour des classes hétérogènes. Une étude de cas montre comment le diagnostic avec GRAFOS-2 peut être intégré dans la planification et la mise en œuvre de l'enseignement et comment il peut être complété par des observations in situ dans le quotidien scolaire. Dans cette situation, une équipe </w:t>
      </w:r>
      <w:proofErr w:type="spellStart"/>
      <w:r w:rsidR="009850BA" w:rsidRPr="009850BA">
        <w:rPr>
          <w:lang w:val="fr-CH"/>
        </w:rPr>
        <w:t>multiprofessionnelle</w:t>
      </w:r>
      <w:proofErr w:type="spellEnd"/>
      <w:r w:rsidR="009850BA" w:rsidRPr="009850BA">
        <w:rPr>
          <w:lang w:val="fr-CH"/>
        </w:rPr>
        <w:t xml:space="preserve"> se partage la responsabilité de l'organisation de l'enseignement.</w:t>
      </w:r>
    </w:p>
    <w:p w14:paraId="5343047F" w14:textId="2EE68C89" w:rsidR="00EA4676" w:rsidRPr="009850BA" w:rsidRDefault="00EA4676" w:rsidP="00C678D9">
      <w:pPr>
        <w:pStyle w:val="Textkrper3"/>
        <w:rPr>
          <w:lang w:val="fr-CH"/>
        </w:rPr>
      </w:pPr>
      <w:proofErr w:type="gramStart"/>
      <w:r w:rsidRPr="009850BA">
        <w:rPr>
          <w:rStyle w:val="Fett"/>
          <w:rFonts w:cs="Open Sans SemiCondensed"/>
          <w:lang w:val="fr-CH"/>
        </w:rPr>
        <w:t>Keywords</w:t>
      </w:r>
      <w:r w:rsidRPr="009850BA">
        <w:rPr>
          <w:lang w:val="fr-CH"/>
        </w:rPr>
        <w:t>:</w:t>
      </w:r>
      <w:proofErr w:type="gramEnd"/>
      <w:r w:rsidRPr="009850BA">
        <w:rPr>
          <w:lang w:val="fr-CH"/>
        </w:rPr>
        <w:t xml:space="preserve"> </w:t>
      </w:r>
      <w:proofErr w:type="spellStart"/>
      <w:r w:rsidR="009850BA" w:rsidRPr="005B6E22">
        <w:rPr>
          <w:lang w:val="fr-CH"/>
        </w:rPr>
        <w:t>Kooperation</w:t>
      </w:r>
      <w:proofErr w:type="spellEnd"/>
      <w:r w:rsidR="009850BA" w:rsidRPr="005B6E22">
        <w:rPr>
          <w:lang w:val="fr-CH"/>
        </w:rPr>
        <w:t xml:space="preserve">, </w:t>
      </w:r>
      <w:proofErr w:type="spellStart"/>
      <w:r w:rsidR="009850BA" w:rsidRPr="005B6E22">
        <w:rPr>
          <w:lang w:val="fr-CH"/>
        </w:rPr>
        <w:t>Schule</w:t>
      </w:r>
      <w:proofErr w:type="spellEnd"/>
      <w:r w:rsidR="009850BA" w:rsidRPr="005B6E22">
        <w:rPr>
          <w:lang w:val="fr-CH"/>
        </w:rPr>
        <w:t xml:space="preserve">, </w:t>
      </w:r>
      <w:proofErr w:type="spellStart"/>
      <w:r w:rsidR="009850BA" w:rsidRPr="005B6E22">
        <w:rPr>
          <w:lang w:val="fr-CH"/>
        </w:rPr>
        <w:t>Unterricht</w:t>
      </w:r>
      <w:proofErr w:type="spellEnd"/>
      <w:r w:rsidR="009850BA" w:rsidRPr="005B6E22">
        <w:rPr>
          <w:lang w:val="fr-CH"/>
        </w:rPr>
        <w:t xml:space="preserve">, </w:t>
      </w:r>
      <w:proofErr w:type="spellStart"/>
      <w:r w:rsidR="009850BA" w:rsidRPr="005B6E22">
        <w:rPr>
          <w:lang w:val="fr-CH"/>
        </w:rPr>
        <w:t>Planung</w:t>
      </w:r>
      <w:proofErr w:type="spellEnd"/>
      <w:r w:rsidR="009850BA" w:rsidRPr="005B6E22">
        <w:rPr>
          <w:lang w:val="fr-CH"/>
        </w:rPr>
        <w:t xml:space="preserve">, </w:t>
      </w:r>
      <w:proofErr w:type="spellStart"/>
      <w:r w:rsidR="009850BA" w:rsidRPr="005B6E22">
        <w:rPr>
          <w:lang w:val="fr-CH"/>
        </w:rPr>
        <w:t>Heterogenität</w:t>
      </w:r>
      <w:proofErr w:type="spellEnd"/>
      <w:r w:rsidR="009850BA" w:rsidRPr="005B6E22">
        <w:rPr>
          <w:lang w:val="fr-CH"/>
        </w:rPr>
        <w:t xml:space="preserve">, </w:t>
      </w:r>
      <w:proofErr w:type="spellStart"/>
      <w:r w:rsidR="009850BA" w:rsidRPr="005B6E22">
        <w:rPr>
          <w:lang w:val="fr-CH"/>
        </w:rPr>
        <w:t>Psychomotorik</w:t>
      </w:r>
      <w:proofErr w:type="spellEnd"/>
      <w:r w:rsidR="009850BA" w:rsidRPr="005B6E22">
        <w:rPr>
          <w:lang w:val="fr-CH"/>
        </w:rPr>
        <w:t xml:space="preserve">, </w:t>
      </w:r>
      <w:proofErr w:type="spellStart"/>
      <w:r w:rsidR="009850BA" w:rsidRPr="005B6E22">
        <w:rPr>
          <w:lang w:val="fr-CH"/>
        </w:rPr>
        <w:t>Grafomotorik</w:t>
      </w:r>
      <w:proofErr w:type="spellEnd"/>
      <w:r w:rsidR="009850BA" w:rsidRPr="005B6E22">
        <w:rPr>
          <w:lang w:val="fr-CH"/>
        </w:rPr>
        <w:t xml:space="preserve">, </w:t>
      </w:r>
      <w:proofErr w:type="spellStart"/>
      <w:r w:rsidR="009850BA" w:rsidRPr="005B6E22">
        <w:rPr>
          <w:lang w:val="fr-CH"/>
        </w:rPr>
        <w:t>Schreiben</w:t>
      </w:r>
      <w:proofErr w:type="spellEnd"/>
      <w:r w:rsidR="009850BA" w:rsidRPr="005B6E22">
        <w:rPr>
          <w:lang w:val="fr-CH"/>
        </w:rPr>
        <w:t xml:space="preserve">, </w:t>
      </w:r>
      <w:proofErr w:type="spellStart"/>
      <w:r w:rsidR="009850BA" w:rsidRPr="005B6E22">
        <w:rPr>
          <w:lang w:val="fr-CH"/>
        </w:rPr>
        <w:t>diagnostischer</w:t>
      </w:r>
      <w:proofErr w:type="spellEnd"/>
      <w:r w:rsidR="009850BA" w:rsidRPr="005B6E22">
        <w:rPr>
          <w:lang w:val="fr-CH"/>
        </w:rPr>
        <w:t xml:space="preserve"> Test /</w:t>
      </w:r>
      <w:r w:rsidR="009850BA" w:rsidRPr="009850BA">
        <w:rPr>
          <w:lang w:val="fr-CH"/>
        </w:rPr>
        <w:t xml:space="preserve"> coopération, école, enseignement, planification, hétérogénéité, psychomotricité, habiletés graphomotrices, écriture, test diagnostique</w:t>
      </w:r>
    </w:p>
    <w:p w14:paraId="2E0001B1" w14:textId="7B173B17" w:rsidR="00E05A1B" w:rsidRPr="009850BA" w:rsidRDefault="00EA4676" w:rsidP="00C678D9">
      <w:pPr>
        <w:pStyle w:val="Textkrper3"/>
        <w:rPr>
          <w:rFonts w:cs="Open Sans SemiCondensed"/>
          <w:bCs/>
          <w:iCs/>
          <w:color w:val="CF3649"/>
          <w:lang w:val="fr-CH"/>
        </w:rPr>
      </w:pPr>
      <w:proofErr w:type="gramStart"/>
      <w:r w:rsidRPr="009850BA">
        <w:rPr>
          <w:rStyle w:val="Fett"/>
          <w:rFonts w:cs="Open Sans SemiCondensed"/>
          <w:lang w:val="fr-CH"/>
        </w:rPr>
        <w:t>DOI</w:t>
      </w:r>
      <w:r w:rsidRPr="009850BA">
        <w:rPr>
          <w:rFonts w:cs="Open Sans SemiCondensed"/>
          <w:lang w:val="fr-CH"/>
        </w:rPr>
        <w:t>:</w:t>
      </w:r>
      <w:proofErr w:type="gramEnd"/>
      <w:r w:rsidRPr="009850BA">
        <w:rPr>
          <w:rFonts w:cs="Open Sans SemiCondensed"/>
          <w:lang w:val="fr-CH"/>
        </w:rPr>
        <w:t xml:space="preserve"> </w:t>
      </w:r>
      <w:hyperlink r:id="rId11" w:history="1">
        <w:r w:rsidR="00E05A1B" w:rsidRPr="005210B2">
          <w:rPr>
            <w:rStyle w:val="Hyperlink"/>
            <w:rFonts w:cs="Open Sans SemiCondensed"/>
            <w:lang w:val="fr-CH"/>
          </w:rPr>
          <w:t>https://doi.org/10.57161/z2023-08-</w:t>
        </w:r>
        <w:r w:rsidR="00E05A1B" w:rsidRPr="005210B2">
          <w:rPr>
            <w:rStyle w:val="Hyperlink"/>
            <w:bCs w:val="0"/>
            <w:iCs w:val="0"/>
            <w:lang w:val="fr-CH"/>
          </w:rPr>
          <w:t>06</w:t>
        </w:r>
      </w:hyperlink>
    </w:p>
    <w:p w14:paraId="075782A4" w14:textId="356D627C" w:rsidR="001161D6" w:rsidRPr="00EC61B0" w:rsidRDefault="001161D6" w:rsidP="00C678D9">
      <w:pPr>
        <w:pStyle w:val="Textkrper3"/>
      </w:pPr>
      <w:r w:rsidRPr="00153133">
        <w:t xml:space="preserve">Schweizerische Zeitschrift für Heilpädagogik, Jg. </w:t>
      </w:r>
      <w:r w:rsidR="00A43FC7">
        <w:t>29</w:t>
      </w:r>
      <w:r w:rsidRPr="00EC61B0">
        <w:t xml:space="preserve">, </w:t>
      </w:r>
      <w:r w:rsidR="00A43FC7">
        <w:t>08</w:t>
      </w:r>
      <w:r w:rsidRPr="00EC61B0">
        <w:t>/</w:t>
      </w:r>
      <w:r w:rsidR="00A43FC7">
        <w:t>2023</w:t>
      </w:r>
    </w:p>
    <w:p w14:paraId="433B8C5E" w14:textId="77777777" w:rsidR="000E6A66" w:rsidRPr="00153133" w:rsidRDefault="000E6A66" w:rsidP="00C678D9">
      <w:pPr>
        <w:pStyle w:val="Textkrper3"/>
        <w:rPr>
          <w:lang w:val="fr-CH"/>
        </w:rPr>
      </w:pPr>
      <w:r w:rsidRPr="00153133">
        <w:rPr>
          <w:noProof/>
        </w:rPr>
        <w:drawing>
          <wp:inline distT="0" distB="0" distL="0" distR="0" wp14:anchorId="2C6B69FA" wp14:editId="2FCD7177">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86C45E7" w14:textId="77777777" w:rsidR="00D378E4" w:rsidRPr="00AA5F37" w:rsidRDefault="00D378E4" w:rsidP="00E422C1">
      <w:pPr>
        <w:pStyle w:val="berschrift1"/>
      </w:pPr>
      <w:bookmarkStart w:id="1" w:name="heading-1"/>
      <w:r w:rsidRPr="00AA5F37">
        <w:t xml:space="preserve">Inklusionsorientierte Schulen </w:t>
      </w:r>
      <w:r>
        <w:t>durch</w:t>
      </w:r>
      <w:r w:rsidRPr="00AA5F37">
        <w:t xml:space="preserve"> starke pädagogische Teams</w:t>
      </w:r>
    </w:p>
    <w:p w14:paraId="4CC29E1C" w14:textId="77777777" w:rsidR="00D378E4" w:rsidRDefault="00D378E4" w:rsidP="00D378E4">
      <w:pPr>
        <w:pStyle w:val="Textkrper"/>
        <w:ind w:firstLine="0"/>
      </w:pPr>
      <w:r>
        <w:t>Der Dachverband der Schweizer Lehrerinnen und Lehrer (LCH) nennt in einem jüngst aktualisierten Positionspapier</w:t>
      </w:r>
      <w:r>
        <w:rPr>
          <w:rStyle w:val="Funotenzeichen"/>
        </w:rPr>
        <w:footnoteReference w:id="2"/>
      </w:r>
      <w:r>
        <w:t xml:space="preserve"> Gelingensbedingungen für die inklusionsorientierte Entwicklung der Schweizer Schulen (LCH, 2023). Dabei wird die multiprofessionelle Zusammenarbeit – eine Stärke der Schweizer Volksschule – als wichtiges Element genannt (ebd.). Der LCH fordert von Kantonen, Gemeinden und Schulen unter anderem genügend Ressourcen für die multiprofessionelle Zusammenarbeit. Damit werden Voraussetzungen geschaffen für die Nutzung von diagnostischen und fachspezifischen Kompetenzen der Heilpädagogischen Fachpersonen (Schulische </w:t>
      </w:r>
      <w:proofErr w:type="spellStart"/>
      <w:r>
        <w:t>Heilpädagog:in</w:t>
      </w:r>
      <w:proofErr w:type="spellEnd"/>
      <w:r>
        <w:t xml:space="preserve">, </w:t>
      </w:r>
      <w:proofErr w:type="spellStart"/>
      <w:r>
        <w:t>Logopäd:in</w:t>
      </w:r>
      <w:proofErr w:type="spellEnd"/>
      <w:r>
        <w:t xml:space="preserve"> und </w:t>
      </w:r>
      <w:proofErr w:type="spellStart"/>
      <w:r>
        <w:t>Psychomotoriktherapeut:in</w:t>
      </w:r>
      <w:proofErr w:type="spellEnd"/>
      <w:r>
        <w:t xml:space="preserve">) für die Unterrichtsentwicklung. </w:t>
      </w:r>
    </w:p>
    <w:p w14:paraId="6138874A" w14:textId="77777777" w:rsidR="00D378E4" w:rsidRDefault="00D378E4" w:rsidP="00D378E4">
      <w:pPr>
        <w:pStyle w:val="Textkrper"/>
        <w:rPr>
          <w:b/>
          <w:bCs/>
        </w:rPr>
      </w:pPr>
      <w:r>
        <w:t xml:space="preserve">Im Fokus dieses Artikels steht die multiprofessionelle Zusammenarbeit zwischen </w:t>
      </w:r>
      <w:proofErr w:type="spellStart"/>
      <w:r>
        <w:t>Psychomotoriktherapeut:in</w:t>
      </w:r>
      <w:proofErr w:type="spellEnd"/>
      <w:r>
        <w:t xml:space="preserve"> und Lehrperson im Bereich Grafomotorik und Handschrifterwerb. Sie ist unter anderem auch Gegenstand des Forschungsprojekts «</w:t>
      </w:r>
      <w:proofErr w:type="spellStart"/>
      <w:r>
        <w:t>grafset</w:t>
      </w:r>
      <w:proofErr w:type="spellEnd"/>
      <w:r>
        <w:t>»</w:t>
      </w:r>
      <w:r>
        <w:rPr>
          <w:rStyle w:val="Funotenzeichen"/>
        </w:rPr>
        <w:footnoteReference w:id="3"/>
      </w:r>
      <w:r>
        <w:t xml:space="preserve">, </w:t>
      </w:r>
      <w:proofErr w:type="gramStart"/>
      <w:r>
        <w:t>das</w:t>
      </w:r>
      <w:proofErr w:type="gramEnd"/>
      <w:r>
        <w:t xml:space="preserve"> an der </w:t>
      </w:r>
      <w:proofErr w:type="spellStart"/>
      <w:r w:rsidRPr="005D7417">
        <w:rPr>
          <w:i/>
          <w:iCs/>
        </w:rPr>
        <w:t>PHBern</w:t>
      </w:r>
      <w:proofErr w:type="spellEnd"/>
      <w:r>
        <w:t xml:space="preserve"> durchgeführt und vom </w:t>
      </w:r>
      <w:r w:rsidRPr="005D7417">
        <w:rPr>
          <w:i/>
          <w:iCs/>
        </w:rPr>
        <w:t>Schweizer</w:t>
      </w:r>
      <w:r>
        <w:rPr>
          <w:i/>
          <w:iCs/>
        </w:rPr>
        <w:t>ischen</w:t>
      </w:r>
      <w:r w:rsidRPr="005D7417">
        <w:rPr>
          <w:i/>
          <w:iCs/>
        </w:rPr>
        <w:t xml:space="preserve"> Nationalfonds</w:t>
      </w:r>
      <w:r>
        <w:t xml:space="preserve"> </w:t>
      </w:r>
      <w:r w:rsidRPr="005D125C">
        <w:rPr>
          <w:i/>
        </w:rPr>
        <w:t>(SNF)</w:t>
      </w:r>
      <w:r>
        <w:t xml:space="preserve"> finanziert wird. Im </w:t>
      </w:r>
      <w:r>
        <w:lastRenderedPageBreak/>
        <w:t xml:space="preserve">Rahmen dieses Projektes wird Inklusion als Vision betrachtet, in deren Richtung wir uns bewegen können </w:t>
      </w:r>
      <w:r w:rsidRPr="009E753B">
        <w:t>b</w:t>
      </w:r>
      <w:r>
        <w:t xml:space="preserve">eziehungsweise sollen (Sahli Lozano et al., 2017). </w:t>
      </w:r>
    </w:p>
    <w:p w14:paraId="1221642E" w14:textId="0DE56E99" w:rsidR="00E422C1" w:rsidRPr="00C47704" w:rsidRDefault="00E422C1" w:rsidP="00E422C1">
      <w:pPr>
        <w:pStyle w:val="berschrift1"/>
      </w:pPr>
      <w:r w:rsidRPr="00C47704">
        <w:t xml:space="preserve">Rahmenmodell </w:t>
      </w:r>
      <w:r>
        <w:t>der</w:t>
      </w:r>
      <w:r w:rsidRPr="00C47704">
        <w:t xml:space="preserve"> Zusammenarbeit Lehrperson </w:t>
      </w:r>
      <w:r w:rsidR="00B65C8A">
        <w:sym w:font="Symbol" w:char="F02D"/>
      </w:r>
      <w:r w:rsidR="00B65C8A">
        <w:t xml:space="preserve"> </w:t>
      </w:r>
      <w:proofErr w:type="spellStart"/>
      <w:r w:rsidRPr="00C47704">
        <w:t>Psychomotoriktherapeut:in</w:t>
      </w:r>
      <w:proofErr w:type="spellEnd"/>
    </w:p>
    <w:p w14:paraId="260CEAEA" w14:textId="77777777" w:rsidR="00E422C1" w:rsidRDefault="00E422C1" w:rsidP="005A5A64">
      <w:pPr>
        <w:pStyle w:val="Textkrper"/>
        <w:ind w:firstLine="0"/>
      </w:pPr>
      <w:r>
        <w:t xml:space="preserve">Besuchen </w:t>
      </w:r>
      <w:proofErr w:type="spellStart"/>
      <w:proofErr w:type="gramStart"/>
      <w:r>
        <w:t>Schüler:innen</w:t>
      </w:r>
      <w:proofErr w:type="spellEnd"/>
      <w:proofErr w:type="gramEnd"/>
      <w:r>
        <w:t xml:space="preserve"> mit und ohne Beeinträchtigungen dieselbe Klasse, erfordert dies viel von der Lehrperson: Sie muss sowohl die Gemeinschaft der Klasse im Blick haben als auch die individuellen Voraussetzungen jedes einzelnen Kindes (Eckhart, 2010). Die Lehrperson verbindet ihre Beobachtungen mit dem fachdidaktischen und didaktischen </w:t>
      </w:r>
      <w:r>
        <w:rPr>
          <w:noProof/>
        </w:rPr>
        <w:t>Wissen</w:t>
      </w:r>
      <w:r>
        <w:t>. Oftmals unterscheiden sich die Fähigkeiten und Fertigkeiten der Kinder markant: Es hat Kinder in der Klasse, welche mit den Aufgaben und Materialien nicht abgeholt werden, weil sie damit über- oder unterfordert sind. Dies kann zu einer anspruchsvollen und möglicherweise für Lehrperson und Kinder unbefriedigenden Situation führen. Damit alle Kinder ihren Fähigkeiten und Fertigkeiten entsprechend gefördert werden können, ist die multiprofessionelle Zusammenarbeit zentral.</w:t>
      </w:r>
    </w:p>
    <w:p w14:paraId="589CE14F" w14:textId="326D8665" w:rsidR="00E422C1" w:rsidRDefault="00E422C1" w:rsidP="005A5A64">
      <w:pPr>
        <w:pStyle w:val="Textkrper"/>
      </w:pPr>
      <w:r>
        <w:t xml:space="preserve">Das Rahmenmodell in Abbildung 1 veranschaulicht, wie mittels </w:t>
      </w:r>
      <w:r w:rsidRPr="00DD4E2D">
        <w:t>multiprofessioneller Zusammenarbeit</w:t>
      </w:r>
      <w:r>
        <w:t xml:space="preserve"> das fachdidaktische und didaktische Wissen der Lehrperson (s. Abb. 1, linke Seite) mit dem Fachwissen aus der Psychomotorik (s</w:t>
      </w:r>
      <w:r w:rsidR="005054D0">
        <w:t>.</w:t>
      </w:r>
      <w:r w:rsidR="00D54F59">
        <w:t> </w:t>
      </w:r>
      <w:r>
        <w:t>Abb. 1, rechts unten)</w:t>
      </w:r>
      <w:r w:rsidRPr="00D007A6">
        <w:t xml:space="preserve"> </w:t>
      </w:r>
      <w:r>
        <w:t>verbunden werden muss. Dabei ist zu beachten, dass auch die multiprofessionelle Zusammenarbeit aufgebaut werden muss (s.</w:t>
      </w:r>
      <w:r w:rsidR="00CF4C63">
        <w:t> </w:t>
      </w:r>
      <w:r>
        <w:t xml:space="preserve">Abb. 1, rechts oben). Das Fachwissen aus der Psychomotorik beinhaltet erstens </w:t>
      </w:r>
      <w:r>
        <w:rPr>
          <w:noProof/>
        </w:rPr>
        <w:t>diagnostische</w:t>
      </w:r>
      <w:r>
        <w:t xml:space="preserve"> Kompetenzen, welche die Evaluation des Unterstützungsbedarfs eines Kindes ermöglichen. Zweitens umfasst es auch Wissen über die Entwicklung basaler grafomotorischer Kompetenzen. Es ist wichtig zu wissen, wie sich die Kompetenzen im Bereich der Grafomotorik entwickeln. Nur so können die schulischen Angebote für Kinder mit Schwierigkeiten angepasst werden. </w:t>
      </w:r>
    </w:p>
    <w:p w14:paraId="0EB22599" w14:textId="74AEBFE0" w:rsidR="00C26C38" w:rsidRPr="009850BA" w:rsidRDefault="00C26C38" w:rsidP="00C26C38">
      <w:pPr>
        <w:pStyle w:val="AbbildungBeschriftung"/>
        <w:rPr>
          <w:lang w:val="de-CH"/>
        </w:rPr>
      </w:pPr>
      <w:r w:rsidRPr="009850BA">
        <w:rPr>
          <w:lang w:val="de-CH"/>
        </w:rPr>
        <w:t xml:space="preserve">Abbildung 1: Rahmenmodell zur inklusiven multiprofessionellen Zusammenarbeit </w:t>
      </w:r>
      <w:r w:rsidRPr="00765D05">
        <w:rPr>
          <w:highlight w:val="yellow"/>
        </w:rPr>
        <w:fldChar w:fldCharType="begin"/>
      </w:r>
      <w:r w:rsidRPr="009850BA">
        <w:rPr>
          <w:highlight w:val="yellow"/>
          <w:lang w:val="de-CH"/>
        </w:rPr>
        <w:instrText xml:space="preserve"> ADDIN ZOTERO_ITEM CSL_CITATION {"citationID":"u0nBTQGz","properties":{"formattedCitation":"(S\\uc0\\u228{}gesser Wyss et al., 2021)","plainCitation":"(Sägesser Wyss et al., 2021)","noteIndex":0},"citationItems":[{"id":1168,"uris":["http://zotero.org/users/2809179/items/MC8W6C6S"],"itemData":{"id":1168,"type":"book","event-place":"Bern","publisher":"Hogrefe","publisher-place":"Bern","title":"GRAFINK. Grafomotorik und Inklusion.","author":[{"family":"Sägesser Wyss","given":"Judith"},{"family":"Sahli Lozano","given":"Caroline"},{"family":"Simovic","given":"Liana","suffix":"Joëlle"}],"issued":{"date-parts":[["2021"]]}}}],"schema":"https://github.com/citation-style-language/schema/raw/master/csl-citation.json"} </w:instrText>
      </w:r>
      <w:r w:rsidRPr="00765D05">
        <w:rPr>
          <w:highlight w:val="yellow"/>
        </w:rPr>
        <w:fldChar w:fldCharType="separate"/>
      </w:r>
      <w:r w:rsidRPr="009850BA">
        <w:rPr>
          <w:szCs w:val="24"/>
          <w:lang w:val="de-CH"/>
        </w:rPr>
        <w:t>(aus: GRAFINK; Sägesser Wyss et al., 2021)</w:t>
      </w:r>
      <w:r w:rsidRPr="00765D05">
        <w:rPr>
          <w:highlight w:val="yellow"/>
        </w:rPr>
        <w:fldChar w:fldCharType="end"/>
      </w:r>
    </w:p>
    <w:p w14:paraId="63592743" w14:textId="77777777" w:rsidR="00C26C38" w:rsidRDefault="00C26C38" w:rsidP="00C26C38">
      <w:r>
        <w:rPr>
          <w:noProof/>
          <w:lang w:val="nb-NO" w:eastAsia="nb-NO"/>
        </w:rPr>
        <w:drawing>
          <wp:inline distT="0" distB="0" distL="0" distR="0" wp14:anchorId="4520DCB5" wp14:editId="17991BC6">
            <wp:extent cx="5332780" cy="4209622"/>
            <wp:effectExtent l="0" t="0" r="1270" b="635"/>
            <wp:docPr id="2106135140" name="Grafik 2106135140" descr="Das Rahmenmodell zur inklusiven multiprofessionellen Zusammenarbeit besteht aus vier Teilen: &#10;1. Didaktik für den Unterricht mit heterogenen Klassen: Bewusste didaktische Gestaltung des Unterrichts ermöglicht Teilhabe aller Kinder am Lerngegenstand. &#10;2. Multiprofessionelle Zusammenarbeit: Gemeinsame Verantwortung und unterschiedliche fachliche Hintergründe ermöglichen spezifische Unterrichtsentwicklung.&#10;3. Fachdidaktische Grundlagen Handschrifterwerb: Alle Kinder profitieren von Erkenntnissen aus der fachspezifischen Forschung.&#10;4. Fachwissen Psychomotorik: Fachwissen betreffend grafomotorischer Förderung ermöglicht individuelle Anpassung im Alltag. &#10;Teil 1 und 2 sind Umsetzungs- und Handlungswissen, Teil 3 und 4 fachspezifisches und fachdidaktisches Wi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35140" name="Grafik 2106135140" descr="Das Rahmenmodell zur inklusiven multiprofessionellen Zusammenarbeit besteht aus vier Teilen: &#10;1. Didaktik für den Unterricht mit heterogenen Klassen: Bewusste didaktische Gestaltung des Unterrichts ermöglicht Teilhabe aller Kinder am Lerngegenstand. &#10;2. Multiprofessionelle Zusammenarbeit: Gemeinsame Verantwortung und unterschiedliche fachliche Hintergründe ermöglichen spezifische Unterrichtsentwicklung.&#10;3. Fachdidaktische Grundlagen Handschrifterwerb: Alle Kinder profitieren von Erkenntnissen aus der fachspezifischen Forschung.&#10;4. Fachwissen Psychomotorik: Fachwissen betreffend grafomotorischer Förderung ermöglicht individuelle Anpassung im Alltag. &#10;Teil 1 und 2 sind Umsetzungs- und Handlungswissen, Teil 3 und 4 fachspezifisches und fachdidaktisches Wissen."/>
                    <pic:cNvPicPr/>
                  </pic:nvPicPr>
                  <pic:blipFill>
                    <a:blip r:embed="rId14"/>
                    <a:stretch>
                      <a:fillRect/>
                    </a:stretch>
                  </pic:blipFill>
                  <pic:spPr>
                    <a:xfrm>
                      <a:off x="0" y="0"/>
                      <a:ext cx="5332780" cy="4209622"/>
                    </a:xfrm>
                    <a:prstGeom prst="rect">
                      <a:avLst/>
                    </a:prstGeom>
                  </pic:spPr>
                </pic:pic>
              </a:graphicData>
            </a:graphic>
          </wp:inline>
        </w:drawing>
      </w:r>
    </w:p>
    <w:p w14:paraId="6E441685" w14:textId="77777777" w:rsidR="00C26C38" w:rsidRPr="006B76C3" w:rsidRDefault="00C26C38" w:rsidP="00C26C38">
      <w:pPr>
        <w:pStyle w:val="Beschriftung"/>
        <w:rPr>
          <w:rFonts w:asciiTheme="minorHAnsi" w:hAnsiTheme="minorHAnsi" w:cstheme="minorHAnsi"/>
          <w:i w:val="0"/>
          <w:iCs w:val="0"/>
          <w:color w:val="auto"/>
          <w:sz w:val="16"/>
          <w:szCs w:val="16"/>
        </w:rPr>
      </w:pPr>
      <w:r w:rsidRPr="006B76C3">
        <w:rPr>
          <w:rStyle w:val="cf01"/>
          <w:rFonts w:asciiTheme="minorHAnsi" w:hAnsiTheme="minorHAnsi" w:cstheme="minorHAnsi"/>
          <w:i w:val="0"/>
          <w:iCs w:val="0"/>
          <w:color w:val="auto"/>
          <w:sz w:val="16"/>
          <w:szCs w:val="16"/>
        </w:rPr>
        <w:t>© Hogrefe AG, mit freundlicher Genehmigung des Hogrefe Verlages Bern</w:t>
      </w:r>
    </w:p>
    <w:p w14:paraId="320CE669" w14:textId="77777777" w:rsidR="006C05F0" w:rsidRDefault="006C05F0" w:rsidP="006C05F0">
      <w:pPr>
        <w:pStyle w:val="berschrift1"/>
      </w:pPr>
      <w:r w:rsidRPr="009A2F8F">
        <w:lastRenderedPageBreak/>
        <w:t>Entwicklungsorientierte Diagnostik am Beispiel von GRAFOS-2</w:t>
      </w:r>
    </w:p>
    <w:p w14:paraId="33F01D8A" w14:textId="314E13C3" w:rsidR="006C05F0" w:rsidRDefault="006C05F0" w:rsidP="006C05F0">
      <w:pPr>
        <w:pStyle w:val="Textkrper"/>
        <w:ind w:firstLine="0"/>
      </w:pPr>
      <w:r>
        <w:t xml:space="preserve">Eine Diagnostik im inklusiven Setting ist stets mehrperspektivisch und bedarf der Zusammenarbeit im multiprofessionellen Team (Schäfer &amp; Rittmeyer, 2021). Der Fokus dieser inklusiven Diagnostik liegt auf der Entwicklung gut angepasster Lernsituationen für alle Kinder, wodurch eine Einteilung der Kinder in verschiedene Kategorien vermieden werden kann (Eggert, 2007; Wocken, 2015). Entsprechend soll mittels Diagnostik im inklusiven Setting nicht bloss evaluiert </w:t>
      </w:r>
      <w:r>
        <w:rPr>
          <w:noProof/>
        </w:rPr>
        <w:t>werden</w:t>
      </w:r>
      <w:r>
        <w:t>, wer im Bereich der Psychomotorik «ein Problem» hat. Vielmehr soll festgestellt werden, welche Förderangebote in einem Fach bereitgestellt werden müssen, damit alle Kinder ihrer Entwicklung entsprechend lernen können (s</w:t>
      </w:r>
      <w:r w:rsidR="00CF4C63">
        <w:t>. </w:t>
      </w:r>
      <w:r>
        <w:t xml:space="preserve">Abb. 1, links). Obwohl die </w:t>
      </w:r>
      <w:proofErr w:type="spellStart"/>
      <w:proofErr w:type="gramStart"/>
      <w:r>
        <w:t>Psychomotoriktherapeut:innen</w:t>
      </w:r>
      <w:proofErr w:type="spellEnd"/>
      <w:proofErr w:type="gramEnd"/>
      <w:r>
        <w:t xml:space="preserve"> für den Bereich der Grafomotorik spezialisiert sind und allfällige diagnostische Verfahren durchführen, verantworten sie den diagnostischen Prozess gemeinsam mit den Lehrpersonen (s. Abb. 1, rechts). In die Planung des Unterrichts und das Festlegen von Förderschwerpunkten fliessen die Beobachtungen und Perspektiven aller Beteiligten ein. Ausgewählt</w:t>
      </w:r>
      <w:r w:rsidDel="00AE6FB4">
        <w:t xml:space="preserve"> </w:t>
      </w:r>
      <w:r>
        <w:t xml:space="preserve">werden diejenigen diagnostischen Instrumente, welche am besten zur Frage passen, die sich in Bezug auf die Unterstützung eines Kindes stellen. </w:t>
      </w:r>
    </w:p>
    <w:p w14:paraId="1DAA1758" w14:textId="08A6F6D9" w:rsidR="006C05F0" w:rsidRDefault="006C05F0" w:rsidP="006C05F0">
      <w:pPr>
        <w:pStyle w:val="Textkrper"/>
      </w:pPr>
      <w:r>
        <w:t>Das Instrument GRAFOS-2 ist ein Instrument zur Erfassung der grafomotorischen Entwicklung bei Kindern zwischen 4 und 9 Jahren (Sägesser Wyss et al., im Druck; Sägesser Wyss &amp; Eckhart, 2016). Der GRAFOS-2 unterstützt die multiprofessionelle Zusammenarbeit in der Diagnostik und Förderung im Bereich des Handschrifterwerbs und der grafomotorischen Förderung im Zyklus</w:t>
      </w:r>
      <w:r w:rsidR="004472CF">
        <w:t> </w:t>
      </w:r>
      <w:r>
        <w:t>1. Der GRAFOS</w:t>
      </w:r>
      <w:r w:rsidR="00A1761B">
        <w:t>-2</w:t>
      </w:r>
      <w:r>
        <w:t xml:space="preserve"> besteht aus drei Teilen: </w:t>
      </w:r>
    </w:p>
    <w:p w14:paraId="214E4723" w14:textId="77777777" w:rsidR="006C05F0" w:rsidRPr="00087D62" w:rsidRDefault="006C05F0" w:rsidP="00C348E0">
      <w:pPr>
        <w:pStyle w:val="Listennummer"/>
        <w:numPr>
          <w:ilvl w:val="0"/>
          <w:numId w:val="45"/>
        </w:numPr>
        <w:rPr>
          <w:lang w:val="de-CH"/>
        </w:rPr>
      </w:pPr>
      <w:r w:rsidRPr="00087D62">
        <w:rPr>
          <w:lang w:val="de-CH"/>
        </w:rPr>
        <w:t xml:space="preserve">Screening; </w:t>
      </w:r>
    </w:p>
    <w:p w14:paraId="530BDE15" w14:textId="77777777" w:rsidR="006C05F0" w:rsidRPr="009850BA" w:rsidRDefault="006C05F0" w:rsidP="00C348E0">
      <w:pPr>
        <w:pStyle w:val="Listennummer"/>
        <w:numPr>
          <w:ilvl w:val="0"/>
          <w:numId w:val="45"/>
        </w:numPr>
        <w:rPr>
          <w:lang w:val="de-CH"/>
        </w:rPr>
      </w:pPr>
      <w:r w:rsidRPr="009850BA">
        <w:rPr>
          <w:lang w:val="de-CH"/>
        </w:rPr>
        <w:t xml:space="preserve">Beobachtungsbogen für die Durchführung im Klassenzimmer; </w:t>
      </w:r>
    </w:p>
    <w:p w14:paraId="0953B9B4" w14:textId="34CFE135" w:rsidR="006C05F0" w:rsidRPr="009850BA" w:rsidRDefault="006C05F0" w:rsidP="00C348E0">
      <w:pPr>
        <w:pStyle w:val="Listennummer"/>
        <w:numPr>
          <w:ilvl w:val="0"/>
          <w:numId w:val="45"/>
        </w:numPr>
        <w:rPr>
          <w:lang w:val="de-CH"/>
        </w:rPr>
      </w:pPr>
      <w:r w:rsidRPr="009850BA">
        <w:rPr>
          <w:lang w:val="de-CH"/>
        </w:rPr>
        <w:t>Differentialdiagnostik für Kinder mit Schwierigkeiten und die Durchführung in der Einzelsituation.</w:t>
      </w:r>
    </w:p>
    <w:p w14:paraId="6C07DB58" w14:textId="630D6B4B" w:rsidR="006C05F0" w:rsidRDefault="006C05F0" w:rsidP="006C05F0">
      <w:pPr>
        <w:pStyle w:val="Textkrper"/>
        <w:ind w:firstLine="0"/>
      </w:pPr>
      <w:r>
        <w:t xml:space="preserve">Im Screening werden die Kinder aufgefordert, eine Aufgabe zu bearbeiten, die eingebunden ist in eine Tiergeschichte. Die Kinder zeichnen für ausgewählte Tiere spezifische Formen in einer Flagge </w:t>
      </w:r>
      <w:r w:rsidRPr="00FA4A8D">
        <w:t>(s.</w:t>
      </w:r>
      <w:r w:rsidR="008B1F85">
        <w:t> </w:t>
      </w:r>
      <w:r w:rsidRPr="00FA4A8D">
        <w:t>Abb</w:t>
      </w:r>
      <w:r w:rsidR="00D906DD">
        <w:t>.</w:t>
      </w:r>
      <w:r w:rsidR="004472CF">
        <w:t> </w:t>
      </w:r>
      <w:r w:rsidRPr="00FA4A8D">
        <w:t>2 und</w:t>
      </w:r>
      <w:r w:rsidR="004472CF">
        <w:t> </w:t>
      </w:r>
      <w:r w:rsidRPr="00FA4A8D">
        <w:t>3)</w:t>
      </w:r>
      <w:r>
        <w:t xml:space="preserve">. Diese Flaggen benötigen die Tiere für die Teilnahme an einem «Fest der Tiere». </w:t>
      </w:r>
    </w:p>
    <w:p w14:paraId="1889F608" w14:textId="77777777" w:rsidR="000E5C64" w:rsidRDefault="000E5C64" w:rsidP="000E5C64">
      <w:pPr>
        <w:pStyle w:val="AbbildungBeschriftung"/>
        <w:rPr>
          <w:lang w:val="de-CH"/>
        </w:rPr>
      </w:pPr>
      <w:r w:rsidRPr="009850BA">
        <w:rPr>
          <w:lang w:val="de-CH"/>
        </w:rPr>
        <w:t xml:space="preserve">Abbildung 2: </w:t>
      </w:r>
      <w:proofErr w:type="spellStart"/>
      <w:r w:rsidRPr="009850BA">
        <w:rPr>
          <w:lang w:val="de-CH"/>
        </w:rPr>
        <w:t>Screeningbogen</w:t>
      </w:r>
      <w:proofErr w:type="spellEnd"/>
      <w:r w:rsidRPr="009850BA">
        <w:rPr>
          <w:lang w:val="de-CH"/>
        </w:rPr>
        <w:t xml:space="preserve"> 1 (aus: GRAFOS-2; Sägesser Wyss et al., im Druck; Sägesser Wyss &amp; Eckhart, 2016)</w:t>
      </w:r>
    </w:p>
    <w:p w14:paraId="7FB05E14" w14:textId="77777777" w:rsidR="000E5C64" w:rsidRDefault="000E5C64" w:rsidP="000E5C64">
      <w:pPr>
        <w:rPr>
          <w:noProof/>
        </w:rPr>
      </w:pPr>
      <w:r w:rsidRPr="000F24BE">
        <w:rPr>
          <w:noProof/>
          <w:lang w:val="nb-NO" w:eastAsia="nb-NO"/>
        </w:rPr>
        <w:drawing>
          <wp:inline distT="0" distB="0" distL="0" distR="0" wp14:anchorId="75E6FAF9" wp14:editId="4E25FA98">
            <wp:extent cx="3825397" cy="2709521"/>
            <wp:effectExtent l="0" t="0" r="3810" b="0"/>
            <wp:docPr id="258286682" name="Grafik 258286682" descr="Ein Bild, das verschiedene Waldtiere enthält; eine Eule, einen Specht, einen Igel, einen Frosch, einen Fuchs, eine Spinne, eine Schnecke und eine Schildkröte. Bei jedem Tier hat es ein Feld mit kleinen Häuschen und einer vorgegebenen Form (Kreis, Dreieck, vertikaler Strich etc.) zum weiter ausfül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86682" name="Grafik 258286682" descr="Ein Bild, das verschiedene Waldtiere enthält; eine Eule, einen Specht, einen Igel, einen Frosch, einen Fuchs, eine Spinne, eine Schnecke und eine Schildkröte. Bei jedem Tier hat es ein Feld mit kleinen Häuschen und einer vorgegebenen Form (Kreis, Dreieck, vertikaler Strich etc.) zum weiter ausfüllen.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825397" cy="2709521"/>
                    </a:xfrm>
                    <a:prstGeom prst="rect">
                      <a:avLst/>
                    </a:prstGeom>
                    <a:noFill/>
                    <a:ln>
                      <a:noFill/>
                    </a:ln>
                  </pic:spPr>
                </pic:pic>
              </a:graphicData>
            </a:graphic>
          </wp:inline>
        </w:drawing>
      </w:r>
    </w:p>
    <w:p w14:paraId="692C7864" w14:textId="04189E07" w:rsidR="000E5C64" w:rsidRPr="00824C6D" w:rsidRDefault="000E5C64" w:rsidP="000E5C64">
      <w:pPr>
        <w:pStyle w:val="Beschriftung"/>
        <w:rPr>
          <w:rFonts w:asciiTheme="minorHAnsi" w:hAnsiTheme="minorHAnsi" w:cstheme="minorHAnsi"/>
          <w:i w:val="0"/>
          <w:iCs w:val="0"/>
          <w:highlight w:val="yellow"/>
        </w:rPr>
      </w:pPr>
      <w:r w:rsidRPr="00824C6D">
        <w:rPr>
          <w:rStyle w:val="cf01"/>
          <w:rFonts w:asciiTheme="minorHAnsi" w:hAnsiTheme="minorHAnsi" w:cstheme="minorHAnsi"/>
          <w:i w:val="0"/>
          <w:iCs w:val="0"/>
          <w:sz w:val="16"/>
        </w:rPr>
        <w:t>© Hogrefe AG, mit freundlicher Genehmigung des Hogrefe Verlages Bern</w:t>
      </w:r>
    </w:p>
    <w:p w14:paraId="6A1376EE" w14:textId="51393E34" w:rsidR="000E5C64" w:rsidRPr="009850BA" w:rsidRDefault="000E5C64" w:rsidP="000E5C64">
      <w:pPr>
        <w:pStyle w:val="AbbildungBeschriftung"/>
        <w:rPr>
          <w:lang w:val="de-CH"/>
        </w:rPr>
      </w:pPr>
      <w:r w:rsidRPr="009850BA">
        <w:rPr>
          <w:lang w:val="de-CH"/>
        </w:rPr>
        <w:lastRenderedPageBreak/>
        <w:t>Abbildun</w:t>
      </w:r>
      <w:r w:rsidR="006C1582">
        <w:rPr>
          <w:lang w:val="de-CH"/>
        </w:rPr>
        <w:t>g</w:t>
      </w:r>
      <w:r w:rsidR="00042278">
        <w:rPr>
          <w:lang w:val="de-CH"/>
        </w:rPr>
        <w:t xml:space="preserve"> </w:t>
      </w:r>
      <w:r w:rsidRPr="009850BA">
        <w:rPr>
          <w:lang w:val="de-CH"/>
        </w:rPr>
        <w:t xml:space="preserve">3: </w:t>
      </w:r>
      <w:proofErr w:type="spellStart"/>
      <w:r w:rsidRPr="009850BA">
        <w:rPr>
          <w:lang w:val="de-CH"/>
        </w:rPr>
        <w:t>Screeningbogen</w:t>
      </w:r>
      <w:proofErr w:type="spellEnd"/>
      <w:r w:rsidR="00042278">
        <w:rPr>
          <w:lang w:val="de-CH"/>
        </w:rPr>
        <w:t xml:space="preserve"> </w:t>
      </w:r>
      <w:r w:rsidRPr="009850BA">
        <w:rPr>
          <w:lang w:val="de-CH"/>
        </w:rPr>
        <w:t>2 (aus: GRAFOS-2; Sägesser et al., im Druck)</w:t>
      </w:r>
    </w:p>
    <w:p w14:paraId="07C68A2A" w14:textId="77777777" w:rsidR="000E5C64" w:rsidRDefault="000E5C64" w:rsidP="000E5C64">
      <w:r w:rsidRPr="004337E0">
        <w:rPr>
          <w:noProof/>
          <w:lang w:val="nb-NO" w:eastAsia="nb-NO"/>
        </w:rPr>
        <w:drawing>
          <wp:inline distT="0" distB="0" distL="0" distR="0" wp14:anchorId="120E8C98" wp14:editId="21F69A4B">
            <wp:extent cx="2874867" cy="4070565"/>
            <wp:effectExtent l="0" t="0" r="1905" b="6350"/>
            <wp:docPr id="1919395239" name="Grafik 1919395239" descr="Ein Bild, das verschiedene Tiere enthält; eine Biene, ein Biber, ein Waschbär, mehrere Fische. Bei jedem Tier hat es ein Feld mit kleinen Häuschen und einer vorgegebenen Form (Rhombus, liegende Acht, Tropfenform) zum weiter ausfül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95239" name="Grafik 1919395239" descr="Ein Bild, das verschiedene Tiere enthält; eine Biene, ein Biber, ein Waschbär, mehrere Fische. Bei jedem Tier hat es ein Feld mit kleinen Häuschen und einer vorgegebenen Form (Rhombus, liegende Acht, Tropfenform) zum weiter ausfüllen.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74867" cy="4070565"/>
                    </a:xfrm>
                    <a:prstGeom prst="rect">
                      <a:avLst/>
                    </a:prstGeom>
                    <a:noFill/>
                    <a:ln>
                      <a:noFill/>
                    </a:ln>
                  </pic:spPr>
                </pic:pic>
              </a:graphicData>
            </a:graphic>
          </wp:inline>
        </w:drawing>
      </w:r>
    </w:p>
    <w:p w14:paraId="66AF30D7" w14:textId="77777777" w:rsidR="000E5C64" w:rsidRPr="00323D3F" w:rsidRDefault="000E5C64" w:rsidP="000E5C64">
      <w:pPr>
        <w:pStyle w:val="Beschriftung"/>
        <w:rPr>
          <w:rFonts w:asciiTheme="minorHAnsi" w:hAnsiTheme="minorHAnsi" w:cstheme="minorHAnsi"/>
          <w:i w:val="0"/>
          <w:iCs w:val="0"/>
          <w:sz w:val="16"/>
          <w:szCs w:val="16"/>
        </w:rPr>
      </w:pPr>
      <w:r w:rsidRPr="00323D3F">
        <w:rPr>
          <w:rStyle w:val="cf01"/>
          <w:rFonts w:asciiTheme="minorHAnsi" w:hAnsiTheme="minorHAnsi" w:cstheme="minorHAnsi"/>
          <w:i w:val="0"/>
          <w:iCs w:val="0"/>
          <w:sz w:val="16"/>
          <w:szCs w:val="16"/>
        </w:rPr>
        <w:t>© Hogrefe AG, mit freundlicher Genehmigung des Hogrefe Verlages Bern</w:t>
      </w:r>
    </w:p>
    <w:p w14:paraId="7353D685" w14:textId="46E99470" w:rsidR="00F23865" w:rsidRDefault="00F23865" w:rsidP="00F23865">
      <w:pPr>
        <w:pStyle w:val="Textkrper"/>
        <w:ind w:firstLine="0"/>
      </w:pPr>
      <w:r>
        <w:t xml:space="preserve">Beim </w:t>
      </w:r>
      <w:proofErr w:type="spellStart"/>
      <w:r>
        <w:t>Screeningbogen</w:t>
      </w:r>
      <w:proofErr w:type="spellEnd"/>
      <w:r w:rsidR="00E35CA3">
        <w:t> </w:t>
      </w:r>
      <w:r>
        <w:t>1 (s.</w:t>
      </w:r>
      <w:r w:rsidR="00042278">
        <w:t> </w:t>
      </w:r>
      <w:r>
        <w:t>Abb.</w:t>
      </w:r>
      <w:r w:rsidR="00E35CA3">
        <w:t> </w:t>
      </w:r>
      <w:r>
        <w:t xml:space="preserve">2) zeichnen alle Kinder kleine Grundelemente der Schrift, zum </w:t>
      </w:r>
      <w:r w:rsidRPr="00984DF6">
        <w:t>Beispiel einen Kreis, ein Dreieck oder ein Viereck.</w:t>
      </w:r>
      <w:r>
        <w:t xml:space="preserve"> Zusätzlich zeichnen </w:t>
      </w:r>
      <w:proofErr w:type="spellStart"/>
      <w:proofErr w:type="gramStart"/>
      <w:r>
        <w:t>Schüler:innen</w:t>
      </w:r>
      <w:proofErr w:type="spellEnd"/>
      <w:proofErr w:type="gramEnd"/>
      <w:r>
        <w:t xml:space="preserve"> aus der ersten und zweiten Klasse auf dem </w:t>
      </w:r>
      <w:proofErr w:type="spellStart"/>
      <w:r>
        <w:t>Screeningbogen</w:t>
      </w:r>
      <w:proofErr w:type="spellEnd"/>
      <w:r w:rsidR="00E35CA3">
        <w:t> </w:t>
      </w:r>
      <w:r>
        <w:t>2 (s.</w:t>
      </w:r>
      <w:r w:rsidR="00E35CA3">
        <w:t> </w:t>
      </w:r>
      <w:r>
        <w:t>Abb.</w:t>
      </w:r>
      <w:r w:rsidR="00E35CA3">
        <w:t> </w:t>
      </w:r>
      <w:r>
        <w:t xml:space="preserve">3) etwas komplexere geometrische Formen </w:t>
      </w:r>
      <w:r w:rsidRPr="00FA469D">
        <w:t xml:space="preserve">wie </w:t>
      </w:r>
      <w:r>
        <w:t>zum Beispiel einen Rhombus und eine liegende Acht. Die Formen werden bewusst klein gezeichnet, damit die wichtigsten Vorläuferfertigkeiten für das Schreiben von Hand, die Feinmotorik und die visuomotorische Integration</w:t>
      </w:r>
      <w:r w:rsidR="00EC6653">
        <w:t>,</w:t>
      </w:r>
      <w:r>
        <w:t xml:space="preserve"> erfasst werden können </w:t>
      </w:r>
      <w:r>
        <w:fldChar w:fldCharType="begin"/>
      </w:r>
      <w:r>
        <w:instrText xml:space="preserve"> ADDIN ZOTERO_ITEM CSL_CITATION {"citationID":"WXC6NKNm","properties":{"formattedCitation":"(z.B. Cameron et al., 2015)","plainCitation":"(z.B. Cameron et al., 2015)","noteIndex":0},"citationItems":[{"id":1104,"uris":["http://zotero.org/users/2809179/items/RW527LMU"],"itemData":{"id":1104,"type":"article-journal","abstract":"Visuomotor integration (VMI), or the ability to copy designs, and 2 measures of executive function were examined in a predominantly low-income, typically developing sample of children (n = 467, mean age 4.2 years) from 5 U.S. states. In regression models controlling for age and demographic variables, we tested the interaction between visuomotor integration (design copying) and inhibitory control (pencil-tap) or verbal working memory (digit span) on 4 directly assessed academic skills and teacher-reported approaches to learning. Compared with children with both poor visuomotor integration and low inhibitory control, those on the higher end of the continuum in at least 1 of these 2 skills performed better across several dependent variables. This compensatory pattern was evident for longitudinal improvement in print knowledge on the Test of Preschool Early Literacy (TOPEL), with similar though marginally significant findings for improvement in phonological awareness (TOPEL) and teacher-rated approaches to learning on the Preschool Learning Behaviors Scale (PLBS). Of note, the same compensatory pattern emerged for concurrently measured receptive vocabulary on the Peabody Picture Vocabulary Test (PPVT), expressive vocabulary on the Woodcock-Johnson III (WJ), TOPEL phonological awareness, and teacher-rated approaches to learning. The consistent pattern of results suggests that strong visuomotor integration skills are an important part of school readiness, and merit further study. (PsycInfo Database Record (c) 2022 APA, all rights reserved)","container-title":"Developmental Psychology","DOI":"10.1037/a0039740","ISSN":"1939-0599","note":"publisher-place: US\npublisher: American Psychological Association","page":"1529-1543","source":"APA PsycNet","title":"Visuomotor integration and inhibitory control compensate for each other in school readiness","volume":"51","author":[{"family":"Cameron","given":"Claire E."},{"family":"Brock","given":"Laura L."},{"family":"Hatfield","given":"Bridget E."},{"family":"Cottone","given":"Elizabeth A."},{"family":"Rubinstein","given":"Elise"},{"family":"LoCasale-Crouch","given":"Jennifer"},{"family":"Grissmer","given":"David W."}],"issued":{"date-parts":[["2015"]]}},"label":"page","prefix":"z.B."}],"schema":"https://github.com/citation-style-language/schema/raw/master/csl-citation.json"} </w:instrText>
      </w:r>
      <w:r>
        <w:fldChar w:fldCharType="separate"/>
      </w:r>
      <w:r>
        <w:t>(Cameron et al., 2015)</w:t>
      </w:r>
      <w:r>
        <w:fldChar w:fldCharType="end"/>
      </w:r>
      <w:r>
        <w:t xml:space="preserve">. </w:t>
      </w:r>
    </w:p>
    <w:p w14:paraId="35D6662A" w14:textId="77777777" w:rsidR="006C6593" w:rsidRPr="009850BA" w:rsidRDefault="00F23865" w:rsidP="006C6593">
      <w:pPr>
        <w:pStyle w:val="WichtigBox"/>
        <w:ind w:firstLine="0"/>
        <w:rPr>
          <w:lang w:val="de-CH"/>
        </w:rPr>
      </w:pPr>
      <w:r w:rsidRPr="009850BA">
        <w:rPr>
          <w:lang w:val="de-CH"/>
        </w:rPr>
        <w:t xml:space="preserve">Visuomotorische Integration: </w:t>
      </w:r>
    </w:p>
    <w:p w14:paraId="7259ABFE" w14:textId="403E6C88" w:rsidR="00F23865" w:rsidRPr="009850BA" w:rsidRDefault="00F23865" w:rsidP="006C6593">
      <w:pPr>
        <w:pStyle w:val="WichtigBox"/>
        <w:ind w:firstLine="0"/>
        <w:rPr>
          <w:lang w:val="de-CH"/>
        </w:rPr>
      </w:pPr>
      <w:r w:rsidRPr="006C6593">
        <w:rPr>
          <w:lang w:val="de-CH"/>
        </w:rPr>
        <w:t xml:space="preserve">Das Zusammenspiel von Auge und Hand wird oft als </w:t>
      </w:r>
      <w:r w:rsidRPr="006C6593">
        <w:rPr>
          <w:i/>
          <w:iCs/>
          <w:lang w:val="de-CH"/>
        </w:rPr>
        <w:t>Auge-Hand-Koordination</w:t>
      </w:r>
      <w:r w:rsidRPr="006C6593">
        <w:rPr>
          <w:lang w:val="de-CH"/>
        </w:rPr>
        <w:t xml:space="preserve"> bezeichnet. </w:t>
      </w:r>
      <w:r w:rsidRPr="009850BA">
        <w:rPr>
          <w:lang w:val="de-CH"/>
        </w:rPr>
        <w:t xml:space="preserve">Visuomotorische Integration beinhaltet dieses Zusammenspiel und zusätzlich die mentale Repräsentation einer Form oder eines Buchstabens. Das Kind muss ein inneres Bild einer Form entwickeln und dann seine Bewegung so planen und ausführen, dass es die vorgestellte Form auf dem Papier abbildet </w:t>
      </w:r>
      <w:r>
        <w:fldChar w:fldCharType="begin"/>
      </w:r>
      <w:r w:rsidRPr="009850BA">
        <w:rPr>
          <w:lang w:val="de-CH"/>
        </w:rPr>
        <w:instrText xml:space="preserve"> ADDIN ZOTERO_ITEM CSL_CITATION {"citationID":"e6mV1ts4","properties":{"formattedCitation":"(Beery et al., 2010)","plainCitation":"(Beery et al., 2010)","noteIndex":0},"citationItems":[{"id":794,"uris":["http://zotero.org/users/2809179/items/YT6WLDP8"],"itemData":{"id":794,"type":"book","edition":"6","event-place":"San Antonis TX","publisher":"Pearson","publisher-place":"San Antonis TX","title":"Beery-Buktenica Developmental Test of Visual-Motor Integration (Beery VMI)","author":[{"family":"Beery","given":"K.E."},{"family":"Buktenica","given":"N.A."},{"family":"Beery","given":"N.A."}],"issued":{"date-parts":[["2010"]]}}}],"schema":"https://github.com/citation-style-language/schema/raw/master/csl-citation.json"} </w:instrText>
      </w:r>
      <w:r>
        <w:fldChar w:fldCharType="separate"/>
      </w:r>
      <w:r w:rsidRPr="009850BA">
        <w:rPr>
          <w:lang w:val="de-CH"/>
        </w:rPr>
        <w:t>(Beery et al., 2010)</w:t>
      </w:r>
      <w:r>
        <w:fldChar w:fldCharType="end"/>
      </w:r>
      <w:r w:rsidRPr="009850BA">
        <w:rPr>
          <w:lang w:val="de-CH"/>
        </w:rPr>
        <w:t xml:space="preserve">. Die visuomotorische Integration und die Feinmotorik sind nicht nur für die grafomotorische Entwicklung wichtig. Sie spielen auch im Hinblick auf das Erlangen allgemein sprachlicher und mathematischer Fertigkeiten eine grosse Rolle </w:t>
      </w:r>
      <w:r>
        <w:fldChar w:fldCharType="begin"/>
      </w:r>
      <w:r w:rsidRPr="009850BA">
        <w:rPr>
          <w:lang w:val="de-CH"/>
        </w:rPr>
        <w:instrText xml:space="preserve"> ADDIN ZOTERO_ITEM CSL_CITATION {"citationID":"wEVnjUeh","properties":{"formattedCitation":"(McClelland &amp; Cameron, 2019)","plainCitation":"(McClelland &amp; Cameron, 2019)","noteIndex":0},"citationItems":[{"id":510,"uris":["http://zotero.org/users/2809179/items/3HJ4UWYJ"],"itemData":{"id":510,"type":"article-journal","abstract":"A considerable body of research indicates that children’s executive function (EF) skills and related school readiness constructs are important for early learning and long-term academic success. This review focuses on EF and a related construct, motor skills with a focus on visuomotor integration, as being foundational for learning, and describes how these skills codevelop in young children in bidirectional and synergistic ways. The review discusses de</w:instrText>
      </w:r>
      <w:r>
        <w:instrText>ﬁ</w:instrText>
      </w:r>
      <w:r w:rsidRPr="009850BA">
        <w:rPr>
          <w:lang w:val="de-CH"/>
        </w:rPr>
        <w:instrText xml:space="preserve">nitional and conceptual issues, connects EF and visuomotor integration to relevant theoretical perspectives, discusses measurement issues and advancements, and reviews intervention evidence to support the malleability of these skills in young children. Discussion emphasizes how these skills develop together and suggests that research examining children’s learning from a codevelopment perspective can help promote children’s health and well-being.","container-title":"Early Childhood Research Quarterly","DOI":"10.1016/j.ecresq.2018.03.014","ISSN":"08852006","journalAbbreviation":"Early Childhood Research Quarterly","language":"en","page":"142-151","source":"DOI.org (Crossref)","title":"Developing together: The role of executive function and motor skills in children’s early academic lives","title-short":"Developing together","volume":"46","author":[{"family":"McClelland","given":"Megan M."},{"family":"Cameron","given":"Claire E."}],"issued":{"date-parts":[["2019"]]}}}],"schema":"https://github.com/citation-style-language/schema/raw/master/csl-citation.json"} </w:instrText>
      </w:r>
      <w:r>
        <w:fldChar w:fldCharType="separate"/>
      </w:r>
      <w:r w:rsidRPr="009850BA">
        <w:rPr>
          <w:lang w:val="de-CH"/>
        </w:rPr>
        <w:t>(McClelland &amp; Cameron, 2019)</w:t>
      </w:r>
      <w:r>
        <w:fldChar w:fldCharType="end"/>
      </w:r>
      <w:r w:rsidRPr="009850BA">
        <w:rPr>
          <w:lang w:val="de-CH"/>
        </w:rPr>
        <w:t>.</w:t>
      </w:r>
    </w:p>
    <w:p w14:paraId="3D7A8233" w14:textId="77777777" w:rsidR="00505783" w:rsidRDefault="00505783" w:rsidP="00070B1E">
      <w:pPr>
        <w:pStyle w:val="Textkrper"/>
        <w:ind w:firstLine="0"/>
      </w:pPr>
      <w:r>
        <w:t>Die Durchführung, Auswertung und Interpretation des GRAFOS-2 erfolgen standardisiert, das heisst nach vorgegebenen Regeln. Dies ist notwendig, damit die grafomotorischen Leistungen der Kinder verglichen und anhand der Normtabelle in den grafomotorischen Entwicklungsverlauf eingeordnet werden können. Der Bezug zur Entwicklung bildet die Grundlage für die Entwicklung von Förderangeboten. Ergänzt wird das Screening durch einen Beobachtungsbogen, welcher das gezielte Beobachten des Schreib- und Zeichenprozesses unterstützt. Es handelt sich um die Aspekte:</w:t>
      </w:r>
    </w:p>
    <w:p w14:paraId="1FE1A9E8" w14:textId="77777777" w:rsidR="00505783" w:rsidRDefault="00505783" w:rsidP="00505783">
      <w:pPr>
        <w:pStyle w:val="Liste"/>
      </w:pPr>
      <w:r w:rsidRPr="00B54487">
        <w:rPr>
          <w:i/>
          <w:iCs/>
        </w:rPr>
        <w:t>Leserlichkeit</w:t>
      </w:r>
      <w:r>
        <w:t>: Genauigkeit der Formwiedergabe;</w:t>
      </w:r>
    </w:p>
    <w:p w14:paraId="2F3FF8C8" w14:textId="77777777" w:rsidR="00505783" w:rsidRDefault="00505783" w:rsidP="00505783">
      <w:pPr>
        <w:pStyle w:val="Liste"/>
      </w:pPr>
      <w:r w:rsidRPr="00B54487">
        <w:rPr>
          <w:i/>
          <w:iCs/>
        </w:rPr>
        <w:t>Geläufigkeit</w:t>
      </w:r>
      <w:r>
        <w:t xml:space="preserve">: Beobachtung der Koordination während des Schreibprozesses. </w:t>
      </w:r>
    </w:p>
    <w:p w14:paraId="68C227C5" w14:textId="689F7F68" w:rsidR="00B23EE5" w:rsidRDefault="00505783" w:rsidP="00B23EE5">
      <w:pPr>
        <w:pStyle w:val="Textkrper"/>
        <w:ind w:firstLine="0"/>
      </w:pPr>
      <w:r>
        <w:lastRenderedPageBreak/>
        <w:t>Beide Aspekte werden mit dem GRAFOS-2 evaluiert, denn sie sind wichtig für die spätere Handschrift (</w:t>
      </w:r>
      <w:proofErr w:type="spellStart"/>
      <w:r>
        <w:t>Odersky</w:t>
      </w:r>
      <w:proofErr w:type="spellEnd"/>
      <w:r>
        <w:t>, 2018; Speck-</w:t>
      </w:r>
      <w:proofErr w:type="spellStart"/>
      <w:r>
        <w:t>Hamdam</w:t>
      </w:r>
      <w:proofErr w:type="spellEnd"/>
      <w:r>
        <w:t xml:space="preserve"> et al., 2016). Im Idealfall diskutiert das multiprofessionelle Team die Ergebnisse des Screenings und des Beobachtungsbogens und zieht Schlüsse für notwendige Angebote im Handschriftunterricht. </w:t>
      </w:r>
    </w:p>
    <w:p w14:paraId="0447473A" w14:textId="1B997249" w:rsidR="00505783" w:rsidRDefault="00505783" w:rsidP="00B23EE5">
      <w:pPr>
        <w:pStyle w:val="Textkrper"/>
      </w:pPr>
      <w:r w:rsidRPr="00C348E0">
        <w:rPr>
          <w:spacing w:val="-2"/>
        </w:rPr>
        <w:t xml:space="preserve">Nachfolgend zeigen wir anhand des Handschrifterwerbs auf, welche Möglichkeiten der Unterrichtsentwicklung und </w:t>
      </w:r>
      <w:r>
        <w:t xml:space="preserve">-gestaltung sich durch die Zusammenarbeit von </w:t>
      </w:r>
      <w:proofErr w:type="spellStart"/>
      <w:r>
        <w:t>Psychomotoriktherapeut:in</w:t>
      </w:r>
      <w:proofErr w:type="spellEnd"/>
      <w:r>
        <w:t xml:space="preserve"> und Lehrperson ergeben können. </w:t>
      </w:r>
    </w:p>
    <w:p w14:paraId="4A82C7A4" w14:textId="77777777" w:rsidR="002D59D1" w:rsidRDefault="002D59D1" w:rsidP="002D59D1">
      <w:pPr>
        <w:pStyle w:val="berschrift1"/>
      </w:pPr>
      <w:r>
        <w:t>Fallbeispiel Kim</w:t>
      </w:r>
    </w:p>
    <w:p w14:paraId="1631AF47" w14:textId="615398C1" w:rsidR="002D59D1" w:rsidRDefault="002D59D1" w:rsidP="00A05E25">
      <w:pPr>
        <w:pStyle w:val="Textkrper"/>
        <w:ind w:firstLine="0"/>
      </w:pPr>
      <w:r>
        <w:t xml:space="preserve">Kim besucht die erste Klasse und das Schreibenlernen ist zentral. Während die anderen Kinder mit Freude die ersten Worte und Sätze schreiben, zieht sich Kim immer mehr zurück. Kim macht es keinen Spass zu schreiben, wenn Kim die Buchstaben nicht so formen kann, dass andere sie lesen können. Kim kann sich nicht wie gewollt schriftlich ausdrücken. Es gelingt Kim noch nicht, die Grundformen der Schrift und damit verbunden auch die Buchstaben zu zeichnen. </w:t>
      </w:r>
    </w:p>
    <w:p w14:paraId="0B1E0253" w14:textId="005DC83B" w:rsidR="002D59D1" w:rsidRDefault="002D59D1" w:rsidP="002D59D1">
      <w:pPr>
        <w:pStyle w:val="Textkrper"/>
      </w:pPr>
      <w:r>
        <w:t xml:space="preserve">Ein entwicklungsorientiertes Vorgehen ist bei Kim wichtig. Im Screening gelingt es Kim, die Striche waagrecht und senkrecht zu zeichnen sowie den Kreis und das Viereck abzuzeichnen. Die Bögen, die oben oder unten offen sind, und das Dreieck gelingen Kim allerdings noch nicht. Auch das Abzeichnen der schwierigeren Formen auf dem </w:t>
      </w:r>
      <w:proofErr w:type="spellStart"/>
      <w:r>
        <w:t>Screeningbogen</w:t>
      </w:r>
      <w:proofErr w:type="spellEnd"/>
      <w:r w:rsidR="00B0701A">
        <w:t xml:space="preserve"> </w:t>
      </w:r>
      <w:r>
        <w:t xml:space="preserve">2, welcher für Kim als Schulkind zum Screening gehört, bereiten Kim Mühe. Die Lehrperson und die schulische Heilpädagogin beobachten den Schreibprozess. Sie erkennen, dass Kim generell beim Schreiben mit sehr viel Druck arbeitet und die Finger nicht bewegt. Die Bewegung wird aus der Schulter und teilweise aus dem Handgelenk gesteuert. </w:t>
      </w:r>
      <w:r w:rsidRPr="0063092A">
        <w:t>Im multiprofessionellen Team werden Analysen und Beobachtungen besprochen und es wird diskutiert, wie das Kind inklusiv, d</w:t>
      </w:r>
      <w:r>
        <w:t xml:space="preserve">as </w:t>
      </w:r>
      <w:r w:rsidRPr="0063092A">
        <w:t>h</w:t>
      </w:r>
      <w:r>
        <w:t>eisst</w:t>
      </w:r>
      <w:r w:rsidRPr="0063092A">
        <w:t xml:space="preserve"> im Klassenverband, gefördert werden kann.</w:t>
      </w:r>
      <w:r>
        <w:t xml:space="preserve"> </w:t>
      </w:r>
    </w:p>
    <w:p w14:paraId="194BE13A" w14:textId="21B48DB1" w:rsidR="002D59D1" w:rsidRDefault="00755BEC" w:rsidP="00755BEC">
      <w:pPr>
        <w:pStyle w:val="Textkrper"/>
      </w:pPr>
      <w:r w:rsidRPr="00CE3D04">
        <w:rPr>
          <w:noProof/>
          <w:lang w:eastAsia="de-DE"/>
        </w:rPr>
        <mc:AlternateContent>
          <mc:Choice Requires="wps">
            <w:drawing>
              <wp:anchor distT="45720" distB="45720" distL="46990" distR="46990" simplePos="0" relativeHeight="251658240" behindDoc="0" locked="0" layoutInCell="1" allowOverlap="0" wp14:anchorId="6663AEAF" wp14:editId="31AB24FC">
                <wp:simplePos x="0" y="0"/>
                <wp:positionH relativeFrom="page">
                  <wp:posOffset>0</wp:posOffset>
                </wp:positionH>
                <wp:positionV relativeFrom="paragraph">
                  <wp:posOffset>1301115</wp:posOffset>
                </wp:positionV>
                <wp:extent cx="5175250" cy="510540"/>
                <wp:effectExtent l="0" t="0" r="0" b="3810"/>
                <wp:wrapTopAndBottom/>
                <wp:docPr id="11" name="Textfeld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1C5DEBCA" w14:textId="2405BAFF" w:rsidR="00D9469F" w:rsidRPr="00D9469F" w:rsidRDefault="00D9469F" w:rsidP="00D9469F">
                            <w:pPr>
                              <w:pStyle w:val="Hervorhebung1"/>
                              <w:rPr>
                                <w:lang w:val="de-DE"/>
                              </w:rPr>
                            </w:pPr>
                            <w:r>
                              <w:rPr>
                                <w:lang w:val="de-DE"/>
                              </w:rPr>
                              <w:t>Im Team werden Analysen und Beobachtungen besprochen und es wird diskutiert, wie das Kind inklusiv gefördert werden kann.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63AEAF" id="_x0000_t202" coordsize="21600,21600" o:spt="202" path="m,l,21600r21600,l21600,xe">
                <v:stroke joinstyle="miter"/>
                <v:path gradientshapeok="t" o:connecttype="rect"/>
              </v:shapetype>
              <v:shape id="Textfeld 11" o:spid="_x0000_s1026" type="#_x0000_t202" alt="&quot;&quot;" style="position:absolute;left:0;text-align:left;margin-left:0;margin-top:102.45pt;width:40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" o:allowoverlap="f" filled="f" stroked="f">
                <v:textbox inset="29mm,,2.5mm">
                  <w:txbxContent>
                    <w:p w14:paraId="1C5DEBCA" w14:textId="2405BAFF" w:rsidR="00D9469F" w:rsidRPr="00D9469F" w:rsidRDefault="00D9469F" w:rsidP="00D9469F">
                      <w:pPr>
                        <w:pStyle w:val="Hervorhebung1"/>
                        <w:rPr>
                          <w:lang w:val="de-DE"/>
                        </w:rPr>
                      </w:pPr>
                      <w:r>
                        <w:rPr>
                          <w:lang w:val="de-DE"/>
                        </w:rPr>
                        <w:t>Im Team werden Analysen und Beobachtungen besprochen und es wird diskutiert, wie das Kind inklusiv gefördert werden kann.</w:t>
                      </w:r>
                    </w:p>
                  </w:txbxContent>
                </v:textbox>
                <w10:wrap type="topAndBottom" anchorx="page"/>
              </v:shape>
            </w:pict>
          </mc:Fallback>
        </mc:AlternateContent>
      </w:r>
      <w:r w:rsidR="002D59D1">
        <w:t>Ausgehend von den Ergebnissen des Screenings wurde bei Kim das Zeichnen der Diagonalen als nächste Stufe in der Entwicklung der Formwiedergabe identifiziert. Es wird nun eine entsprechende Lerngelegenheit für alle Kinder entwickelt. Dafür werden Grundformen, Buchstaben oder Wörter</w:t>
      </w:r>
      <w:r w:rsidR="002D59D1" w:rsidRPr="00906768">
        <w:t xml:space="preserve"> </w:t>
      </w:r>
      <w:r w:rsidR="002D59D1">
        <w:t xml:space="preserve">hinzugezogen, welche Diagonalen enthalten. Die Buchstaben werden also in dieser Handschriftlektion nicht nach schriftsprachlichen, sondern nach grafomotorischen Kriterien gruppiert: Diejenigen Grundformen und Buchstaben, welche dieselben Bewegungsabläufe erfordern, bilden eine Gruppe (Sägesser Wyss et al., 2021). </w:t>
      </w:r>
    </w:p>
    <w:p w14:paraId="0F0C34F5" w14:textId="2AF0677F" w:rsidR="002D59D1" w:rsidRDefault="002D59D1" w:rsidP="00755BEC">
      <w:pPr>
        <w:pStyle w:val="Textkrper"/>
        <w:ind w:firstLine="0"/>
      </w:pPr>
      <w:r>
        <w:t xml:space="preserve">Zudem soll in jeder Lektion an der Körperwahrnehmung gearbeitet werden. Sich am eigenen Körper zu orientieren ist die Grundlage, um Bewegungen erfolgreich planen und ausführen zu können. Auch wird das Kreuz als Thema in den Unterricht aufgenommen. Die Kinder erforschen beim bewegten Einstieg in die Lektion, wie sie allein oder in einer Gruppe mit ihren Körpern oder Körperteilen ein Kreuz bilden. Anschliessend arbeiten die Kinder kooperativ an verschiedenen Posten an den Bewegungsabläufen der einzelnen Formen, Buchstaben oder Wörter. Damit möglichst viele Kinder den Zugang zu den Formabläufen finden, werden bei verschiedenen Posten unterschiedliche Sinne angesprochen (z. B. Ertasten von Buchstaben). Den Abschluss der Lektion bildet eine kurze Reflexion. Jedes Kind überlegt sich, was heute gelungen ist und was es als Nächstes lernen möchte (ebd.). Einige Kinder brauchen bei der Selbstreflexion etwas Unterstützung. Da Kims Klasse auch in anderen Fächern zu Reflexionen angeregt wird und die Kinder darin unterstützt werden, eigene Fortschritte zu erkennen, verstehen die Kinder den Auftrag bald. Das Erkennen der individuellen Fortschritte ist äusserst wichtig, um die Motivation aufrechtzuerhalten. Bei Kindern wie Kim ist dies besonders </w:t>
      </w:r>
      <w:r>
        <w:rPr>
          <w:noProof/>
        </w:rPr>
        <w:t>zentral</w:t>
      </w:r>
      <w:r>
        <w:t>, damit sie ermutigt bleiben, die Handschrift zu lernen.</w:t>
      </w:r>
    </w:p>
    <w:p w14:paraId="62584809" w14:textId="3982841B" w:rsidR="002D59D1" w:rsidRDefault="002D59D1" w:rsidP="00AE034C">
      <w:pPr>
        <w:pStyle w:val="Textkrper"/>
      </w:pPr>
      <w:r>
        <w:t xml:space="preserve">Das multiprofessionelle Team kommt gemeinsam mit den Eltern zum Schluss, dass es gut wäre, Kims Grundlagen für das grafomotorische Lernen noch besser zu kennen. Dies, weil die Kraftanpassung der Finger- und Handmuskulatur an den Stift und die Unterlage noch nicht gelingt, </w:t>
      </w:r>
      <w:proofErr w:type="gramStart"/>
      <w:r>
        <w:t>das</w:t>
      </w:r>
      <w:proofErr w:type="gramEnd"/>
      <w:r>
        <w:t xml:space="preserve"> (feinmotorische) Bewegen des Stifts schwerfällt, Kim manchmal fast vom Stuhl fällt und der ganze Körper während des Schreibens unruhig ist. Entsprechend wird die </w:t>
      </w:r>
      <w:proofErr w:type="spellStart"/>
      <w:r>
        <w:lastRenderedPageBreak/>
        <w:t>Psychomotoriktherapeutin</w:t>
      </w:r>
      <w:proofErr w:type="spellEnd"/>
      <w:r>
        <w:t xml:space="preserve"> beauftragt, die GRAFOS-2-Differentialdiagnostik durchzuführen. Währenddessen beobachten die Lehrperson und die Heilpädagogin, ob es Situationen gibt, in denen Kims grafomotorische Fertigkeiten besser oder schlechter sind, die Bewegungsunruhe stärker oder schwächer ist. </w:t>
      </w:r>
    </w:p>
    <w:p w14:paraId="6FD0617A" w14:textId="7C8F51D4" w:rsidR="002D59D1" w:rsidRDefault="002D59D1" w:rsidP="002D59D1">
      <w:pPr>
        <w:pStyle w:val="Textkrper"/>
      </w:pPr>
      <w:r>
        <w:t xml:space="preserve">Im Rahmen der Differentialdiagnostik des GRAFOS-2 findet nun «das Fest der Tiere» statt, wofür die Kinder im Screening die Fahnen gezeichnet haben. Kim ist sehr motiviert und kann sich die Tiere sowie ihre Formen gut merken (die Formen in den </w:t>
      </w:r>
      <w:proofErr w:type="spellStart"/>
      <w:r>
        <w:t>Screeningbögen</w:t>
      </w:r>
      <w:proofErr w:type="spellEnd"/>
      <w:r>
        <w:t>). Die Ergebnisse zeigen, dass Kim schon auf einige solide Voraussetzungen aufbauen kann. Beispielsweise bewegen sich die Finger beim Ertasten von Gegenständen flink. Grundsätzlich ist also eine Beweglichkeit vorhanden. Diese muss nun noch in den Umgang mit dem Stift übertragen werden. Zudem soll Kim die Gelegenheit erhalten, die Formwiedergabe, die Koordination des ganzen Körpers und der Fingerbewegungen zu erlernen, üben und festigen. Denn ein Kind muss beispielsweise beim Schreiben stabil sitzen und die Arme unabhängig vom restlichen Körper bewegen können.</w:t>
      </w:r>
    </w:p>
    <w:p w14:paraId="283867DA" w14:textId="50D37EC9" w:rsidR="002D59D1" w:rsidRDefault="002D59D1" w:rsidP="002D59D1">
      <w:pPr>
        <w:pStyle w:val="Textkrper"/>
      </w:pPr>
      <w:r>
        <w:t xml:space="preserve">Das Team bespricht die Resultate aus der Differentialdiagnostik und die Beobachtungen aus dem Unterricht. Die </w:t>
      </w:r>
      <w:proofErr w:type="spellStart"/>
      <w:r>
        <w:t>Psychomotoriktherapeutin</w:t>
      </w:r>
      <w:proofErr w:type="spellEnd"/>
      <w:r>
        <w:t xml:space="preserve"> schlägt vor, gemeinsam mit der Lehrperson drei bis vier Lektionen zu gestalten, in welchen sie die angesprochenen Themenbereiche spielerisch </w:t>
      </w:r>
      <w:proofErr w:type="gramStart"/>
      <w:r>
        <w:t>umsetzen</w:t>
      </w:r>
      <w:proofErr w:type="gramEnd"/>
      <w:r>
        <w:t xml:space="preserve"> und für alle Kinder aufbereiten. In die kooperative Lernzeit dieser Lektionen gehören auch Spiele zur feinmotorischen Exploration und Förderung der Fingerbewegungen mit dem Stift. Die Diagonalen und die Bögen, welche nach oben oder unten offen sind, werden in Verbindung mit den dazu gehörenden Buchstaben geübt. Dabei ist es sehr gut möglich, dass Kim mit den Formen arbeitet und andere Kinder Texte schreiben. Die situativen Beobachtungen werden weiter fortgesetzt. Zudem wird Kim während oder nach einer Lerneinheit dazu angeleitet zu reflektieren, wann das Schreiben leichter fällt und was noch schwierig ist. </w:t>
      </w:r>
    </w:p>
    <w:p w14:paraId="254C07E7" w14:textId="158CDEC6" w:rsidR="004C640D" w:rsidRPr="00DA154F" w:rsidRDefault="004C640D" w:rsidP="004C640D">
      <w:pPr>
        <w:pStyle w:val="berschrift1"/>
      </w:pPr>
      <w:r w:rsidRPr="00DA154F">
        <w:t>Schluss</w:t>
      </w:r>
    </w:p>
    <w:p w14:paraId="22BDD247" w14:textId="3534D1F5" w:rsidR="002C768D" w:rsidRDefault="004C640D" w:rsidP="00695008">
      <w:pPr>
        <w:pStyle w:val="Textkrper"/>
        <w:ind w:firstLine="0"/>
      </w:pPr>
      <w:r>
        <w:t xml:space="preserve">Die theoretischen Überlegungen und das Fallbeispiel veranschaulichen die Integration des Fachwissens aus den Bereichen Psychomotorik und Grafomotorik in den Unterricht. Es wird gezeigt, wie die Verantwortung für die Unterrichtsgestaltung geteilt werden kann. Damit können Ziele einer vertieften multiprofessionellen Zusammenarbeit angestrebt werden. Ein Beispiel dafür ist die Entwicklung variantenreicher Angebote für den Unterricht, die für alle Kinder </w:t>
      </w:r>
      <w:r>
        <w:rPr>
          <w:noProof/>
        </w:rPr>
        <w:t>angepasste</w:t>
      </w:r>
      <w:r>
        <w:t xml:space="preserve"> Herausforderungen bereithalten. Damit alle Kinder für das Schreiben motiviert bleiben, brauchen sie </w:t>
      </w:r>
      <w:r>
        <w:rPr>
          <w:noProof/>
        </w:rPr>
        <w:t>Lerngelegenheiten</w:t>
      </w:r>
      <w:r>
        <w:t>, die sie selb</w:t>
      </w:r>
      <w:r w:rsidR="007A4043">
        <w:t>st</w:t>
      </w:r>
      <w:r>
        <w:t xml:space="preserve">ständig und erfolgreich bearbeitet können </w:t>
      </w:r>
      <w:r>
        <w:fldChar w:fldCharType="begin"/>
      </w:r>
      <w:r>
        <w:instrText xml:space="preserve"> ADDIN ZOTERO_ITEM CSL_CITATION {"citationID":"PsATt7so","properties":{"formattedCitation":"(S\\uc0\\u228{}gesser Wyss et al., 2021)","plainCitation":"(Sägesser Wyss et al., 2021)","noteIndex":0},"citationItems":[{"id":1168,"uris":["http://zotero.org/users/2809179/items/MC8W6C6S"],"itemData":{"id":1168,"type":"book","event-place":"Bern","publisher":"Hogrefe","publisher-place":"Bern","title":"GRAFINK. Grafomotorik und Inklusion.","author":[{"family":"Sägesser Wyss","given":"Judith"},{"family":"Sahli Lozano","given":"Caroline"},{"family":"Simovic","given":"Liana","suffix":"Joëlle"}],"issued":{"date-parts":[["2021"]]}}}],"schema":"https://github.com/citation-style-language/schema/raw/master/csl-citation.json"} </w:instrText>
      </w:r>
      <w:r>
        <w:fldChar w:fldCharType="separate"/>
      </w:r>
      <w:r w:rsidRPr="00F83889">
        <w:rPr>
          <w:szCs w:val="24"/>
        </w:rPr>
        <w:t>(Sägesser Wyss et al., 2021)</w:t>
      </w:r>
      <w:r>
        <w:fldChar w:fldCharType="end"/>
      </w:r>
      <w:r>
        <w:t>. Eine entwicklungsorientierte Diagnostik</w:t>
      </w:r>
      <w:r w:rsidR="00481199">
        <w:t>,</w:t>
      </w:r>
      <w:r>
        <w:t xml:space="preserve"> wie sie in diesem Beitrag skizziert ist, ermöglicht es, die Förderangebote an die weiteren Entwicklungsschritte anzupassen, sodass alle Kinder vom Unterricht optimal profitieren können.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7240D" w:rsidRPr="0067240D" w14:paraId="21E13F96" w14:textId="77777777" w:rsidTr="006E7C5A">
        <w:trPr>
          <w:trHeight w:val="1838"/>
        </w:trPr>
        <w:tc>
          <w:tcPr>
            <w:tcW w:w="1667" w:type="pct"/>
            <w:vAlign w:val="center"/>
          </w:tcPr>
          <w:p w14:paraId="03C65406" w14:textId="790BA6A6" w:rsidR="0067240D" w:rsidRPr="0067240D" w:rsidRDefault="0067240D" w:rsidP="00101D98">
            <w:pPr>
              <w:spacing w:before="60" w:after="60"/>
              <w:jc w:val="both"/>
              <w:rPr>
                <w:lang w:val="fr-CH"/>
              </w:rPr>
            </w:pPr>
            <w:r w:rsidRPr="0067240D">
              <w:rPr>
                <w:noProof/>
                <w:lang w:val="fr-CH"/>
              </w:rPr>
              <w:drawing>
                <wp:inline distT="0" distB="0" distL="0" distR="0" wp14:anchorId="3EA9D948" wp14:editId="1AB01815">
                  <wp:extent cx="1076824" cy="1036800"/>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rotWithShape="1">
                          <a:blip r:embed="rId17" cstate="print">
                            <a:extLst>
                              <a:ext uri="{28A0092B-C50C-407E-A947-70E740481C1C}">
                                <a14:useLocalDpi xmlns:a14="http://schemas.microsoft.com/office/drawing/2010/main" val="0"/>
                              </a:ext>
                            </a:extLst>
                          </a:blip>
                          <a:srcRect t="9191" r="5641"/>
                          <a:stretch/>
                        </pic:blipFill>
                        <pic:spPr bwMode="auto">
                          <a:xfrm>
                            <a:off x="0" y="0"/>
                            <a:ext cx="1076824" cy="1036800"/>
                          </a:xfrm>
                          <a:prstGeom prst="rect">
                            <a:avLst/>
                          </a:prstGeom>
                          <a:ln>
                            <a:noFill/>
                          </a:ln>
                          <a:extLst>
                            <a:ext uri="{53640926-AAD7-44D8-BBD7-CCE9431645EC}">
                              <a14:shadowObscured xmlns:a14="http://schemas.microsoft.com/office/drawing/2010/main"/>
                            </a:ext>
                          </a:extLst>
                        </pic:spPr>
                      </pic:pic>
                    </a:graphicData>
                  </a:graphic>
                </wp:inline>
              </w:drawing>
            </w:r>
          </w:p>
        </w:tc>
        <w:tc>
          <w:tcPr>
            <w:tcW w:w="1667" w:type="pct"/>
            <w:vAlign w:val="center"/>
          </w:tcPr>
          <w:p w14:paraId="6A920BF8" w14:textId="77777777" w:rsidR="0067240D" w:rsidRPr="0067240D" w:rsidRDefault="0067240D" w:rsidP="00B1313A">
            <w:pPr>
              <w:spacing w:before="60" w:after="60"/>
              <w:jc w:val="both"/>
              <w:rPr>
                <w:noProof/>
                <w:lang w:val="fr-CH"/>
              </w:rPr>
            </w:pPr>
            <w:r w:rsidRPr="0067240D">
              <w:rPr>
                <w:noProof/>
                <w:lang w:val="fr-CH"/>
              </w:rPr>
              <w:drawing>
                <wp:inline distT="0" distB="0" distL="0" distR="0" wp14:anchorId="7696C8C5" wp14:editId="18BC8087">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7FE22638" w14:textId="77777777" w:rsidR="0067240D" w:rsidRPr="0067240D" w:rsidRDefault="0067240D" w:rsidP="00B1313A">
            <w:pPr>
              <w:spacing w:before="60" w:after="60"/>
              <w:jc w:val="both"/>
              <w:rPr>
                <w:noProof/>
                <w:lang w:val="fr-CH"/>
              </w:rPr>
            </w:pPr>
            <w:r w:rsidRPr="0067240D">
              <w:rPr>
                <w:noProof/>
                <w:lang w:val="fr-CH"/>
              </w:rPr>
              <w:drawing>
                <wp:inline distT="0" distB="0" distL="0" distR="0" wp14:anchorId="6C29D58F" wp14:editId="621D4A69">
                  <wp:extent cx="1036320" cy="10363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7240D" w:rsidRPr="0067240D" w14:paraId="64DE35CD" w14:textId="77777777" w:rsidTr="0067240D">
        <w:trPr>
          <w:trHeight w:val="960"/>
        </w:trPr>
        <w:tc>
          <w:tcPr>
            <w:tcW w:w="1667" w:type="pct"/>
          </w:tcPr>
          <w:p w14:paraId="778A73B0" w14:textId="167F345E" w:rsidR="00D94D45" w:rsidRPr="009E753B" w:rsidRDefault="00D94D45" w:rsidP="00D94D45">
            <w:pPr>
              <w:pStyle w:val="Textkrper3"/>
            </w:pPr>
            <w:r>
              <w:t>Judith Sägesser Wyss</w:t>
            </w:r>
            <w:r w:rsidRPr="00153133">
              <w:br/>
            </w:r>
            <w:r>
              <w:t xml:space="preserve">Lehrerin und </w:t>
            </w:r>
            <w:proofErr w:type="spellStart"/>
            <w:r>
              <w:t>Psychomotoriktherapeutin</w:t>
            </w:r>
            <w:proofErr w:type="spellEnd"/>
            <w:r>
              <w:br/>
              <w:t xml:space="preserve">Dozentin und Forscherin </w:t>
            </w:r>
          </w:p>
          <w:p w14:paraId="15851BC1" w14:textId="6E950F90" w:rsidR="00D94D45" w:rsidRPr="009E753B" w:rsidRDefault="00D94D45" w:rsidP="00D94D45">
            <w:pPr>
              <w:pStyle w:val="Textkrper3"/>
            </w:pPr>
            <w:proofErr w:type="spellStart"/>
            <w:r>
              <w:t>PHBern</w:t>
            </w:r>
            <w:proofErr w:type="spellEnd"/>
          </w:p>
          <w:p w14:paraId="54998581" w14:textId="2E86757C" w:rsidR="0067240D" w:rsidRPr="0067240D" w:rsidRDefault="00B920A3" w:rsidP="00D94D45">
            <w:hyperlink r:id="rId20" w:history="1">
              <w:r w:rsidR="00D94D45" w:rsidRPr="00B73271">
                <w:rPr>
                  <w:rStyle w:val="Hyperlink"/>
                </w:rPr>
                <w:t>judith.saegesser@phbern.ch</w:t>
              </w:r>
            </w:hyperlink>
          </w:p>
        </w:tc>
        <w:tc>
          <w:tcPr>
            <w:tcW w:w="1667" w:type="pct"/>
          </w:tcPr>
          <w:p w14:paraId="5A083971" w14:textId="6CE7180C" w:rsidR="003D0C65" w:rsidRPr="00153133" w:rsidRDefault="0015093A" w:rsidP="003D0C65">
            <w:pPr>
              <w:pStyle w:val="Textkrper3"/>
            </w:pPr>
            <w:r>
              <w:t>Dr. phil.</w:t>
            </w:r>
            <w:r w:rsidR="006E7C5A">
              <w:t xml:space="preserve"> </w:t>
            </w:r>
            <w:r w:rsidR="003D0C65">
              <w:t>Michelle N. Maurer</w:t>
            </w:r>
            <w:r w:rsidR="003D0C65" w:rsidRPr="00153133">
              <w:br/>
            </w:r>
            <w:r w:rsidR="003D0C65">
              <w:t>Entwicklungspsychologin</w:t>
            </w:r>
            <w:r w:rsidR="00E05902">
              <w:t>, Postdoktorandin und Dozentin</w:t>
            </w:r>
          </w:p>
          <w:p w14:paraId="08909CB0" w14:textId="77777777" w:rsidR="003D0C65" w:rsidRPr="00906768" w:rsidRDefault="003D0C65" w:rsidP="003D0C65">
            <w:pPr>
              <w:pStyle w:val="Textkrper3"/>
            </w:pPr>
            <w:proofErr w:type="spellStart"/>
            <w:r>
              <w:t>PHBern</w:t>
            </w:r>
            <w:proofErr w:type="spellEnd"/>
          </w:p>
          <w:p w14:paraId="371F95B3" w14:textId="2ED7D059" w:rsidR="0067240D" w:rsidRPr="0067240D" w:rsidRDefault="00B920A3" w:rsidP="003D0C65">
            <w:hyperlink r:id="rId21" w:history="1">
              <w:r w:rsidR="003D0C65" w:rsidRPr="00B73271">
                <w:rPr>
                  <w:rStyle w:val="Hyperlink"/>
                </w:rPr>
                <w:t>michelle.maurer@phbern.ch</w:t>
              </w:r>
            </w:hyperlink>
          </w:p>
        </w:tc>
        <w:tc>
          <w:tcPr>
            <w:tcW w:w="1666" w:type="pct"/>
          </w:tcPr>
          <w:p w14:paraId="61206390" w14:textId="27143F9F" w:rsidR="00B1313A" w:rsidRPr="00153133" w:rsidRDefault="006E7C5A" w:rsidP="00B1313A">
            <w:pPr>
              <w:pStyle w:val="Textkrper3"/>
            </w:pPr>
            <w:r>
              <w:t xml:space="preserve">Prof. Dr. </w:t>
            </w:r>
            <w:r w:rsidR="00B1313A">
              <w:t>Michael Eckhart</w:t>
            </w:r>
            <w:r w:rsidR="00B1313A" w:rsidRPr="00153133">
              <w:br/>
            </w:r>
            <w:r w:rsidR="00B1313A">
              <w:t>Leiter Institut für Heilpädagogik</w:t>
            </w:r>
          </w:p>
          <w:p w14:paraId="3298720A" w14:textId="77777777" w:rsidR="00B1313A" w:rsidRPr="00153133" w:rsidRDefault="00B1313A" w:rsidP="00B1313A">
            <w:pPr>
              <w:pStyle w:val="Textkrper3"/>
            </w:pPr>
            <w:proofErr w:type="spellStart"/>
            <w:r>
              <w:t>PHBern</w:t>
            </w:r>
            <w:proofErr w:type="spellEnd"/>
          </w:p>
          <w:p w14:paraId="27DD038E" w14:textId="1D5BC499" w:rsidR="0067240D" w:rsidRPr="0067240D" w:rsidRDefault="00B920A3" w:rsidP="00B1313A">
            <w:hyperlink r:id="rId22" w:history="1">
              <w:r w:rsidR="00B1313A" w:rsidRPr="00B73271">
                <w:rPr>
                  <w:rStyle w:val="Hyperlink"/>
                </w:rPr>
                <w:t>michael.eckhart@phbern.ch</w:t>
              </w:r>
            </w:hyperlink>
          </w:p>
        </w:tc>
      </w:tr>
    </w:tbl>
    <w:p w14:paraId="50C210FD" w14:textId="42EB9118" w:rsidR="002C768D" w:rsidRPr="009850BA" w:rsidRDefault="002C768D" w:rsidP="00953789">
      <w:pPr>
        <w:pStyle w:val="berschrift1"/>
        <w:rPr>
          <w:lang w:val="en-GB"/>
        </w:rPr>
      </w:pPr>
      <w:proofErr w:type="spellStart"/>
      <w:r w:rsidRPr="009850BA">
        <w:rPr>
          <w:lang w:val="en-GB"/>
        </w:rPr>
        <w:lastRenderedPageBreak/>
        <w:t>Literatur</w:t>
      </w:r>
      <w:proofErr w:type="spellEnd"/>
    </w:p>
    <w:bookmarkEnd w:id="1"/>
    <w:p w14:paraId="40F270B4" w14:textId="0D1EF7C1" w:rsidR="005B1A54" w:rsidRPr="0056504B" w:rsidRDefault="005B1A54" w:rsidP="005B1A54">
      <w:pPr>
        <w:ind w:left="567" w:hanging="567"/>
        <w:rPr>
          <w:lang w:val="en-US"/>
        </w:rPr>
      </w:pPr>
      <w:r w:rsidRPr="00A5217A">
        <w:rPr>
          <w:lang w:val="en-US"/>
        </w:rPr>
        <w:t>Beery, K.</w:t>
      </w:r>
      <w:r>
        <w:rPr>
          <w:lang w:val="en-US"/>
        </w:rPr>
        <w:t> </w:t>
      </w:r>
      <w:r w:rsidRPr="00A5217A">
        <w:rPr>
          <w:lang w:val="en-US"/>
        </w:rPr>
        <w:t>E., Buktenica, N.</w:t>
      </w:r>
      <w:r>
        <w:rPr>
          <w:lang w:val="en-US"/>
        </w:rPr>
        <w:t> </w:t>
      </w:r>
      <w:r w:rsidRPr="00A5217A">
        <w:rPr>
          <w:lang w:val="en-US"/>
        </w:rPr>
        <w:t>A. &amp; Beery, N.</w:t>
      </w:r>
      <w:r>
        <w:rPr>
          <w:lang w:val="en-US"/>
        </w:rPr>
        <w:t> </w:t>
      </w:r>
      <w:r w:rsidRPr="00A5217A">
        <w:rPr>
          <w:lang w:val="en-US"/>
        </w:rPr>
        <w:t xml:space="preserve">A. (2010). </w:t>
      </w:r>
      <w:r w:rsidRPr="00F8405D">
        <w:rPr>
          <w:i/>
          <w:iCs/>
          <w:lang w:val="en-US"/>
        </w:rPr>
        <w:t>Beery-Buktenica Developmental Test of Visual-Motor Integration (Beery VMI)</w:t>
      </w:r>
      <w:r>
        <w:rPr>
          <w:lang w:val="en-US"/>
        </w:rPr>
        <w:t xml:space="preserve"> </w:t>
      </w:r>
      <w:r w:rsidRPr="00A5217A">
        <w:rPr>
          <w:lang w:val="en-US"/>
        </w:rPr>
        <w:t xml:space="preserve">(6. </w:t>
      </w:r>
      <w:proofErr w:type="spellStart"/>
      <w:r w:rsidRPr="0056504B">
        <w:rPr>
          <w:lang w:val="en-US"/>
        </w:rPr>
        <w:t>Aufl</w:t>
      </w:r>
      <w:proofErr w:type="spellEnd"/>
      <w:r w:rsidRPr="0056504B">
        <w:rPr>
          <w:lang w:val="en-US"/>
        </w:rPr>
        <w:t>.). Pearson.</w:t>
      </w:r>
    </w:p>
    <w:p w14:paraId="2FDA79F1" w14:textId="77777777" w:rsidR="005B1A54" w:rsidRPr="00F8405D" w:rsidRDefault="005B1A54" w:rsidP="005B1A54">
      <w:pPr>
        <w:ind w:left="567" w:hanging="567"/>
      </w:pPr>
      <w:r w:rsidRPr="005523DC">
        <w:rPr>
          <w:lang w:val="en-US"/>
        </w:rPr>
        <w:t xml:space="preserve">Cameron, C. E., Brock, L. L., Hatfield, B. E., Cottone, E. A., Rubinstein, E., </w:t>
      </w:r>
      <w:proofErr w:type="spellStart"/>
      <w:r w:rsidRPr="005523DC">
        <w:rPr>
          <w:lang w:val="en-US"/>
        </w:rPr>
        <w:t>LoCasale</w:t>
      </w:r>
      <w:proofErr w:type="spellEnd"/>
      <w:r w:rsidRPr="005523DC">
        <w:rPr>
          <w:lang w:val="en-US"/>
        </w:rPr>
        <w:t xml:space="preserve">-Crouch, J. &amp; </w:t>
      </w:r>
      <w:proofErr w:type="spellStart"/>
      <w:r w:rsidRPr="005523DC">
        <w:rPr>
          <w:lang w:val="en-US"/>
        </w:rPr>
        <w:t>Grissmer</w:t>
      </w:r>
      <w:proofErr w:type="spellEnd"/>
      <w:r w:rsidRPr="005523DC">
        <w:rPr>
          <w:lang w:val="en-US"/>
        </w:rPr>
        <w:t xml:space="preserve">, D. W. (2015). </w:t>
      </w:r>
      <w:r w:rsidRPr="00A5217A">
        <w:rPr>
          <w:lang w:val="en-US"/>
        </w:rPr>
        <w:t xml:space="preserve">Visuomotor integration and inhibitory control compensate for each other in school readiness. </w:t>
      </w:r>
      <w:proofErr w:type="spellStart"/>
      <w:r w:rsidRPr="00F8405D">
        <w:rPr>
          <w:i/>
          <w:iCs/>
        </w:rPr>
        <w:t>Developmental</w:t>
      </w:r>
      <w:proofErr w:type="spellEnd"/>
      <w:r w:rsidRPr="00F8405D">
        <w:rPr>
          <w:i/>
          <w:iCs/>
        </w:rPr>
        <w:t xml:space="preserve"> </w:t>
      </w:r>
      <w:proofErr w:type="spellStart"/>
      <w:r w:rsidRPr="00F8405D">
        <w:rPr>
          <w:i/>
          <w:iCs/>
        </w:rPr>
        <w:t>Psychology</w:t>
      </w:r>
      <w:proofErr w:type="spellEnd"/>
      <w:r w:rsidRPr="00F8405D">
        <w:rPr>
          <w:i/>
          <w:iCs/>
        </w:rPr>
        <w:t>, 51</w:t>
      </w:r>
      <w:r>
        <w:rPr>
          <w:i/>
          <w:iCs/>
        </w:rPr>
        <w:t> </w:t>
      </w:r>
      <w:r w:rsidRPr="00F8405D">
        <w:t xml:space="preserve">(11), 1529–1543. </w:t>
      </w:r>
      <w:hyperlink r:id="rId23" w:history="1">
        <w:r w:rsidRPr="00F8405D">
          <w:rPr>
            <w:rStyle w:val="Hyperlink"/>
          </w:rPr>
          <w:t>https://doi.org/10.1037/a0039740</w:t>
        </w:r>
      </w:hyperlink>
      <w:r>
        <w:t xml:space="preserve"> </w:t>
      </w:r>
    </w:p>
    <w:p w14:paraId="6B84D024" w14:textId="2F270810" w:rsidR="005B1A54" w:rsidRDefault="005B1A54" w:rsidP="005B1A54">
      <w:pPr>
        <w:ind w:left="567" w:hanging="567"/>
      </w:pPr>
      <w:r w:rsidRPr="00F8405D">
        <w:t>Eckhart, M. (2010). Umgang mit Heterogenität</w:t>
      </w:r>
      <w:r>
        <w:t xml:space="preserve"> </w:t>
      </w:r>
      <w:r w:rsidR="00DF4FAE">
        <w:sym w:font="Symbol" w:char="F02D"/>
      </w:r>
      <w:r>
        <w:t xml:space="preserve"> </w:t>
      </w:r>
      <w:r w:rsidRPr="00F8405D">
        <w:t xml:space="preserve">Notwendigkeit einer mehrdimensionalen Didaktik. </w:t>
      </w:r>
      <w:r w:rsidRPr="003F4023">
        <w:t>In H</w:t>
      </w:r>
      <w:r>
        <w:t>.-</w:t>
      </w:r>
      <w:r w:rsidRPr="003F4023">
        <w:t>U</w:t>
      </w:r>
      <w:r>
        <w:t xml:space="preserve">. </w:t>
      </w:r>
      <w:r w:rsidRPr="003F4023">
        <w:t>Grunder</w:t>
      </w:r>
      <w:r>
        <w:t xml:space="preserve"> &amp; A. </w:t>
      </w:r>
      <w:r w:rsidRPr="003F4023">
        <w:t>Gut</w:t>
      </w:r>
      <w:r>
        <w:t xml:space="preserve"> </w:t>
      </w:r>
      <w:r w:rsidRPr="003F4023">
        <w:t>(H</w:t>
      </w:r>
      <w:r>
        <w:t>rsg.</w:t>
      </w:r>
      <w:r w:rsidRPr="003F4023">
        <w:t>)</w:t>
      </w:r>
      <w:r>
        <w:t xml:space="preserve">, </w:t>
      </w:r>
      <w:r w:rsidRPr="00F8405D">
        <w:rPr>
          <w:i/>
          <w:iCs/>
        </w:rPr>
        <w:t>Zum Umgang mit Heterogenität in Schule</w:t>
      </w:r>
      <w:r>
        <w:rPr>
          <w:i/>
          <w:iCs/>
        </w:rPr>
        <w:t xml:space="preserve"> und Gesellschaft</w:t>
      </w:r>
      <w:r w:rsidRPr="00F8405D">
        <w:rPr>
          <w:i/>
          <w:iCs/>
        </w:rPr>
        <w:t xml:space="preserve"> 2</w:t>
      </w:r>
      <w:r w:rsidRPr="003F4023">
        <w:t xml:space="preserve"> (S.</w:t>
      </w:r>
      <w:r w:rsidR="00B21327">
        <w:t> </w:t>
      </w:r>
      <w:r w:rsidRPr="003F4023">
        <w:t>133</w:t>
      </w:r>
      <w:r w:rsidR="00DF4FAE">
        <w:sym w:font="Symbol" w:char="F02D"/>
      </w:r>
      <w:r w:rsidRPr="003F4023">
        <w:t>150). Schneider</w:t>
      </w:r>
      <w:r>
        <w:t xml:space="preserve">. </w:t>
      </w:r>
    </w:p>
    <w:p w14:paraId="6131DAC1" w14:textId="77777777" w:rsidR="005B1A54" w:rsidRPr="00F8405D" w:rsidRDefault="005B1A54" w:rsidP="005B1A54">
      <w:pPr>
        <w:ind w:left="567" w:hanging="567"/>
      </w:pPr>
      <w:r w:rsidRPr="00F8405D">
        <w:t xml:space="preserve">Eggert, D. (2007). </w:t>
      </w:r>
      <w:r w:rsidRPr="00F8405D">
        <w:rPr>
          <w:i/>
          <w:iCs/>
        </w:rPr>
        <w:t>Von den Stärken ausgehen</w:t>
      </w:r>
      <w:r w:rsidRPr="00F8405D">
        <w:t xml:space="preserve"> (5. Aufl.). Borgmann.</w:t>
      </w:r>
    </w:p>
    <w:p w14:paraId="50A20AAF" w14:textId="0008BB6A" w:rsidR="005B1A54" w:rsidRDefault="005B1A54" w:rsidP="005B1A54">
      <w:pPr>
        <w:ind w:left="567" w:hanging="567"/>
      </w:pPr>
      <w:r w:rsidRPr="00F8405D">
        <w:t>LCH</w:t>
      </w:r>
      <w:r>
        <w:t xml:space="preserve"> (Dachverband Lehrerinnen und Lehrer Schweiz) </w:t>
      </w:r>
      <w:r w:rsidRPr="00F8405D">
        <w:t xml:space="preserve">(2023). </w:t>
      </w:r>
      <w:r w:rsidRPr="00F8405D">
        <w:rPr>
          <w:i/>
          <w:iCs/>
        </w:rPr>
        <w:t>Vielfalt braucht Vielfalt. Gelingensbedingungen für eine inklusionsorientierte Schule</w:t>
      </w:r>
      <w:r w:rsidRPr="00F8405D">
        <w:t>. LCH</w:t>
      </w:r>
      <w:r>
        <w:t>, Dachverband Lehrerinnen und Lehrer Schweiz</w:t>
      </w:r>
      <w:r w:rsidRPr="00F8405D">
        <w:t xml:space="preserve">. </w:t>
      </w:r>
      <w:hyperlink r:id="rId24" w:history="1">
        <w:r w:rsidR="000B31E1" w:rsidRPr="001D483D">
          <w:rPr>
            <w:rStyle w:val="Hyperlink"/>
          </w:rPr>
          <w:t>https://www.lch.ch/fileadmin/user_upload_lch/Positionspapier_LCH_Inklusionsorientierte_Schule_2023.pdf</w:t>
        </w:r>
      </w:hyperlink>
    </w:p>
    <w:p w14:paraId="7380BCFA" w14:textId="77777777" w:rsidR="005B1A54" w:rsidRPr="00C17C29" w:rsidRDefault="005B1A54" w:rsidP="005B1A54">
      <w:pPr>
        <w:ind w:left="567" w:hanging="567"/>
        <w:rPr>
          <w:lang w:val="en-US"/>
        </w:rPr>
      </w:pPr>
      <w:r w:rsidRPr="00A5217A">
        <w:rPr>
          <w:lang w:val="en-US"/>
        </w:rPr>
        <w:t>McClelland, M.</w:t>
      </w:r>
      <w:r>
        <w:rPr>
          <w:lang w:val="en-US"/>
        </w:rPr>
        <w:t> </w:t>
      </w:r>
      <w:r w:rsidRPr="00A5217A">
        <w:rPr>
          <w:lang w:val="en-US"/>
        </w:rPr>
        <w:t>M. &amp; Cameron, C.</w:t>
      </w:r>
      <w:r>
        <w:rPr>
          <w:lang w:val="en-US"/>
        </w:rPr>
        <w:t> </w:t>
      </w:r>
      <w:r w:rsidRPr="00A5217A">
        <w:rPr>
          <w:lang w:val="en-US"/>
        </w:rPr>
        <w:t xml:space="preserve">E. (2019). Developing together: The role of executive function and motor skills in children’s early academic lives. </w:t>
      </w:r>
      <w:r w:rsidRPr="00F8405D">
        <w:rPr>
          <w:i/>
          <w:iCs/>
          <w:lang w:val="en-US"/>
        </w:rPr>
        <w:t>Early Childhood Research Quarterly, 46</w:t>
      </w:r>
      <w:r w:rsidRPr="00A5217A">
        <w:rPr>
          <w:lang w:val="en-US"/>
        </w:rPr>
        <w:t xml:space="preserve">, 142–151. </w:t>
      </w:r>
      <w:hyperlink r:id="rId25" w:history="1">
        <w:r w:rsidRPr="00C17C29">
          <w:rPr>
            <w:rStyle w:val="Hyperlink"/>
            <w:lang w:val="en-US"/>
          </w:rPr>
          <w:t>https://doi.org/10.1016/j.ecresq.2018.03.014</w:t>
        </w:r>
      </w:hyperlink>
      <w:r w:rsidRPr="00C17C29">
        <w:rPr>
          <w:lang w:val="en-US"/>
        </w:rPr>
        <w:t xml:space="preserve"> </w:t>
      </w:r>
    </w:p>
    <w:p w14:paraId="2CDEC81F" w14:textId="77777777" w:rsidR="005B1A54" w:rsidRPr="00F8405D" w:rsidRDefault="005B1A54" w:rsidP="005B1A54">
      <w:pPr>
        <w:ind w:left="567" w:hanging="567"/>
      </w:pPr>
      <w:proofErr w:type="spellStart"/>
      <w:r w:rsidRPr="00C17C29">
        <w:rPr>
          <w:lang w:val="en-US"/>
        </w:rPr>
        <w:t>Odersky</w:t>
      </w:r>
      <w:proofErr w:type="spellEnd"/>
      <w:r w:rsidRPr="00C17C29">
        <w:rPr>
          <w:lang w:val="en-US"/>
        </w:rPr>
        <w:t xml:space="preserve">, E. (2018). </w:t>
      </w:r>
      <w:r w:rsidRPr="00F8405D">
        <w:rPr>
          <w:i/>
          <w:iCs/>
        </w:rPr>
        <w:t>Automatisierung des Handschreibens. Eine Evaluation von Kinderschriften im 4. Schuljahr</w:t>
      </w:r>
      <w:r w:rsidRPr="00F8405D">
        <w:t>. J.</w:t>
      </w:r>
      <w:r>
        <w:t> </w:t>
      </w:r>
      <w:r w:rsidRPr="00F8405D">
        <w:t>B. Metzler.</w:t>
      </w:r>
    </w:p>
    <w:p w14:paraId="79B00621" w14:textId="77777777" w:rsidR="005B1A54" w:rsidRPr="00F8405D" w:rsidRDefault="005B1A54" w:rsidP="005B1A54">
      <w:pPr>
        <w:ind w:left="567" w:hanging="567"/>
      </w:pPr>
      <w:r w:rsidRPr="00F8405D">
        <w:t xml:space="preserve">Sägesser Wyss, J. &amp; Eckhart, M. (2016). </w:t>
      </w:r>
      <w:r w:rsidRPr="00F8405D">
        <w:rPr>
          <w:i/>
          <w:iCs/>
        </w:rPr>
        <w:t>GRAFOS. Screening und Differentialdiagnostik der Grafomotorik im schulischen Kontext</w:t>
      </w:r>
      <w:r w:rsidRPr="00F8405D">
        <w:t>. Hogrefe.</w:t>
      </w:r>
    </w:p>
    <w:p w14:paraId="70E81B05" w14:textId="77777777" w:rsidR="005B1A54" w:rsidRPr="00F8405D" w:rsidRDefault="005B1A54" w:rsidP="005B1A54">
      <w:pPr>
        <w:ind w:left="567" w:hanging="567"/>
      </w:pPr>
      <w:r w:rsidRPr="00F8405D">
        <w:t>Sägesser Wyss, J., Maurer, M.</w:t>
      </w:r>
      <w:r>
        <w:t> </w:t>
      </w:r>
      <w:r w:rsidRPr="00F8405D">
        <w:t xml:space="preserve">N. &amp; Eckhart, M. (im Druck). </w:t>
      </w:r>
      <w:r w:rsidRPr="00F8405D">
        <w:rPr>
          <w:i/>
          <w:iCs/>
        </w:rPr>
        <w:t>GRAFOS-2. Screening und Differenzialdiagnostik der Grafomotorik im schulischen Kontext. Instrument zur Erfassung des grafomotorischen Entwicklungsstandes bei Kindern zwischen 4 und 9 Jahren</w:t>
      </w:r>
      <w:r w:rsidRPr="00F8405D">
        <w:t>. (zweite, vollständig überarbeitete und erweiterte Auflage). Hogrefe.</w:t>
      </w:r>
    </w:p>
    <w:p w14:paraId="1361728D" w14:textId="77777777" w:rsidR="005B1A54" w:rsidRPr="00F8405D" w:rsidRDefault="005B1A54" w:rsidP="005B1A54">
      <w:pPr>
        <w:ind w:left="567" w:hanging="567"/>
      </w:pPr>
      <w:r w:rsidRPr="00F8405D">
        <w:t xml:space="preserve">Sägesser Wyss, J., Sahli Lozano, C. &amp; </w:t>
      </w:r>
      <w:proofErr w:type="spellStart"/>
      <w:r w:rsidRPr="00F8405D">
        <w:t>Simovic</w:t>
      </w:r>
      <w:proofErr w:type="spellEnd"/>
      <w:r w:rsidRPr="00F8405D">
        <w:t>, L.</w:t>
      </w:r>
      <w:r>
        <w:t> J</w:t>
      </w:r>
      <w:r w:rsidRPr="00F8405D">
        <w:t xml:space="preserve">. (2021). </w:t>
      </w:r>
      <w:r w:rsidRPr="00F8405D">
        <w:rPr>
          <w:i/>
          <w:iCs/>
        </w:rPr>
        <w:t>GRAFINK. Grafomotorik und Inklusion</w:t>
      </w:r>
      <w:r w:rsidRPr="00F8405D">
        <w:t>. Hogrefe.</w:t>
      </w:r>
    </w:p>
    <w:p w14:paraId="1C7435B6" w14:textId="77777777" w:rsidR="005B1A54" w:rsidRPr="00F8405D" w:rsidRDefault="005B1A54" w:rsidP="005B1A54">
      <w:pPr>
        <w:ind w:left="567" w:hanging="567"/>
      </w:pPr>
      <w:r w:rsidRPr="00520270">
        <w:rPr>
          <w:lang w:val="nb-NO"/>
        </w:rPr>
        <w:t xml:space="preserve">Sahli Lozano, C., Vetterli, R. &amp; Wyss, A. (2017). </w:t>
      </w:r>
      <w:r w:rsidRPr="00F8405D">
        <w:rPr>
          <w:i/>
          <w:iCs/>
        </w:rPr>
        <w:t>Prozesse Inklusiver Schulentwicklung. Theoretische Grundlagen und Filmbeispiele aus der Praxis</w:t>
      </w:r>
      <w:r w:rsidRPr="00F8405D">
        <w:t>. Pädagogische Hochschule</w:t>
      </w:r>
      <w:r>
        <w:t xml:space="preserve"> Bern</w:t>
      </w:r>
      <w:r w:rsidRPr="00F8405D">
        <w:t xml:space="preserve"> und Schulverlag.</w:t>
      </w:r>
    </w:p>
    <w:p w14:paraId="313D3A38" w14:textId="592117D0" w:rsidR="005B1A54" w:rsidRPr="00F8405D" w:rsidRDefault="005B1A54" w:rsidP="005B1A54">
      <w:pPr>
        <w:ind w:left="567" w:hanging="567"/>
      </w:pPr>
      <w:r w:rsidRPr="00F8405D">
        <w:t>Schäfer, H. &amp; Rittmeyer, C. (2021). Inklusive Diagnostik. In H.</w:t>
      </w:r>
      <w:r>
        <w:t> </w:t>
      </w:r>
      <w:r w:rsidRPr="00F8405D">
        <w:t>Schäfer &amp; C.</w:t>
      </w:r>
      <w:r>
        <w:t> </w:t>
      </w:r>
      <w:r w:rsidRPr="00F8405D">
        <w:t xml:space="preserve">Rittmeyer (Hrsg.), </w:t>
      </w:r>
      <w:r w:rsidRPr="00F8405D">
        <w:rPr>
          <w:i/>
          <w:iCs/>
        </w:rPr>
        <w:t>Handbuch inklusive Diagnostik. Kompetenzen feststellen</w:t>
      </w:r>
      <w:r w:rsidR="00603DC6">
        <w:rPr>
          <w:i/>
          <w:iCs/>
        </w:rPr>
        <w:t xml:space="preserve"> </w:t>
      </w:r>
      <w:r w:rsidR="00603DC6">
        <w:sym w:font="Symbol" w:char="F02D"/>
      </w:r>
      <w:r w:rsidR="00603DC6">
        <w:t xml:space="preserve"> </w:t>
      </w:r>
      <w:r w:rsidRPr="00F8405D">
        <w:rPr>
          <w:i/>
          <w:iCs/>
        </w:rPr>
        <w:t>Entwicklungsbedarfe identifizieren</w:t>
      </w:r>
      <w:r w:rsidR="00603DC6">
        <w:rPr>
          <w:i/>
          <w:iCs/>
        </w:rPr>
        <w:t xml:space="preserve"> </w:t>
      </w:r>
      <w:r w:rsidR="00603DC6">
        <w:sym w:font="Symbol" w:char="F02D"/>
      </w:r>
      <w:r w:rsidR="00603DC6">
        <w:t xml:space="preserve"> </w:t>
      </w:r>
      <w:r w:rsidRPr="00F8405D">
        <w:rPr>
          <w:i/>
          <w:iCs/>
        </w:rPr>
        <w:t>Förderplanung umsetzen</w:t>
      </w:r>
      <w:r w:rsidRPr="00F8405D">
        <w:t xml:space="preserve"> </w:t>
      </w:r>
      <w:r>
        <w:t>(</w:t>
      </w:r>
      <w:r w:rsidRPr="00F8405D">
        <w:t>S.</w:t>
      </w:r>
      <w:r>
        <w:t> </w:t>
      </w:r>
      <w:r w:rsidRPr="00F8405D">
        <w:t>106</w:t>
      </w:r>
      <w:r w:rsidR="00603DC6">
        <w:sym w:font="Symbol" w:char="F02D"/>
      </w:r>
      <w:r w:rsidRPr="00F8405D">
        <w:t>137)</w:t>
      </w:r>
      <w:r w:rsidRPr="005B4EAA">
        <w:t xml:space="preserve"> </w:t>
      </w:r>
      <w:r w:rsidRPr="00FD0002">
        <w:t>(2.</w:t>
      </w:r>
      <w:r w:rsidR="009947DA">
        <w:t> </w:t>
      </w:r>
      <w:r w:rsidRPr="00FD0002">
        <w:t>Aufl.</w:t>
      </w:r>
      <w:r>
        <w:t>)</w:t>
      </w:r>
      <w:r w:rsidRPr="00F8405D">
        <w:t>. Beltz.</w:t>
      </w:r>
    </w:p>
    <w:p w14:paraId="14EF4B8A" w14:textId="42269125" w:rsidR="005B1A54" w:rsidRDefault="005B1A54" w:rsidP="005B1A54">
      <w:pPr>
        <w:ind w:left="567" w:hanging="567"/>
      </w:pPr>
      <w:r w:rsidRPr="00F8405D">
        <w:t>Speck-</w:t>
      </w:r>
      <w:proofErr w:type="spellStart"/>
      <w:r w:rsidRPr="00F8405D">
        <w:t>Hamdam</w:t>
      </w:r>
      <w:proofErr w:type="spellEnd"/>
      <w:r w:rsidRPr="00F8405D">
        <w:t xml:space="preserve">, A., </w:t>
      </w:r>
      <w:proofErr w:type="spellStart"/>
      <w:r w:rsidRPr="00F8405D">
        <w:t>Falmann</w:t>
      </w:r>
      <w:proofErr w:type="spellEnd"/>
      <w:r w:rsidRPr="00F8405D">
        <w:t xml:space="preserve">, P., Hess, S., </w:t>
      </w:r>
      <w:proofErr w:type="spellStart"/>
      <w:r w:rsidRPr="00F8405D">
        <w:t>Odersky</w:t>
      </w:r>
      <w:proofErr w:type="spellEnd"/>
      <w:r w:rsidRPr="00F8405D">
        <w:t>, E. &amp; Rüb, A. (2016). Zur Bedeutung der graphomotorischen Prozesse beim Schreiben(lernen). In K.</w:t>
      </w:r>
      <w:r>
        <w:t> </w:t>
      </w:r>
      <w:r w:rsidRPr="00F8405D">
        <w:t>Liebers, B.</w:t>
      </w:r>
      <w:r>
        <w:t> </w:t>
      </w:r>
      <w:r w:rsidRPr="00F8405D">
        <w:t>Landwehr, S.</w:t>
      </w:r>
      <w:r>
        <w:t> </w:t>
      </w:r>
      <w:r w:rsidRPr="00F8405D">
        <w:t>Reinhold, S.</w:t>
      </w:r>
      <w:r>
        <w:t> </w:t>
      </w:r>
      <w:r w:rsidRPr="00F8405D">
        <w:t>Riegler &amp; R.</w:t>
      </w:r>
      <w:r>
        <w:t> </w:t>
      </w:r>
      <w:r w:rsidRPr="00F8405D">
        <w:t xml:space="preserve">Schmidt (Hrsg.), </w:t>
      </w:r>
      <w:r w:rsidRPr="00F8405D">
        <w:rPr>
          <w:i/>
          <w:iCs/>
        </w:rPr>
        <w:t>Facetten grundschulpädagogischer und -didaktischer Forschung</w:t>
      </w:r>
      <w:r w:rsidRPr="00F8405D">
        <w:t xml:space="preserve"> (S.</w:t>
      </w:r>
      <w:r>
        <w:t> </w:t>
      </w:r>
      <w:r w:rsidRPr="00F8405D">
        <w:t>183</w:t>
      </w:r>
      <w:r w:rsidR="00B267C2">
        <w:sym w:font="Symbol" w:char="F02D"/>
      </w:r>
      <w:r w:rsidRPr="00F8405D">
        <w:t>198). Springer.</w:t>
      </w:r>
    </w:p>
    <w:p w14:paraId="116009FA" w14:textId="6AA9E2A0" w:rsidR="006111D5" w:rsidRPr="0067240D" w:rsidRDefault="005B1A54" w:rsidP="00983974">
      <w:pPr>
        <w:ind w:left="567" w:hanging="567"/>
      </w:pPr>
      <w:r w:rsidRPr="00F8405D">
        <w:t xml:space="preserve">Wocken, H. (2015). </w:t>
      </w:r>
      <w:r w:rsidRPr="00F8405D">
        <w:rPr>
          <w:i/>
          <w:iCs/>
        </w:rPr>
        <w:t>Das Haus der integrativen Schule. Baustellen</w:t>
      </w:r>
      <w:r w:rsidR="00B267C2">
        <w:rPr>
          <w:i/>
          <w:iCs/>
        </w:rPr>
        <w:t xml:space="preserve"> </w:t>
      </w:r>
      <w:r w:rsidR="00B267C2">
        <w:sym w:font="Symbol" w:char="F02D"/>
      </w:r>
      <w:r w:rsidR="00B267C2">
        <w:t xml:space="preserve"> </w:t>
      </w:r>
      <w:r w:rsidRPr="00F8405D">
        <w:rPr>
          <w:i/>
          <w:iCs/>
        </w:rPr>
        <w:t>Baupläne</w:t>
      </w:r>
      <w:r w:rsidR="00B267C2">
        <w:rPr>
          <w:i/>
          <w:iCs/>
        </w:rPr>
        <w:t xml:space="preserve"> </w:t>
      </w:r>
      <w:r w:rsidR="00B267C2">
        <w:sym w:font="Symbol" w:char="F02D"/>
      </w:r>
      <w:r w:rsidR="00B267C2">
        <w:t xml:space="preserve"> </w:t>
      </w:r>
      <w:r w:rsidRPr="00F8405D">
        <w:rPr>
          <w:i/>
          <w:iCs/>
        </w:rPr>
        <w:t>Bausteine</w:t>
      </w:r>
      <w:r w:rsidRPr="00F8405D">
        <w:t xml:space="preserve"> (6. Aufl.). Edition Hamburger Buchwerkstatt, Feldhaus Verlag GmbH.</w:t>
      </w:r>
    </w:p>
    <w:sectPr w:rsidR="006111D5" w:rsidRPr="0067240D" w:rsidSect="005B6E22">
      <w:headerReference w:type="even" r:id="rId26"/>
      <w:headerReference w:type="default" r:id="rId27"/>
      <w:footerReference w:type="even" r:id="rId28"/>
      <w:footerReference w:type="default" r:id="rId29"/>
      <w:headerReference w:type="first" r:id="rId30"/>
      <w:footerReference w:type="first" r:id="rId31"/>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1BD30" w14:textId="77777777" w:rsidR="006A4587" w:rsidRDefault="006A4587">
      <w:pPr>
        <w:spacing w:line="240" w:lineRule="auto"/>
      </w:pPr>
      <w:r>
        <w:separator/>
      </w:r>
    </w:p>
  </w:endnote>
  <w:endnote w:type="continuationSeparator" w:id="0">
    <w:p w14:paraId="732C2865" w14:textId="77777777" w:rsidR="006A4587" w:rsidRDefault="006A4587">
      <w:pPr>
        <w:spacing w:line="240" w:lineRule="auto"/>
      </w:pPr>
      <w:r>
        <w:continuationSeparator/>
      </w:r>
    </w:p>
  </w:endnote>
  <w:endnote w:type="continuationNotice" w:id="1">
    <w:p w14:paraId="7CE9BB77" w14:textId="77777777" w:rsidR="006A4587" w:rsidRDefault="006A45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8248776-9F1A-4FFD-A532-CFFE96092CD0}"/>
    <w:embedBold r:id="rId2" w:fontKey="{6E2CDFF4-3370-47A1-96B1-6E676681B5EA}"/>
    <w:embedItalic r:id="rId3" w:fontKey="{46E4E822-8AD9-4BE2-B7AF-F93D3FCD1611}"/>
    <w:embedBoldItalic r:id="rId4" w:fontKey="{95DF282C-42AD-4D64-A2DF-3595BF5CA50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F30C2622-323A-46BA-A1E7-DE259A5FF9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9298" w14:textId="77777777" w:rsidR="005B6E22" w:rsidRDefault="005B6E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8DFB"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950D6CC" wp14:editId="1D4D1AF7">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40EA" w14:textId="77777777" w:rsidR="005B6E22" w:rsidRDefault="005B6E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9D810" w14:textId="77777777" w:rsidR="006A4587" w:rsidRPr="00777A2F" w:rsidRDefault="006A458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F3CDC05" w14:textId="77777777" w:rsidR="006A4587" w:rsidRDefault="006A4587">
      <w:r>
        <w:continuationSeparator/>
      </w:r>
    </w:p>
  </w:footnote>
  <w:footnote w:type="continuationNotice" w:id="1">
    <w:p w14:paraId="2F1237E9" w14:textId="77777777" w:rsidR="006A4587" w:rsidRDefault="006A4587">
      <w:pPr>
        <w:spacing w:line="240" w:lineRule="auto"/>
      </w:pPr>
    </w:p>
  </w:footnote>
  <w:footnote w:id="2">
    <w:p w14:paraId="50AB0A08" w14:textId="77777777" w:rsidR="00D378E4" w:rsidRPr="00D378E4" w:rsidRDefault="00D378E4" w:rsidP="00D378E4">
      <w:pPr>
        <w:pStyle w:val="Funotentext"/>
        <w:rPr>
          <w:szCs w:val="18"/>
          <w:lang w:val="de-DE"/>
        </w:rPr>
      </w:pPr>
      <w:r w:rsidRPr="00D378E4">
        <w:rPr>
          <w:rStyle w:val="Funotenzeichen"/>
          <w:sz w:val="18"/>
          <w:szCs w:val="18"/>
        </w:rPr>
        <w:footnoteRef/>
      </w:r>
      <w:r w:rsidRPr="00D378E4">
        <w:rPr>
          <w:szCs w:val="18"/>
        </w:rPr>
        <w:t xml:space="preserve"> Das Positionspapier trägt den Titel «Vielfalt braucht Vielfalt» und ist hier zu finden: </w:t>
      </w:r>
      <w:hyperlink r:id="rId1" w:history="1">
        <w:r w:rsidRPr="00D378E4">
          <w:rPr>
            <w:rStyle w:val="Hyperlink"/>
            <w:sz w:val="18"/>
            <w:szCs w:val="18"/>
          </w:rPr>
          <w:t>https://www.lch.ch/fileadmin/user_upload_lch/Positionspapier_LCH_Inklusionsorientierte_Schule_2023.pdf</w:t>
        </w:r>
      </w:hyperlink>
      <w:r w:rsidRPr="00D378E4">
        <w:rPr>
          <w:szCs w:val="18"/>
        </w:rPr>
        <w:t xml:space="preserve"> </w:t>
      </w:r>
    </w:p>
  </w:footnote>
  <w:footnote w:id="3">
    <w:p w14:paraId="4CACC12D" w14:textId="3CF053A5" w:rsidR="00D378E4" w:rsidRPr="00D378E4" w:rsidRDefault="00D378E4" w:rsidP="00D378E4">
      <w:pPr>
        <w:pStyle w:val="Funotentext"/>
        <w:rPr>
          <w:szCs w:val="18"/>
          <w:lang w:val="de-DE"/>
        </w:rPr>
      </w:pPr>
      <w:r w:rsidRPr="00D378E4">
        <w:rPr>
          <w:rStyle w:val="Funotenzeichen"/>
          <w:sz w:val="18"/>
          <w:szCs w:val="18"/>
        </w:rPr>
        <w:footnoteRef/>
      </w:r>
      <w:r w:rsidRPr="00D378E4">
        <w:rPr>
          <w:szCs w:val="18"/>
        </w:rPr>
        <w:t xml:space="preserve"> «</w:t>
      </w:r>
      <w:proofErr w:type="spellStart"/>
      <w:r w:rsidRPr="00D378E4">
        <w:rPr>
          <w:szCs w:val="18"/>
        </w:rPr>
        <w:t>grafset</w:t>
      </w:r>
      <w:proofErr w:type="spellEnd"/>
      <w:r w:rsidRPr="00D378E4">
        <w:rPr>
          <w:szCs w:val="18"/>
        </w:rPr>
        <w:t xml:space="preserve">» steht für «Settings der Förderung der Grafomotorik». Weitere Infos sind hier zu finden: </w:t>
      </w:r>
      <w:hyperlink r:id="rId2" w:history="1">
        <w:r w:rsidR="00A74188" w:rsidRPr="001D483D">
          <w:rPr>
            <w:rStyle w:val="Hyperlink"/>
            <w:sz w:val="18"/>
            <w:szCs w:val="18"/>
          </w:rPr>
          <w:t>https://www.grafset.ch/</w:t>
        </w:r>
      </w:hyperlink>
      <w:r w:rsidR="00A74188">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E9BA" w14:textId="77777777" w:rsidR="005B6E22" w:rsidRDefault="005B6E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BFAD8" w14:textId="77777777" w:rsidR="007B448B" w:rsidRPr="002C768D"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ACF245D" wp14:editId="77B30196">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5A2C357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C768D">
      <w:rPr>
        <w:lang w:val="de-CH"/>
      </w:rPr>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2C768D">
      <w:rPr>
        <w:b w:val="0"/>
        <w:bCs/>
        <w:lang w:val="de-CH"/>
      </w:rPr>
      <w:t>29</w:t>
    </w:r>
    <w:r w:rsidR="00237079" w:rsidRPr="00237079">
      <w:rPr>
        <w:b w:val="0"/>
        <w:bCs/>
        <w:lang w:val="de-CH"/>
      </w:rPr>
      <w:t xml:space="preserve">, </w:t>
    </w:r>
    <w:r w:rsidR="002C768D">
      <w:rPr>
        <w:b w:val="0"/>
        <w:bCs/>
        <w:lang w:val="de-CH"/>
      </w:rPr>
      <w:t>08</w:t>
    </w:r>
    <w:r w:rsidR="00237079" w:rsidRPr="00237079">
      <w:rPr>
        <w:b w:val="0"/>
        <w:bCs/>
        <w:lang w:val="de-CH"/>
      </w:rPr>
      <w:t>/</w:t>
    </w:r>
    <w:r w:rsidR="002C768D">
      <w:rPr>
        <w:b w:val="0"/>
        <w:bCs/>
        <w:lang w:val="de-CH"/>
      </w:rPr>
      <w:t>2023</w:t>
    </w:r>
  </w:p>
  <w:p w14:paraId="53F2FB19" w14:textId="7777777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2B97C4A0"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4A266" w14:textId="77777777" w:rsidR="005B6E22" w:rsidRDefault="005B6E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342FE3"/>
    <w:multiLevelType w:val="hybridMultilevel"/>
    <w:tmpl w:val="4DD2DC34"/>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42C2821"/>
    <w:multiLevelType w:val="hybridMultilevel"/>
    <w:tmpl w:val="59604778"/>
    <w:lvl w:ilvl="0" w:tplc="08070001">
      <w:start w:val="1"/>
      <w:numFmt w:val="bullet"/>
      <w:lvlText w:val=""/>
      <w:lvlJc w:val="left"/>
      <w:pPr>
        <w:ind w:left="773" w:hanging="360"/>
      </w:pPr>
      <w:rPr>
        <w:rFonts w:ascii="Symbol" w:hAnsi="Symbol" w:hint="default"/>
      </w:rPr>
    </w:lvl>
    <w:lvl w:ilvl="1" w:tplc="08070003" w:tentative="1">
      <w:start w:val="1"/>
      <w:numFmt w:val="bullet"/>
      <w:lvlText w:val="o"/>
      <w:lvlJc w:val="left"/>
      <w:pPr>
        <w:ind w:left="1493" w:hanging="360"/>
      </w:pPr>
      <w:rPr>
        <w:rFonts w:ascii="Courier New" w:hAnsi="Courier New" w:cs="Courier New" w:hint="default"/>
      </w:rPr>
    </w:lvl>
    <w:lvl w:ilvl="2" w:tplc="08070005" w:tentative="1">
      <w:start w:val="1"/>
      <w:numFmt w:val="bullet"/>
      <w:lvlText w:val=""/>
      <w:lvlJc w:val="left"/>
      <w:pPr>
        <w:ind w:left="2213" w:hanging="360"/>
      </w:pPr>
      <w:rPr>
        <w:rFonts w:ascii="Wingdings" w:hAnsi="Wingdings" w:hint="default"/>
      </w:rPr>
    </w:lvl>
    <w:lvl w:ilvl="3" w:tplc="08070001" w:tentative="1">
      <w:start w:val="1"/>
      <w:numFmt w:val="bullet"/>
      <w:lvlText w:val=""/>
      <w:lvlJc w:val="left"/>
      <w:pPr>
        <w:ind w:left="2933" w:hanging="360"/>
      </w:pPr>
      <w:rPr>
        <w:rFonts w:ascii="Symbol" w:hAnsi="Symbol" w:hint="default"/>
      </w:rPr>
    </w:lvl>
    <w:lvl w:ilvl="4" w:tplc="08070003" w:tentative="1">
      <w:start w:val="1"/>
      <w:numFmt w:val="bullet"/>
      <w:lvlText w:val="o"/>
      <w:lvlJc w:val="left"/>
      <w:pPr>
        <w:ind w:left="3653" w:hanging="360"/>
      </w:pPr>
      <w:rPr>
        <w:rFonts w:ascii="Courier New" w:hAnsi="Courier New" w:cs="Courier New" w:hint="default"/>
      </w:rPr>
    </w:lvl>
    <w:lvl w:ilvl="5" w:tplc="08070005" w:tentative="1">
      <w:start w:val="1"/>
      <w:numFmt w:val="bullet"/>
      <w:lvlText w:val=""/>
      <w:lvlJc w:val="left"/>
      <w:pPr>
        <w:ind w:left="4373" w:hanging="360"/>
      </w:pPr>
      <w:rPr>
        <w:rFonts w:ascii="Wingdings" w:hAnsi="Wingdings" w:hint="default"/>
      </w:rPr>
    </w:lvl>
    <w:lvl w:ilvl="6" w:tplc="08070001" w:tentative="1">
      <w:start w:val="1"/>
      <w:numFmt w:val="bullet"/>
      <w:lvlText w:val=""/>
      <w:lvlJc w:val="left"/>
      <w:pPr>
        <w:ind w:left="5093" w:hanging="360"/>
      </w:pPr>
      <w:rPr>
        <w:rFonts w:ascii="Symbol" w:hAnsi="Symbol" w:hint="default"/>
      </w:rPr>
    </w:lvl>
    <w:lvl w:ilvl="7" w:tplc="08070003" w:tentative="1">
      <w:start w:val="1"/>
      <w:numFmt w:val="bullet"/>
      <w:lvlText w:val="o"/>
      <w:lvlJc w:val="left"/>
      <w:pPr>
        <w:ind w:left="5813" w:hanging="360"/>
      </w:pPr>
      <w:rPr>
        <w:rFonts w:ascii="Courier New" w:hAnsi="Courier New" w:cs="Courier New" w:hint="default"/>
      </w:rPr>
    </w:lvl>
    <w:lvl w:ilvl="8" w:tplc="08070005" w:tentative="1">
      <w:start w:val="1"/>
      <w:numFmt w:val="bullet"/>
      <w:lvlText w:val=""/>
      <w:lvlJc w:val="left"/>
      <w:pPr>
        <w:ind w:left="6533" w:hanging="360"/>
      </w:pPr>
      <w:rPr>
        <w:rFonts w:ascii="Wingdings" w:hAnsi="Wingdings" w:hint="default"/>
      </w:r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04D32"/>
    <w:multiLevelType w:val="hybridMultilevel"/>
    <w:tmpl w:val="5D342B22"/>
    <w:lvl w:ilvl="0" w:tplc="0807000F">
      <w:start w:val="1"/>
      <w:numFmt w:val="decimal"/>
      <w:lvlText w:val="%1."/>
      <w:lvlJc w:val="left"/>
      <w:pPr>
        <w:ind w:left="530" w:hanging="360"/>
      </w:p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8"/>
  </w:num>
  <w:num w:numId="14" w16cid:durableId="1128471426">
    <w:abstractNumId w:val="11"/>
  </w:num>
  <w:num w:numId="15" w16cid:durableId="1886675913">
    <w:abstractNumId w:val="26"/>
  </w:num>
  <w:num w:numId="16" w16cid:durableId="669143170">
    <w:abstractNumId w:val="40"/>
  </w:num>
  <w:num w:numId="17" w16cid:durableId="1816487952">
    <w:abstractNumId w:val="12"/>
  </w:num>
  <w:num w:numId="18" w16cid:durableId="1320425882">
    <w:abstractNumId w:val="33"/>
  </w:num>
  <w:num w:numId="19" w16cid:durableId="574709185">
    <w:abstractNumId w:val="43"/>
  </w:num>
  <w:num w:numId="20" w16cid:durableId="11883124">
    <w:abstractNumId w:val="41"/>
  </w:num>
  <w:num w:numId="21" w16cid:durableId="379716589">
    <w:abstractNumId w:val="27"/>
  </w:num>
  <w:num w:numId="22" w16cid:durableId="2088532560">
    <w:abstractNumId w:val="15"/>
  </w:num>
  <w:num w:numId="23" w16cid:durableId="904416417">
    <w:abstractNumId w:val="31"/>
  </w:num>
  <w:num w:numId="24" w16cid:durableId="1284269733">
    <w:abstractNumId w:val="36"/>
  </w:num>
  <w:num w:numId="25" w16cid:durableId="1202477524">
    <w:abstractNumId w:val="21"/>
  </w:num>
  <w:num w:numId="26" w16cid:durableId="93403316">
    <w:abstractNumId w:val="22"/>
  </w:num>
  <w:num w:numId="27" w16cid:durableId="1629702137">
    <w:abstractNumId w:val="29"/>
  </w:num>
  <w:num w:numId="28" w16cid:durableId="1363939546">
    <w:abstractNumId w:val="23"/>
  </w:num>
  <w:num w:numId="29" w16cid:durableId="1104112459">
    <w:abstractNumId w:val="37"/>
  </w:num>
  <w:num w:numId="30" w16cid:durableId="461922985">
    <w:abstractNumId w:val="38"/>
  </w:num>
  <w:num w:numId="31" w16cid:durableId="1674143091">
    <w:abstractNumId w:val="18"/>
  </w:num>
  <w:num w:numId="32" w16cid:durableId="383021627">
    <w:abstractNumId w:val="17"/>
  </w:num>
  <w:num w:numId="33" w16cid:durableId="930551164">
    <w:abstractNumId w:val="30"/>
  </w:num>
  <w:num w:numId="34" w16cid:durableId="603652748">
    <w:abstractNumId w:val="42"/>
  </w:num>
  <w:num w:numId="35" w16cid:durableId="391268124">
    <w:abstractNumId w:val="34"/>
  </w:num>
  <w:num w:numId="36" w16cid:durableId="139350252">
    <w:abstractNumId w:val="25"/>
  </w:num>
  <w:num w:numId="37" w16cid:durableId="1571379088">
    <w:abstractNumId w:val="19"/>
  </w:num>
  <w:num w:numId="38" w16cid:durableId="1164659798">
    <w:abstractNumId w:val="32"/>
  </w:num>
  <w:num w:numId="39" w16cid:durableId="1291790616">
    <w:abstractNumId w:val="13"/>
  </w:num>
  <w:num w:numId="40" w16cid:durableId="1479614155">
    <w:abstractNumId w:val="10"/>
  </w:num>
  <w:num w:numId="41" w16cid:durableId="1818760894">
    <w:abstractNumId w:val="16"/>
  </w:num>
  <w:num w:numId="42" w16cid:durableId="1131677709">
    <w:abstractNumId w:val="24"/>
  </w:num>
  <w:num w:numId="43" w16cid:durableId="1167286310">
    <w:abstractNumId w:val="35"/>
  </w:num>
  <w:num w:numId="44" w16cid:durableId="2137405373">
    <w:abstractNumId w:val="8"/>
  </w:num>
  <w:num w:numId="45" w16cid:durableId="2594173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8D"/>
    <w:rsid w:val="00016BFF"/>
    <w:rsid w:val="00020912"/>
    <w:rsid w:val="00024143"/>
    <w:rsid w:val="000302CB"/>
    <w:rsid w:val="00030DC8"/>
    <w:rsid w:val="0003314D"/>
    <w:rsid w:val="000352CE"/>
    <w:rsid w:val="00036AFC"/>
    <w:rsid w:val="00042278"/>
    <w:rsid w:val="00053353"/>
    <w:rsid w:val="00057A78"/>
    <w:rsid w:val="00070B1E"/>
    <w:rsid w:val="00072BB5"/>
    <w:rsid w:val="000759D7"/>
    <w:rsid w:val="00087D62"/>
    <w:rsid w:val="0009146E"/>
    <w:rsid w:val="000924D3"/>
    <w:rsid w:val="00097E7D"/>
    <w:rsid w:val="000A321F"/>
    <w:rsid w:val="000B278A"/>
    <w:rsid w:val="000B31E1"/>
    <w:rsid w:val="000B5BB8"/>
    <w:rsid w:val="000D24A9"/>
    <w:rsid w:val="000D3765"/>
    <w:rsid w:val="000D3C1B"/>
    <w:rsid w:val="000D7643"/>
    <w:rsid w:val="000E5C64"/>
    <w:rsid w:val="000E6A66"/>
    <w:rsid w:val="000E732C"/>
    <w:rsid w:val="000F08B0"/>
    <w:rsid w:val="000F0956"/>
    <w:rsid w:val="000F3711"/>
    <w:rsid w:val="000F4B54"/>
    <w:rsid w:val="000F5288"/>
    <w:rsid w:val="0010111F"/>
    <w:rsid w:val="00101D98"/>
    <w:rsid w:val="0010334E"/>
    <w:rsid w:val="001114E2"/>
    <w:rsid w:val="001150A5"/>
    <w:rsid w:val="00115EF5"/>
    <w:rsid w:val="001161D6"/>
    <w:rsid w:val="00117142"/>
    <w:rsid w:val="00120CBF"/>
    <w:rsid w:val="001248D4"/>
    <w:rsid w:val="0012743D"/>
    <w:rsid w:val="0015093A"/>
    <w:rsid w:val="00151BCA"/>
    <w:rsid w:val="00153133"/>
    <w:rsid w:val="00157D7E"/>
    <w:rsid w:val="00167858"/>
    <w:rsid w:val="00192FF1"/>
    <w:rsid w:val="00194F24"/>
    <w:rsid w:val="001A2EEC"/>
    <w:rsid w:val="001A6DCA"/>
    <w:rsid w:val="001B05BD"/>
    <w:rsid w:val="001B16E8"/>
    <w:rsid w:val="001B1BE1"/>
    <w:rsid w:val="001B25F3"/>
    <w:rsid w:val="001B29B6"/>
    <w:rsid w:val="001B7781"/>
    <w:rsid w:val="001D3BFB"/>
    <w:rsid w:val="001E3BE9"/>
    <w:rsid w:val="001F2A01"/>
    <w:rsid w:val="00202A19"/>
    <w:rsid w:val="0020358C"/>
    <w:rsid w:val="0020467E"/>
    <w:rsid w:val="002325F2"/>
    <w:rsid w:val="00235A6C"/>
    <w:rsid w:val="00237079"/>
    <w:rsid w:val="00241303"/>
    <w:rsid w:val="002443A6"/>
    <w:rsid w:val="002665DF"/>
    <w:rsid w:val="0027511F"/>
    <w:rsid w:val="002757F9"/>
    <w:rsid w:val="00276B2C"/>
    <w:rsid w:val="00280C61"/>
    <w:rsid w:val="002837C6"/>
    <w:rsid w:val="00284EA0"/>
    <w:rsid w:val="002862AA"/>
    <w:rsid w:val="002A127F"/>
    <w:rsid w:val="002A6EB6"/>
    <w:rsid w:val="002B28D4"/>
    <w:rsid w:val="002C5235"/>
    <w:rsid w:val="002C768D"/>
    <w:rsid w:val="002D39A1"/>
    <w:rsid w:val="002D59D1"/>
    <w:rsid w:val="002E13B6"/>
    <w:rsid w:val="002E3785"/>
    <w:rsid w:val="002E5374"/>
    <w:rsid w:val="0030447C"/>
    <w:rsid w:val="00307EC7"/>
    <w:rsid w:val="00321B79"/>
    <w:rsid w:val="00322024"/>
    <w:rsid w:val="003222A6"/>
    <w:rsid w:val="00323D3F"/>
    <w:rsid w:val="003437E8"/>
    <w:rsid w:val="003576A3"/>
    <w:rsid w:val="00360D6A"/>
    <w:rsid w:val="0036444C"/>
    <w:rsid w:val="0036569A"/>
    <w:rsid w:val="00365730"/>
    <w:rsid w:val="00371640"/>
    <w:rsid w:val="003717BF"/>
    <w:rsid w:val="00372696"/>
    <w:rsid w:val="00374F8F"/>
    <w:rsid w:val="003819B7"/>
    <w:rsid w:val="00382314"/>
    <w:rsid w:val="00383074"/>
    <w:rsid w:val="00386CFF"/>
    <w:rsid w:val="003932C2"/>
    <w:rsid w:val="003A0EA7"/>
    <w:rsid w:val="003A1839"/>
    <w:rsid w:val="003A2717"/>
    <w:rsid w:val="003B4C81"/>
    <w:rsid w:val="003D0C65"/>
    <w:rsid w:val="003D221C"/>
    <w:rsid w:val="003D502F"/>
    <w:rsid w:val="003D56A6"/>
    <w:rsid w:val="003E022D"/>
    <w:rsid w:val="003E0578"/>
    <w:rsid w:val="003E3BFF"/>
    <w:rsid w:val="003F55DF"/>
    <w:rsid w:val="003F6A6B"/>
    <w:rsid w:val="003F78C2"/>
    <w:rsid w:val="004027D5"/>
    <w:rsid w:val="00404F18"/>
    <w:rsid w:val="004108D3"/>
    <w:rsid w:val="00413702"/>
    <w:rsid w:val="00414332"/>
    <w:rsid w:val="00421D05"/>
    <w:rsid w:val="00426606"/>
    <w:rsid w:val="00432F97"/>
    <w:rsid w:val="0043385F"/>
    <w:rsid w:val="00441F45"/>
    <w:rsid w:val="004421C7"/>
    <w:rsid w:val="004472CF"/>
    <w:rsid w:val="00450BA2"/>
    <w:rsid w:val="0045144F"/>
    <w:rsid w:val="00454BCF"/>
    <w:rsid w:val="004609F9"/>
    <w:rsid w:val="00467E46"/>
    <w:rsid w:val="0047168D"/>
    <w:rsid w:val="00481199"/>
    <w:rsid w:val="004815EE"/>
    <w:rsid w:val="00486270"/>
    <w:rsid w:val="004927CF"/>
    <w:rsid w:val="004A2854"/>
    <w:rsid w:val="004B1834"/>
    <w:rsid w:val="004B29F8"/>
    <w:rsid w:val="004B3001"/>
    <w:rsid w:val="004B3A29"/>
    <w:rsid w:val="004B47AB"/>
    <w:rsid w:val="004C13EB"/>
    <w:rsid w:val="004C4A76"/>
    <w:rsid w:val="004C640D"/>
    <w:rsid w:val="004D542D"/>
    <w:rsid w:val="004D58AC"/>
    <w:rsid w:val="004E232F"/>
    <w:rsid w:val="004E6C1F"/>
    <w:rsid w:val="004F5BC6"/>
    <w:rsid w:val="004F5C23"/>
    <w:rsid w:val="00503D63"/>
    <w:rsid w:val="005054D0"/>
    <w:rsid w:val="005055D5"/>
    <w:rsid w:val="00505783"/>
    <w:rsid w:val="00521559"/>
    <w:rsid w:val="00530E98"/>
    <w:rsid w:val="00531F94"/>
    <w:rsid w:val="00533DA1"/>
    <w:rsid w:val="00535E90"/>
    <w:rsid w:val="00546490"/>
    <w:rsid w:val="0056578A"/>
    <w:rsid w:val="0056595B"/>
    <w:rsid w:val="00571774"/>
    <w:rsid w:val="00571C0D"/>
    <w:rsid w:val="00572C4C"/>
    <w:rsid w:val="0057605E"/>
    <w:rsid w:val="00576902"/>
    <w:rsid w:val="00576E09"/>
    <w:rsid w:val="00577261"/>
    <w:rsid w:val="00581DB2"/>
    <w:rsid w:val="00585ED0"/>
    <w:rsid w:val="00587EF6"/>
    <w:rsid w:val="00591DB5"/>
    <w:rsid w:val="00592B57"/>
    <w:rsid w:val="00594747"/>
    <w:rsid w:val="00594844"/>
    <w:rsid w:val="005A3776"/>
    <w:rsid w:val="005A5A64"/>
    <w:rsid w:val="005A646E"/>
    <w:rsid w:val="005A6F41"/>
    <w:rsid w:val="005A7AE7"/>
    <w:rsid w:val="005B1A54"/>
    <w:rsid w:val="005B5FCA"/>
    <w:rsid w:val="005B6E22"/>
    <w:rsid w:val="005C6DD2"/>
    <w:rsid w:val="005D15B8"/>
    <w:rsid w:val="005E150A"/>
    <w:rsid w:val="005E28CB"/>
    <w:rsid w:val="005E3A49"/>
    <w:rsid w:val="005E7DD5"/>
    <w:rsid w:val="005F5AF8"/>
    <w:rsid w:val="00603DC6"/>
    <w:rsid w:val="0060792C"/>
    <w:rsid w:val="006111D5"/>
    <w:rsid w:val="006111F5"/>
    <w:rsid w:val="00623E11"/>
    <w:rsid w:val="00630CBB"/>
    <w:rsid w:val="006411DE"/>
    <w:rsid w:val="006448C5"/>
    <w:rsid w:val="00653088"/>
    <w:rsid w:val="006555BD"/>
    <w:rsid w:val="006676E2"/>
    <w:rsid w:val="0067240D"/>
    <w:rsid w:val="00675AE1"/>
    <w:rsid w:val="00682B8C"/>
    <w:rsid w:val="00683ED1"/>
    <w:rsid w:val="00685EB4"/>
    <w:rsid w:val="00691F3B"/>
    <w:rsid w:val="006933C4"/>
    <w:rsid w:val="00695008"/>
    <w:rsid w:val="00696681"/>
    <w:rsid w:val="0069792B"/>
    <w:rsid w:val="006A4587"/>
    <w:rsid w:val="006A4C05"/>
    <w:rsid w:val="006A74EA"/>
    <w:rsid w:val="006A7CE6"/>
    <w:rsid w:val="006B469C"/>
    <w:rsid w:val="006B5540"/>
    <w:rsid w:val="006B76C3"/>
    <w:rsid w:val="006C05F0"/>
    <w:rsid w:val="006C1582"/>
    <w:rsid w:val="006C2B84"/>
    <w:rsid w:val="006C3DFC"/>
    <w:rsid w:val="006C6593"/>
    <w:rsid w:val="006D1F15"/>
    <w:rsid w:val="006D4215"/>
    <w:rsid w:val="006D5D28"/>
    <w:rsid w:val="006E1B66"/>
    <w:rsid w:val="006E210A"/>
    <w:rsid w:val="006E260B"/>
    <w:rsid w:val="006E7C5A"/>
    <w:rsid w:val="006F2CDF"/>
    <w:rsid w:val="00702BE5"/>
    <w:rsid w:val="00710490"/>
    <w:rsid w:val="007155B8"/>
    <w:rsid w:val="0071688C"/>
    <w:rsid w:val="00733465"/>
    <w:rsid w:val="007373E7"/>
    <w:rsid w:val="007424F5"/>
    <w:rsid w:val="0074442C"/>
    <w:rsid w:val="00750B19"/>
    <w:rsid w:val="007545FE"/>
    <w:rsid w:val="00755BEC"/>
    <w:rsid w:val="0075699B"/>
    <w:rsid w:val="00764FC4"/>
    <w:rsid w:val="007716DA"/>
    <w:rsid w:val="00773214"/>
    <w:rsid w:val="00775449"/>
    <w:rsid w:val="00777A2F"/>
    <w:rsid w:val="00787B6E"/>
    <w:rsid w:val="00790847"/>
    <w:rsid w:val="00796AEB"/>
    <w:rsid w:val="00797C90"/>
    <w:rsid w:val="007A3489"/>
    <w:rsid w:val="007A4043"/>
    <w:rsid w:val="007A45D1"/>
    <w:rsid w:val="007A75E1"/>
    <w:rsid w:val="007B1C91"/>
    <w:rsid w:val="007B3EF6"/>
    <w:rsid w:val="007B448B"/>
    <w:rsid w:val="007B4F54"/>
    <w:rsid w:val="007B5701"/>
    <w:rsid w:val="007B62B5"/>
    <w:rsid w:val="007B6476"/>
    <w:rsid w:val="007C5AB3"/>
    <w:rsid w:val="007D127A"/>
    <w:rsid w:val="007E1AA7"/>
    <w:rsid w:val="007E3CCB"/>
    <w:rsid w:val="007E78D0"/>
    <w:rsid w:val="007E793B"/>
    <w:rsid w:val="007F43B0"/>
    <w:rsid w:val="007F5E1D"/>
    <w:rsid w:val="0080610A"/>
    <w:rsid w:val="008152E5"/>
    <w:rsid w:val="00824C6D"/>
    <w:rsid w:val="0082521B"/>
    <w:rsid w:val="00830A17"/>
    <w:rsid w:val="008351F7"/>
    <w:rsid w:val="008426D8"/>
    <w:rsid w:val="00853805"/>
    <w:rsid w:val="00855097"/>
    <w:rsid w:val="0086305F"/>
    <w:rsid w:val="00864CFF"/>
    <w:rsid w:val="00870508"/>
    <w:rsid w:val="00882B9B"/>
    <w:rsid w:val="008854C8"/>
    <w:rsid w:val="00887B98"/>
    <w:rsid w:val="00890800"/>
    <w:rsid w:val="00891E7D"/>
    <w:rsid w:val="008924D4"/>
    <w:rsid w:val="008A2229"/>
    <w:rsid w:val="008A45D1"/>
    <w:rsid w:val="008B0DC5"/>
    <w:rsid w:val="008B1F85"/>
    <w:rsid w:val="008C0DD3"/>
    <w:rsid w:val="008C6EDB"/>
    <w:rsid w:val="008D07E2"/>
    <w:rsid w:val="008D1807"/>
    <w:rsid w:val="008D5C66"/>
    <w:rsid w:val="008E2DD9"/>
    <w:rsid w:val="008E6D05"/>
    <w:rsid w:val="008E7456"/>
    <w:rsid w:val="008F2E4E"/>
    <w:rsid w:val="00912E02"/>
    <w:rsid w:val="00920846"/>
    <w:rsid w:val="00920A21"/>
    <w:rsid w:val="00920C5A"/>
    <w:rsid w:val="00925DBC"/>
    <w:rsid w:val="009320B8"/>
    <w:rsid w:val="00934CFB"/>
    <w:rsid w:val="00941745"/>
    <w:rsid w:val="00943B46"/>
    <w:rsid w:val="00944EA8"/>
    <w:rsid w:val="009469D9"/>
    <w:rsid w:val="00953789"/>
    <w:rsid w:val="009552F9"/>
    <w:rsid w:val="009562D2"/>
    <w:rsid w:val="00963E1B"/>
    <w:rsid w:val="00965D9E"/>
    <w:rsid w:val="009660DC"/>
    <w:rsid w:val="00967B90"/>
    <w:rsid w:val="00967D5F"/>
    <w:rsid w:val="00971A9F"/>
    <w:rsid w:val="00983974"/>
    <w:rsid w:val="009850BA"/>
    <w:rsid w:val="00985126"/>
    <w:rsid w:val="009947DA"/>
    <w:rsid w:val="009A57A5"/>
    <w:rsid w:val="009A73FC"/>
    <w:rsid w:val="009A7FF6"/>
    <w:rsid w:val="009B5334"/>
    <w:rsid w:val="009B7910"/>
    <w:rsid w:val="009C1625"/>
    <w:rsid w:val="009C6886"/>
    <w:rsid w:val="009D1A1B"/>
    <w:rsid w:val="009D32D7"/>
    <w:rsid w:val="009D4CCF"/>
    <w:rsid w:val="009E5005"/>
    <w:rsid w:val="009F1E03"/>
    <w:rsid w:val="009F4CD6"/>
    <w:rsid w:val="009F6A07"/>
    <w:rsid w:val="00A006F3"/>
    <w:rsid w:val="00A05E25"/>
    <w:rsid w:val="00A10362"/>
    <w:rsid w:val="00A11404"/>
    <w:rsid w:val="00A1761B"/>
    <w:rsid w:val="00A37E53"/>
    <w:rsid w:val="00A43FC7"/>
    <w:rsid w:val="00A47BC7"/>
    <w:rsid w:val="00A50A1E"/>
    <w:rsid w:val="00A543D6"/>
    <w:rsid w:val="00A55E72"/>
    <w:rsid w:val="00A60510"/>
    <w:rsid w:val="00A61330"/>
    <w:rsid w:val="00A738BD"/>
    <w:rsid w:val="00A74188"/>
    <w:rsid w:val="00A8727C"/>
    <w:rsid w:val="00A951E1"/>
    <w:rsid w:val="00AA2F41"/>
    <w:rsid w:val="00AA7D4C"/>
    <w:rsid w:val="00AB37ED"/>
    <w:rsid w:val="00AB4BB5"/>
    <w:rsid w:val="00AB7501"/>
    <w:rsid w:val="00AC20F1"/>
    <w:rsid w:val="00AD64FB"/>
    <w:rsid w:val="00AD7943"/>
    <w:rsid w:val="00AD7C7B"/>
    <w:rsid w:val="00AE034C"/>
    <w:rsid w:val="00AE583E"/>
    <w:rsid w:val="00AE5B14"/>
    <w:rsid w:val="00AE5D15"/>
    <w:rsid w:val="00AE631D"/>
    <w:rsid w:val="00AF16EB"/>
    <w:rsid w:val="00B0701A"/>
    <w:rsid w:val="00B1313A"/>
    <w:rsid w:val="00B17310"/>
    <w:rsid w:val="00B21327"/>
    <w:rsid w:val="00B23EE5"/>
    <w:rsid w:val="00B23FEC"/>
    <w:rsid w:val="00B24C90"/>
    <w:rsid w:val="00B267C2"/>
    <w:rsid w:val="00B44D06"/>
    <w:rsid w:val="00B50E21"/>
    <w:rsid w:val="00B54E5C"/>
    <w:rsid w:val="00B64EBE"/>
    <w:rsid w:val="00B65C8A"/>
    <w:rsid w:val="00B71621"/>
    <w:rsid w:val="00B728B1"/>
    <w:rsid w:val="00B7489C"/>
    <w:rsid w:val="00B7596B"/>
    <w:rsid w:val="00B817F6"/>
    <w:rsid w:val="00B91170"/>
    <w:rsid w:val="00BA50D5"/>
    <w:rsid w:val="00BB3270"/>
    <w:rsid w:val="00BB7EDB"/>
    <w:rsid w:val="00BC29AE"/>
    <w:rsid w:val="00BC32F4"/>
    <w:rsid w:val="00BD21BA"/>
    <w:rsid w:val="00BD4FAD"/>
    <w:rsid w:val="00BD5880"/>
    <w:rsid w:val="00BD74F7"/>
    <w:rsid w:val="00BF4C1B"/>
    <w:rsid w:val="00BF5EDE"/>
    <w:rsid w:val="00C201F8"/>
    <w:rsid w:val="00C24833"/>
    <w:rsid w:val="00C26C38"/>
    <w:rsid w:val="00C32FC6"/>
    <w:rsid w:val="00C348E0"/>
    <w:rsid w:val="00C350DC"/>
    <w:rsid w:val="00C40DDF"/>
    <w:rsid w:val="00C40EDD"/>
    <w:rsid w:val="00C43705"/>
    <w:rsid w:val="00C50710"/>
    <w:rsid w:val="00C63ADB"/>
    <w:rsid w:val="00C678D9"/>
    <w:rsid w:val="00C72ACB"/>
    <w:rsid w:val="00C7447F"/>
    <w:rsid w:val="00C76A86"/>
    <w:rsid w:val="00C77A77"/>
    <w:rsid w:val="00C85052"/>
    <w:rsid w:val="00C90953"/>
    <w:rsid w:val="00CB2C7C"/>
    <w:rsid w:val="00CC1689"/>
    <w:rsid w:val="00CC7EFD"/>
    <w:rsid w:val="00CD35D5"/>
    <w:rsid w:val="00CE0067"/>
    <w:rsid w:val="00CE12B0"/>
    <w:rsid w:val="00CF4C21"/>
    <w:rsid w:val="00CF4C63"/>
    <w:rsid w:val="00CF788D"/>
    <w:rsid w:val="00D0269F"/>
    <w:rsid w:val="00D02DE1"/>
    <w:rsid w:val="00D040C6"/>
    <w:rsid w:val="00D1216B"/>
    <w:rsid w:val="00D17F8E"/>
    <w:rsid w:val="00D232F1"/>
    <w:rsid w:val="00D30491"/>
    <w:rsid w:val="00D378E4"/>
    <w:rsid w:val="00D45554"/>
    <w:rsid w:val="00D46C56"/>
    <w:rsid w:val="00D54F59"/>
    <w:rsid w:val="00D55316"/>
    <w:rsid w:val="00D614DC"/>
    <w:rsid w:val="00D65100"/>
    <w:rsid w:val="00D75B90"/>
    <w:rsid w:val="00D906DD"/>
    <w:rsid w:val="00D9463F"/>
    <w:rsid w:val="00D9469F"/>
    <w:rsid w:val="00D94D45"/>
    <w:rsid w:val="00D969AF"/>
    <w:rsid w:val="00DA3CEB"/>
    <w:rsid w:val="00DA62E2"/>
    <w:rsid w:val="00DA6FFD"/>
    <w:rsid w:val="00DB085C"/>
    <w:rsid w:val="00DB1453"/>
    <w:rsid w:val="00DB1F8B"/>
    <w:rsid w:val="00DB5151"/>
    <w:rsid w:val="00DB5625"/>
    <w:rsid w:val="00DC0AB5"/>
    <w:rsid w:val="00DC34C1"/>
    <w:rsid w:val="00DC399A"/>
    <w:rsid w:val="00DD7A28"/>
    <w:rsid w:val="00DE6B7F"/>
    <w:rsid w:val="00DF11B1"/>
    <w:rsid w:val="00DF4FAE"/>
    <w:rsid w:val="00DF5157"/>
    <w:rsid w:val="00E03695"/>
    <w:rsid w:val="00E05902"/>
    <w:rsid w:val="00E05A1B"/>
    <w:rsid w:val="00E23124"/>
    <w:rsid w:val="00E26F3D"/>
    <w:rsid w:val="00E31225"/>
    <w:rsid w:val="00E35CA3"/>
    <w:rsid w:val="00E422C1"/>
    <w:rsid w:val="00E42E44"/>
    <w:rsid w:val="00E543F6"/>
    <w:rsid w:val="00E54DD0"/>
    <w:rsid w:val="00E57186"/>
    <w:rsid w:val="00E60BBC"/>
    <w:rsid w:val="00E6236B"/>
    <w:rsid w:val="00E7708B"/>
    <w:rsid w:val="00E7780E"/>
    <w:rsid w:val="00E8625B"/>
    <w:rsid w:val="00E9142E"/>
    <w:rsid w:val="00E96E69"/>
    <w:rsid w:val="00EA4676"/>
    <w:rsid w:val="00EA484D"/>
    <w:rsid w:val="00EA773B"/>
    <w:rsid w:val="00EC0A4F"/>
    <w:rsid w:val="00EC61B0"/>
    <w:rsid w:val="00EC6653"/>
    <w:rsid w:val="00ED0CE8"/>
    <w:rsid w:val="00ED473A"/>
    <w:rsid w:val="00ED609C"/>
    <w:rsid w:val="00EF4C1D"/>
    <w:rsid w:val="00EF7CFB"/>
    <w:rsid w:val="00F04C5A"/>
    <w:rsid w:val="00F10A02"/>
    <w:rsid w:val="00F17B82"/>
    <w:rsid w:val="00F23865"/>
    <w:rsid w:val="00F42E47"/>
    <w:rsid w:val="00F46FF7"/>
    <w:rsid w:val="00F47AD4"/>
    <w:rsid w:val="00F52D74"/>
    <w:rsid w:val="00F63D23"/>
    <w:rsid w:val="00F66D25"/>
    <w:rsid w:val="00F724C3"/>
    <w:rsid w:val="00F74E4B"/>
    <w:rsid w:val="00F767F6"/>
    <w:rsid w:val="00F76CB2"/>
    <w:rsid w:val="00F83A13"/>
    <w:rsid w:val="00F90D5E"/>
    <w:rsid w:val="00F91076"/>
    <w:rsid w:val="00FB2600"/>
    <w:rsid w:val="00FB2DAA"/>
    <w:rsid w:val="00FB48D2"/>
    <w:rsid w:val="00FB7742"/>
    <w:rsid w:val="00FC03F4"/>
    <w:rsid w:val="00FC0E0A"/>
    <w:rsid w:val="00FC6082"/>
    <w:rsid w:val="00FC7953"/>
    <w:rsid w:val="00FD5708"/>
    <w:rsid w:val="00FE57F9"/>
    <w:rsid w:val="00FF1590"/>
    <w:rsid w:val="00FF2E2B"/>
    <w:rsid w:val="00FF6620"/>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C1148"/>
  <w15:docId w15:val="{70A9C21A-B3F9-4294-8FB5-C03ABC80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A006F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ind w:left="851" w:hanging="425"/>
    </w:pPr>
    <w:rPr>
      <w:rFonts w:cs="Open Sans SemiCondensed"/>
    </w:rPr>
  </w:style>
  <w:style w:type="paragraph" w:styleId="Listennummer3">
    <w:name w:val="List Number 3"/>
    <w:basedOn w:val="Listennummer"/>
    <w:unhideWhenUsed/>
    <w:rsid w:val="00382314"/>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TitelZchn">
    <w:name w:val="Titel Zchn"/>
    <w:basedOn w:val="Absatz-Standardschriftart"/>
    <w:link w:val="Titel"/>
    <w:uiPriority w:val="10"/>
    <w:rsid w:val="00ED609C"/>
    <w:rPr>
      <w:rFonts w:eastAsiaTheme="majorEastAsia" w:cstheme="majorBidi"/>
      <w:b/>
      <w:bCs/>
      <w:color w:val="D31932" w:themeColor="accent1"/>
      <w:spacing w:val="20"/>
      <w:sz w:val="28"/>
      <w:szCs w:val="28"/>
      <w:lang w:val="de-CH"/>
    </w:rPr>
  </w:style>
  <w:style w:type="paragraph" w:styleId="Beschriftung">
    <w:name w:val="caption"/>
    <w:basedOn w:val="Standard"/>
    <w:next w:val="Standard"/>
    <w:uiPriority w:val="35"/>
    <w:unhideWhenUsed/>
    <w:qFormat/>
    <w:rsid w:val="00C26C38"/>
    <w:pPr>
      <w:spacing w:after="200" w:line="240" w:lineRule="auto"/>
    </w:pPr>
    <w:rPr>
      <w:rFonts w:ascii="Arial" w:hAnsi="Arial" w:cs="Arial"/>
      <w:i/>
      <w:iCs/>
      <w:color w:val="252B46" w:themeColor="text2"/>
      <w:spacing w:val="0"/>
      <w:sz w:val="18"/>
      <w:szCs w:val="18"/>
    </w:rPr>
  </w:style>
  <w:style w:type="character" w:customStyle="1" w:styleId="cf01">
    <w:name w:val="cf01"/>
    <w:basedOn w:val="Absatz-Standardschriftart"/>
    <w:rsid w:val="00C26C38"/>
    <w:rPr>
      <w:rFonts w:ascii="Segoe UI" w:hAnsi="Segoe UI" w:cs="Segoe UI" w:hint="default"/>
      <w:sz w:val="18"/>
      <w:szCs w:val="18"/>
    </w:rPr>
  </w:style>
  <w:style w:type="paragraph" w:styleId="Listenabsatz">
    <w:name w:val="List Paragraph"/>
    <w:basedOn w:val="Standard"/>
    <w:uiPriority w:val="34"/>
    <w:qFormat/>
    <w:rsid w:val="006C05F0"/>
    <w:pPr>
      <w:spacing w:after="160" w:line="259" w:lineRule="auto"/>
      <w:ind w:left="720"/>
      <w:contextualSpacing/>
    </w:pPr>
    <w:rPr>
      <w:rFonts w:ascii="Arial" w:hAnsi="Arial" w:cs="Arial"/>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michelle.maurer@phbern.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i.org/10.1016/j.ecresq.2018.03.01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judith.saegesser@phbern.ch"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8-06" TargetMode="External"/><Relationship Id="rId24" Type="http://schemas.openxmlformats.org/officeDocument/2006/relationships/hyperlink" Target="https://www.lch.ch/fileadmin/user_upload_lch/Positionspapier_LCH_Inklusionsorientierte_Schule_2023.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https://doi.org/10.1037/a003974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michael.eckhart@phbern.ch"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notes.xml.rels><?xml version="1.0" encoding="UTF-8" standalone="yes"?>
<Relationships xmlns="http://schemas.openxmlformats.org/package/2006/relationships"><Relationship Id="rId2" Type="http://schemas.openxmlformats.org/officeDocument/2006/relationships/hyperlink" Target="https://www.grafset.ch/" TargetMode="External"/><Relationship Id="rId1" Type="http://schemas.openxmlformats.org/officeDocument/2006/relationships/hyperlink" Target="https://www.lch.ch/fileadmin/user_upload_lch/Positionspapier_LCH_Inklusionsorientierte_Schule_202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4fd9addd-010e-4f5f-8f1c-4194eaaa354f"/>
    <ds:schemaRef ds:uri="76555f21-dda2-40b2-9e67-0c5126acc9bb"/>
    <ds:schemaRef ds:uri="http://www.w3.org/XML/1998/namespace"/>
    <ds:schemaRef ds:uri="http://purl.org/dc/dcmitype/"/>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0B9A978D-0C60-4461-9511-B1B3E03CD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3696</Words>
  <Characters>23291</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26934</CharactersWithSpaces>
  <SharedDoc>false</SharedDoc>
  <HLinks>
    <vt:vector size="54" baseType="variant">
      <vt:variant>
        <vt:i4>5308507</vt:i4>
      </vt:variant>
      <vt:variant>
        <vt:i4>33</vt:i4>
      </vt:variant>
      <vt:variant>
        <vt:i4>0</vt:i4>
      </vt:variant>
      <vt:variant>
        <vt:i4>5</vt:i4>
      </vt:variant>
      <vt:variant>
        <vt:lpwstr>https://doi.org/10.1016/j.ecresq.2018.03.014</vt:lpwstr>
      </vt:variant>
      <vt:variant>
        <vt:lpwstr/>
      </vt:variant>
      <vt:variant>
        <vt:i4>5832709</vt:i4>
      </vt:variant>
      <vt:variant>
        <vt:i4>30</vt:i4>
      </vt:variant>
      <vt:variant>
        <vt:i4>0</vt:i4>
      </vt:variant>
      <vt:variant>
        <vt:i4>5</vt:i4>
      </vt:variant>
      <vt:variant>
        <vt:lpwstr>http://www.lch.ch/fileadmin/user_upload_lch/Positionspapier_LCH_Inklusionsorientierte_Schule_2023.pdf</vt:lpwstr>
      </vt:variant>
      <vt:variant>
        <vt:lpwstr/>
      </vt:variant>
      <vt:variant>
        <vt:i4>1310721</vt:i4>
      </vt:variant>
      <vt:variant>
        <vt:i4>27</vt:i4>
      </vt:variant>
      <vt:variant>
        <vt:i4>0</vt:i4>
      </vt:variant>
      <vt:variant>
        <vt:i4>5</vt:i4>
      </vt:variant>
      <vt:variant>
        <vt:lpwstr>https://doi.org/10.1037/a0039740</vt:lpwstr>
      </vt:variant>
      <vt:variant>
        <vt:lpwstr/>
      </vt:variant>
      <vt:variant>
        <vt:i4>6029369</vt:i4>
      </vt:variant>
      <vt:variant>
        <vt:i4>24</vt:i4>
      </vt:variant>
      <vt:variant>
        <vt:i4>0</vt:i4>
      </vt:variant>
      <vt:variant>
        <vt:i4>5</vt:i4>
      </vt:variant>
      <vt:variant>
        <vt:lpwstr>mailto:michael.eckhart@phbern.ch</vt:lpwstr>
      </vt:variant>
      <vt:variant>
        <vt:lpwstr/>
      </vt:variant>
      <vt:variant>
        <vt:i4>786559</vt:i4>
      </vt:variant>
      <vt:variant>
        <vt:i4>21</vt:i4>
      </vt:variant>
      <vt:variant>
        <vt:i4>0</vt:i4>
      </vt:variant>
      <vt:variant>
        <vt:i4>5</vt:i4>
      </vt:variant>
      <vt:variant>
        <vt:lpwstr>mailto:michelle.maurer@phbern.ch</vt:lpwstr>
      </vt:variant>
      <vt:variant>
        <vt:lpwstr/>
      </vt:variant>
      <vt:variant>
        <vt:i4>6684674</vt:i4>
      </vt:variant>
      <vt:variant>
        <vt:i4>18</vt:i4>
      </vt:variant>
      <vt:variant>
        <vt:i4>0</vt:i4>
      </vt:variant>
      <vt:variant>
        <vt:i4>5</vt:i4>
      </vt:variant>
      <vt:variant>
        <vt:lpwstr>mailto:judith.saegesser@phbern.ch</vt:lpwstr>
      </vt:variant>
      <vt:variant>
        <vt:lpwstr/>
      </vt:variant>
      <vt:variant>
        <vt:i4>5898321</vt:i4>
      </vt:variant>
      <vt:variant>
        <vt:i4>0</vt:i4>
      </vt:variant>
      <vt:variant>
        <vt:i4>0</vt:i4>
      </vt:variant>
      <vt:variant>
        <vt:i4>5</vt:i4>
      </vt:variant>
      <vt:variant>
        <vt:lpwstr>https://doi.org/10.57161/z2023-08-06</vt:lpwstr>
      </vt:variant>
      <vt:variant>
        <vt:lpwstr/>
      </vt:variant>
      <vt:variant>
        <vt:i4>6684775</vt:i4>
      </vt:variant>
      <vt:variant>
        <vt:i4>3</vt:i4>
      </vt:variant>
      <vt:variant>
        <vt:i4>0</vt:i4>
      </vt:variant>
      <vt:variant>
        <vt:i4>5</vt:i4>
      </vt:variant>
      <vt:variant>
        <vt:lpwstr>http://www.grafset.ch/</vt:lpwstr>
      </vt:variant>
      <vt:variant>
        <vt:lpwstr/>
      </vt:variant>
      <vt:variant>
        <vt:i4>8060978</vt:i4>
      </vt:variant>
      <vt:variant>
        <vt:i4>0</vt:i4>
      </vt:variant>
      <vt:variant>
        <vt:i4>0</vt:i4>
      </vt:variant>
      <vt:variant>
        <vt:i4>5</vt:i4>
      </vt:variant>
      <vt:variant>
        <vt:lpwstr>https://www.lch.ch/fileadmin/user_upload_lch/Positionspapier_LCH_Inklusionsorientierte_Schule_2023.pdf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Sägesser Wyss;Michelle N. Maurer;Michael Eckhart</dc:creator>
  <cp:keywords>Kooperation, Schule, Unterricht, Planung, Heterogenität, Psychomotorik, Grafomotorik, Schreiben, diagnostischer Test/coopération, école, enseignement, planification, hétérogénéité, psychomotricité, habiletés graphomotrices, écriture, test diagnostique</cp:keywords>
  <cp:lastModifiedBy>Noëlle Fetzer</cp:lastModifiedBy>
  <cp:revision>145</cp:revision>
  <cp:lastPrinted>2023-11-07T15:17:00Z</cp:lastPrinted>
  <dcterms:created xsi:type="dcterms:W3CDTF">2023-10-06T05:21:00Z</dcterms:created>
  <dcterms:modified xsi:type="dcterms:W3CDTF">2023-11-07T15:17:00Z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