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C4FF" w14:textId="06A7EE7B" w:rsidR="001114E2" w:rsidRPr="00FF2E2B" w:rsidRDefault="00812E84" w:rsidP="00FF2E2B">
      <w:pPr>
        <w:pStyle w:val="Titre"/>
      </w:pPr>
      <w:r w:rsidRPr="001B0DB8">
        <w:t>Vers des environnements scolaires capacitants</w:t>
      </w:r>
    </w:p>
    <w:p w14:paraId="0A681247" w14:textId="47624955" w:rsidR="001114E2" w:rsidRPr="00153133" w:rsidRDefault="00F0430E" w:rsidP="002E5374">
      <w:pPr>
        <w:pStyle w:val="Sous-titre"/>
        <w:rPr>
          <w:rFonts w:cs="Open Sans SemiCondensed"/>
        </w:rPr>
      </w:pPr>
      <w:r>
        <w:rPr>
          <w:rFonts w:cs="Open Sans SemiCondensed"/>
        </w:rPr>
        <w:t>Fondements, dimensions et implications pour l’inclusion</w:t>
      </w:r>
    </w:p>
    <w:p w14:paraId="5C96C1B6" w14:textId="2C2FE962" w:rsidR="00AB3E6F" w:rsidRDefault="00AB3E6F" w:rsidP="00AB3E6F">
      <w:pPr>
        <w:pStyle w:val="Author"/>
        <w:rPr>
          <w:rFonts w:cs="Open Sans SemiCondensed"/>
        </w:rPr>
      </w:pPr>
      <w:r>
        <w:t>Solveig Fernagu</w:t>
      </w:r>
    </w:p>
    <w:p w14:paraId="68042BBA" w14:textId="11EF9764" w:rsidR="0046067B" w:rsidRPr="004C6AED" w:rsidRDefault="004C13EB" w:rsidP="0046067B">
      <w:pPr>
        <w:pStyle w:val="Abstract"/>
        <w:rPr>
          <w:lang w:val="de-CH"/>
        </w:rPr>
      </w:pPr>
      <w:r w:rsidRPr="00153133">
        <w:rPr>
          <w:rFonts w:cs="Open Sans SemiCondensed"/>
        </w:rPr>
        <w:t>Résumé</w:t>
      </w:r>
      <w:r w:rsidR="000352CE" w:rsidRPr="00153133">
        <w:rPr>
          <w:rFonts w:cs="Open Sans SemiCondensed"/>
        </w:rPr>
        <w:br/>
      </w:r>
      <w:r w:rsidR="0046067B" w:rsidRPr="005436AC">
        <w:t>La notion d’environnement capacitant, dérivée du cadre des capabilités (Sen, 2000), constitue un cadre pertinent pour penser non seulement ce que les élèves apprennent, mais aussi les conditions leur permettant d’être mis en capacité de le faire. Plutôt que de centrer l’analyse soit sur les caractéristiques individuelles des élèves, soit sur les conditions organisationnelles, pédagogiques et environnementales qui soutiennent –</w:t>
      </w:r>
      <w:r w:rsidR="00DA69C9">
        <w:t xml:space="preserve"> </w:t>
      </w:r>
      <w:r w:rsidR="0046067B" w:rsidRPr="005436AC">
        <w:t>ou entravent</w:t>
      </w:r>
      <w:r w:rsidR="00655D8C">
        <w:t xml:space="preserve"> </w:t>
      </w:r>
      <w:r w:rsidR="0046067B" w:rsidRPr="005436AC">
        <w:t xml:space="preserve">– leur capacité à apprendre, elle se concentre sur l’analyse des interactions à l’œuvre entre celles-ci. </w:t>
      </w:r>
      <w:r w:rsidR="0046067B" w:rsidRPr="004C6AED">
        <w:rPr>
          <w:lang w:val="de-CH"/>
        </w:rPr>
        <w:t xml:space="preserve">De </w:t>
      </w:r>
      <w:proofErr w:type="spellStart"/>
      <w:r w:rsidR="0046067B" w:rsidRPr="004C6AED">
        <w:rPr>
          <w:lang w:val="de-CH"/>
        </w:rPr>
        <w:t>celles</w:t>
      </w:r>
      <w:proofErr w:type="spellEnd"/>
      <w:r w:rsidR="0046067B" w:rsidRPr="004C6AED">
        <w:rPr>
          <w:lang w:val="de-CH"/>
        </w:rPr>
        <w:t xml:space="preserve">-ci </w:t>
      </w:r>
      <w:proofErr w:type="spellStart"/>
      <w:r w:rsidR="0046067B" w:rsidRPr="004C6AED">
        <w:rPr>
          <w:lang w:val="de-CH"/>
        </w:rPr>
        <w:t>nait</w:t>
      </w:r>
      <w:proofErr w:type="spellEnd"/>
      <w:r w:rsidR="0046067B" w:rsidRPr="004C6AED">
        <w:rPr>
          <w:lang w:val="de-CH"/>
        </w:rPr>
        <w:t xml:space="preserve"> le </w:t>
      </w:r>
      <w:proofErr w:type="spellStart"/>
      <w:r w:rsidR="0046067B" w:rsidRPr="004C6AED">
        <w:rPr>
          <w:lang w:val="de-CH"/>
        </w:rPr>
        <w:t>pouvoir</w:t>
      </w:r>
      <w:proofErr w:type="spellEnd"/>
      <w:r w:rsidR="0046067B" w:rsidRPr="004C6AED">
        <w:rPr>
          <w:lang w:val="de-CH"/>
        </w:rPr>
        <w:t xml:space="preserve"> </w:t>
      </w:r>
      <w:proofErr w:type="spellStart"/>
      <w:r w:rsidR="0046067B" w:rsidRPr="004C6AED">
        <w:rPr>
          <w:lang w:val="de-CH"/>
        </w:rPr>
        <w:t>d’apprendre</w:t>
      </w:r>
      <w:proofErr w:type="spellEnd"/>
      <w:r w:rsidR="0046067B" w:rsidRPr="004C6AED">
        <w:rPr>
          <w:lang w:val="de-CH"/>
        </w:rPr>
        <w:t>.</w:t>
      </w:r>
    </w:p>
    <w:p w14:paraId="0689FA22" w14:textId="3CC1B942" w:rsidR="001114E2" w:rsidRPr="002450E3" w:rsidRDefault="00985126" w:rsidP="000352CE">
      <w:pPr>
        <w:pStyle w:val="Abstract"/>
        <w:rPr>
          <w:rFonts w:cs="Open Sans SemiCondensed"/>
          <w:lang w:val="de-CH"/>
        </w:rPr>
      </w:pPr>
      <w:r w:rsidRPr="004C6AED">
        <w:rPr>
          <w:rFonts w:cs="Open Sans SemiCondensed"/>
          <w:lang w:val="de-CH"/>
        </w:rPr>
        <w:t>Zusammenfassung</w:t>
      </w:r>
      <w:r w:rsidR="0046067B" w:rsidRPr="00D832FA">
        <w:rPr>
          <w:lang w:val="de-CH"/>
        </w:rPr>
        <w:br/>
      </w:r>
      <w:r w:rsidR="00BB5C5D" w:rsidRPr="002450E3">
        <w:rPr>
          <w:rFonts w:cs="Open Sans SemiCondensed"/>
          <w:lang w:val="de-CH"/>
        </w:rPr>
        <w:t xml:space="preserve">Der aus dem </w:t>
      </w:r>
      <w:proofErr w:type="spellStart"/>
      <w:r w:rsidR="00BB5C5D" w:rsidRPr="002450E3">
        <w:rPr>
          <w:rFonts w:cs="Open Sans SemiCondensed"/>
          <w:lang w:val="de-CH"/>
        </w:rPr>
        <w:t>Capability</w:t>
      </w:r>
      <w:proofErr w:type="spellEnd"/>
      <w:r w:rsidR="00BB5C5D" w:rsidRPr="002450E3">
        <w:rPr>
          <w:rFonts w:cs="Open Sans SemiCondensed"/>
          <w:lang w:val="de-CH"/>
        </w:rPr>
        <w:t xml:space="preserve">-Modell (Sen, 2000) abgeleitete Begriff der förderlichen Umgebung bildet einen geeigneten Rahmen, um nicht nur darüber nachzudenken, was </w:t>
      </w:r>
      <w:proofErr w:type="spellStart"/>
      <w:r w:rsidR="00BB5C5D" w:rsidRPr="002450E3">
        <w:rPr>
          <w:rFonts w:cs="Open Sans SemiCondensed"/>
          <w:lang w:val="de-CH"/>
        </w:rPr>
        <w:t>Schüler:innen</w:t>
      </w:r>
      <w:proofErr w:type="spellEnd"/>
      <w:r w:rsidR="00BB5C5D" w:rsidRPr="002450E3">
        <w:rPr>
          <w:rFonts w:cs="Open Sans SemiCondensed"/>
          <w:lang w:val="de-CH"/>
        </w:rPr>
        <w:t xml:space="preserve"> lernen, sondern auch darüber, unter welchen Bedingungen sie dazu befähigt werden. </w:t>
      </w:r>
      <w:r w:rsidR="04AC9310" w:rsidRPr="002450E3">
        <w:rPr>
          <w:rFonts w:cs="Open Sans SemiCondensed"/>
          <w:lang w:val="de-CH"/>
        </w:rPr>
        <w:t>Analysiert werden</w:t>
      </w:r>
      <w:r w:rsidR="00805DC1" w:rsidRPr="002450E3">
        <w:rPr>
          <w:rFonts w:cs="Open Sans SemiCondensed"/>
          <w:lang w:val="de-CH"/>
        </w:rPr>
        <w:t xml:space="preserve"> nicht mehr </w:t>
      </w:r>
      <w:r w:rsidR="00BB5C5D" w:rsidRPr="002450E3">
        <w:rPr>
          <w:rFonts w:cs="Open Sans SemiCondensed"/>
          <w:lang w:val="de-CH"/>
        </w:rPr>
        <w:t xml:space="preserve">die individuellen Merkmale der </w:t>
      </w:r>
      <w:proofErr w:type="spellStart"/>
      <w:r w:rsidR="00BB5C5D" w:rsidRPr="002450E3">
        <w:rPr>
          <w:rFonts w:cs="Open Sans SemiCondensed"/>
          <w:lang w:val="de-CH"/>
        </w:rPr>
        <w:t>Schüler</w:t>
      </w:r>
      <w:r w:rsidR="00A34617" w:rsidRPr="002450E3">
        <w:rPr>
          <w:rFonts w:cs="Open Sans SemiCondensed"/>
          <w:lang w:val="de-CH"/>
        </w:rPr>
        <w:t>:innen</w:t>
      </w:r>
      <w:proofErr w:type="spellEnd"/>
      <w:r w:rsidR="00BB5C5D" w:rsidRPr="002450E3">
        <w:rPr>
          <w:rFonts w:cs="Open Sans SemiCondensed"/>
          <w:lang w:val="de-CH"/>
        </w:rPr>
        <w:t xml:space="preserve"> oder die organisatorischen, pädagogischen und umgebungsbezogenen Bedingungen, die Lernfähigkeit fördern oder behindern</w:t>
      </w:r>
      <w:r w:rsidR="00805DC1" w:rsidRPr="002450E3">
        <w:rPr>
          <w:rFonts w:cs="Open Sans SemiCondensed"/>
          <w:lang w:val="de-CH"/>
        </w:rPr>
        <w:t xml:space="preserve">. </w:t>
      </w:r>
      <w:r w:rsidR="006234BF" w:rsidRPr="002450E3">
        <w:rPr>
          <w:rFonts w:cs="Open Sans SemiCondensed"/>
          <w:lang w:val="de-CH"/>
        </w:rPr>
        <w:t>Vielmehr geht es um d</w:t>
      </w:r>
      <w:r w:rsidR="00BB5C5D" w:rsidRPr="002450E3">
        <w:rPr>
          <w:rFonts w:cs="Open Sans SemiCondensed"/>
          <w:lang w:val="de-CH"/>
        </w:rPr>
        <w:t>ie Wechselwirkungen zwischen diesen Faktoren</w:t>
      </w:r>
      <w:r w:rsidR="006234BF" w:rsidRPr="002450E3">
        <w:rPr>
          <w:rFonts w:cs="Open Sans SemiCondensed"/>
          <w:lang w:val="de-CH"/>
        </w:rPr>
        <w:t xml:space="preserve">, aus denen </w:t>
      </w:r>
      <w:r w:rsidR="00BB5C5D" w:rsidRPr="002450E3">
        <w:rPr>
          <w:rFonts w:cs="Open Sans SemiCondensed"/>
          <w:lang w:val="de-CH"/>
        </w:rPr>
        <w:t>die Lernfähigkeit</w:t>
      </w:r>
      <w:r w:rsidR="006234BF" w:rsidRPr="002450E3">
        <w:rPr>
          <w:rFonts w:cs="Open Sans SemiCondensed"/>
          <w:lang w:val="de-CH"/>
        </w:rPr>
        <w:t xml:space="preserve"> entsteht</w:t>
      </w:r>
      <w:r w:rsidR="00BB5C5D" w:rsidRPr="002450E3">
        <w:rPr>
          <w:rFonts w:cs="Open Sans SemiCondensed"/>
          <w:lang w:val="de-CH"/>
        </w:rPr>
        <w:t>.</w:t>
      </w:r>
    </w:p>
    <w:p w14:paraId="7AC5FB21" w14:textId="5C812429" w:rsidR="00B74D98" w:rsidRPr="00B74D98" w:rsidRDefault="00EA4676" w:rsidP="00B74D98">
      <w:pPr>
        <w:pStyle w:val="Corpsdetexte3"/>
        <w:rPr>
          <w:lang w:val="de-CH"/>
        </w:rPr>
      </w:pPr>
      <w:r w:rsidRPr="002450E3">
        <w:rPr>
          <w:rStyle w:val="lev"/>
          <w:rFonts w:cs="Open Sans SemiCondensed"/>
          <w:lang w:val="de-CH"/>
        </w:rPr>
        <w:t>Keywords</w:t>
      </w:r>
      <w:r w:rsidRPr="002450E3">
        <w:rPr>
          <w:lang w:val="de-CH"/>
        </w:rPr>
        <w:t xml:space="preserve">: </w:t>
      </w:r>
      <w:proofErr w:type="spellStart"/>
      <w:r w:rsidR="00B74D98" w:rsidRPr="002450E3">
        <w:rPr>
          <w:lang w:val="de-CH"/>
        </w:rPr>
        <w:t>conditions</w:t>
      </w:r>
      <w:proofErr w:type="spellEnd"/>
      <w:r w:rsidR="00B74D98" w:rsidRPr="002450E3">
        <w:rPr>
          <w:lang w:val="de-CH"/>
        </w:rPr>
        <w:t xml:space="preserve"> </w:t>
      </w:r>
      <w:proofErr w:type="spellStart"/>
      <w:r w:rsidR="00B74D98" w:rsidRPr="002450E3">
        <w:rPr>
          <w:lang w:val="de-CH"/>
        </w:rPr>
        <w:t>d’apprentissage</w:t>
      </w:r>
      <w:proofErr w:type="spellEnd"/>
      <w:r w:rsidR="00B74D98" w:rsidRPr="002450E3">
        <w:rPr>
          <w:lang w:val="de-CH"/>
        </w:rPr>
        <w:t xml:space="preserve">, </w:t>
      </w:r>
      <w:proofErr w:type="spellStart"/>
      <w:r w:rsidR="002E15F4" w:rsidRPr="002450E3">
        <w:rPr>
          <w:lang w:val="de-CH"/>
        </w:rPr>
        <w:t>éducation</w:t>
      </w:r>
      <w:proofErr w:type="spellEnd"/>
      <w:r w:rsidR="002E15F4" w:rsidRPr="002450E3">
        <w:rPr>
          <w:lang w:val="de-CH"/>
        </w:rPr>
        <w:t xml:space="preserve"> inclusive, </w:t>
      </w:r>
      <w:proofErr w:type="spellStart"/>
      <w:r w:rsidR="00B74D98" w:rsidRPr="002450E3">
        <w:rPr>
          <w:lang w:val="de-CH"/>
        </w:rPr>
        <w:t>processus</w:t>
      </w:r>
      <w:proofErr w:type="spellEnd"/>
      <w:r w:rsidR="00B74D98" w:rsidRPr="002450E3">
        <w:rPr>
          <w:lang w:val="de-CH"/>
        </w:rPr>
        <w:t xml:space="preserve"> </w:t>
      </w:r>
      <w:proofErr w:type="spellStart"/>
      <w:r w:rsidR="00B74D98" w:rsidRPr="002450E3">
        <w:rPr>
          <w:lang w:val="de-CH"/>
        </w:rPr>
        <w:t>d’apprentissage</w:t>
      </w:r>
      <w:proofErr w:type="spellEnd"/>
      <w:r w:rsidR="00B74D98" w:rsidRPr="002450E3">
        <w:rPr>
          <w:lang w:val="de-CH"/>
        </w:rPr>
        <w:t xml:space="preserve">, </w:t>
      </w:r>
      <w:proofErr w:type="spellStart"/>
      <w:r w:rsidR="00B74D98" w:rsidRPr="002450E3">
        <w:rPr>
          <w:lang w:val="de-CH"/>
        </w:rPr>
        <w:t>pratique</w:t>
      </w:r>
      <w:proofErr w:type="spellEnd"/>
      <w:r w:rsidR="00B74D98" w:rsidRPr="002450E3">
        <w:rPr>
          <w:lang w:val="de-CH"/>
        </w:rPr>
        <w:t xml:space="preserve"> </w:t>
      </w:r>
      <w:proofErr w:type="spellStart"/>
      <w:r w:rsidR="00B74D98" w:rsidRPr="002450E3">
        <w:rPr>
          <w:lang w:val="de-CH"/>
        </w:rPr>
        <w:t>pédagogique</w:t>
      </w:r>
      <w:proofErr w:type="spellEnd"/>
      <w:r w:rsidR="00B74D98" w:rsidRPr="002450E3">
        <w:rPr>
          <w:lang w:val="de-CH"/>
        </w:rPr>
        <w:t xml:space="preserve"> / inklusive Bildung, Lehrbedingungen, L</w:t>
      </w:r>
      <w:r w:rsidR="00C237FA" w:rsidRPr="002450E3">
        <w:rPr>
          <w:lang w:val="de-CH"/>
        </w:rPr>
        <w:t>ern</w:t>
      </w:r>
      <w:r w:rsidR="00B74D98" w:rsidRPr="002450E3">
        <w:rPr>
          <w:lang w:val="de-CH"/>
        </w:rPr>
        <w:t>pro</w:t>
      </w:r>
      <w:r w:rsidR="00C237FA" w:rsidRPr="002450E3">
        <w:rPr>
          <w:lang w:val="de-CH"/>
        </w:rPr>
        <w:t>z</w:t>
      </w:r>
      <w:r w:rsidR="00B74D98" w:rsidRPr="002450E3">
        <w:rPr>
          <w:lang w:val="de-CH"/>
        </w:rPr>
        <w:t>ess, schulische Heilpädagogik</w:t>
      </w:r>
    </w:p>
    <w:p w14:paraId="1B75D6A3" w14:textId="6F1F7735" w:rsidR="001D3BFB" w:rsidRPr="00153133" w:rsidRDefault="00EA4676" w:rsidP="00C24833">
      <w:pPr>
        <w:pStyle w:val="Corpsdetexte3"/>
        <w:rPr>
          <w:rFonts w:cs="Open Sans SemiCondensed"/>
          <w:bCs/>
          <w:iCs/>
          <w:color w:val="CF3649"/>
        </w:rPr>
      </w:pPr>
      <w:r w:rsidRPr="00153133">
        <w:rPr>
          <w:rStyle w:val="lev"/>
          <w:rFonts w:cs="Open Sans SemiCondensed"/>
        </w:rPr>
        <w:t>DOI</w:t>
      </w:r>
      <w:r w:rsidRPr="00153133">
        <w:rPr>
          <w:rFonts w:cs="Open Sans SemiCondensed"/>
        </w:rPr>
        <w:t xml:space="preserve">: </w:t>
      </w:r>
      <w:hyperlink r:id="rId11" w:history="1">
        <w:r w:rsidR="008701CD" w:rsidRPr="00F95B86">
          <w:rPr>
            <w:rStyle w:val="Lienhypertexte"/>
            <w:rFonts w:cs="Open Sans SemiCondensed"/>
          </w:rPr>
          <w:t>https://doi.org/10.57161/r2026-01-07</w:t>
        </w:r>
      </w:hyperlink>
    </w:p>
    <w:p w14:paraId="12B7F0AD" w14:textId="77777777" w:rsidR="00EA4676" w:rsidRPr="00153133" w:rsidRDefault="00EA4676" w:rsidP="00C24833">
      <w:pPr>
        <w:pStyle w:val="Corpsdetexte3"/>
      </w:pPr>
      <w:r w:rsidRPr="00153133">
        <w:t xml:space="preserve">Revue </w:t>
      </w:r>
      <w:r w:rsidR="009E4ACD">
        <w:t>s</w:t>
      </w:r>
      <w:r w:rsidRPr="00153133">
        <w:t xml:space="preserve">uisse de </w:t>
      </w:r>
      <w:r w:rsidR="009E4ACD">
        <w:t>p</w:t>
      </w:r>
      <w:r w:rsidRPr="00153133">
        <w:t xml:space="preserve">édagogie </w:t>
      </w:r>
      <w:r w:rsidR="009E4ACD">
        <w:t>s</w:t>
      </w:r>
      <w:r w:rsidRPr="00153133">
        <w:t xml:space="preserve">pécialisée, Vol. </w:t>
      </w:r>
      <w:r w:rsidR="00037AE3">
        <w:t>1</w:t>
      </w:r>
      <w:r w:rsidR="009E4ACD">
        <w:t>6</w:t>
      </w:r>
      <w:r w:rsidRPr="00153133">
        <w:t xml:space="preserve">, </w:t>
      </w:r>
      <w:r w:rsidR="00037AE3">
        <w:t>0</w:t>
      </w:r>
      <w:r w:rsidR="009E4ACD">
        <w:t>1</w:t>
      </w:r>
      <w:r w:rsidRPr="00153133">
        <w:t>/</w:t>
      </w:r>
      <w:r w:rsidR="00037AE3">
        <w:t>202</w:t>
      </w:r>
      <w:r w:rsidR="009E4ACD">
        <w:t>6</w:t>
      </w:r>
    </w:p>
    <w:p w14:paraId="3598DEEF" w14:textId="77777777" w:rsidR="000E6A66" w:rsidRPr="00153133" w:rsidRDefault="000E6A66" w:rsidP="00C24833">
      <w:pPr>
        <w:pStyle w:val="Corpsdetexte3"/>
      </w:pPr>
      <w:r w:rsidRPr="00153133">
        <w:rPr>
          <w:noProof/>
        </w:rPr>
        <w:drawing>
          <wp:inline distT="0" distB="0" distL="0" distR="0" wp14:anchorId="6181C98D" wp14:editId="4B1E206E">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4AD589B" w14:textId="65C5868D" w:rsidR="001114E2" w:rsidRDefault="008701CD" w:rsidP="00855097">
      <w:pPr>
        <w:pStyle w:val="Titre1"/>
      </w:pPr>
      <w:bookmarkStart w:id="0" w:name="heading-1"/>
      <w:r>
        <w:t>Introduction</w:t>
      </w:r>
      <w:bookmarkEnd w:id="0"/>
    </w:p>
    <w:p w14:paraId="2E8822A8" w14:textId="5579F27A" w:rsidR="00801724" w:rsidRPr="00AC38DF" w:rsidRDefault="00801724" w:rsidP="00801724">
      <w:pPr>
        <w:pStyle w:val="Corpsdetexte"/>
      </w:pPr>
      <w:r w:rsidRPr="00AC38DF">
        <w:t xml:space="preserve">Aujourd’hui, en </w:t>
      </w:r>
      <w:r w:rsidRPr="001038B8">
        <w:t xml:space="preserve">Suisse comme en </w:t>
      </w:r>
      <w:r w:rsidRPr="00AC38DF">
        <w:t xml:space="preserve">France, la construction d’une école plus inclusive constitue un enjeu </w:t>
      </w:r>
      <w:r w:rsidRPr="001038B8">
        <w:t xml:space="preserve">majeur des politiques éducatives, au nom de l’équité, de la justice sociale et du droit à l’éducation pour </w:t>
      </w:r>
      <w:r>
        <w:t xml:space="preserve">toutes et </w:t>
      </w:r>
      <w:r w:rsidRPr="001038B8">
        <w:t>tous.</w:t>
      </w:r>
      <w:r>
        <w:t xml:space="preserve"> </w:t>
      </w:r>
      <w:r w:rsidRPr="001038B8">
        <w:t xml:space="preserve">Pourtant, malgré une forte légitimation institutionnelle, </w:t>
      </w:r>
      <w:r w:rsidRPr="00AC38DF">
        <w:t>l’éducation inclusive demeure difficile à circonscrire (</w:t>
      </w:r>
      <w:proofErr w:type="spellStart"/>
      <w:r w:rsidRPr="00AC38DF">
        <w:t>Beaucher</w:t>
      </w:r>
      <w:proofErr w:type="spellEnd"/>
      <w:r w:rsidRPr="00AC38DF">
        <w:t>, 2012</w:t>
      </w:r>
      <w:r>
        <w:t> ;</w:t>
      </w:r>
      <w:r w:rsidRPr="00AC38DF">
        <w:t xml:space="preserve"> Hyatt</w:t>
      </w:r>
      <w:r w:rsidR="009106FE">
        <w:t> </w:t>
      </w:r>
      <w:r w:rsidRPr="00AC38DF">
        <w:t>&amp; Hornby, 2017</w:t>
      </w:r>
      <w:r>
        <w:t> ;</w:t>
      </w:r>
      <w:r w:rsidRPr="00AC38DF">
        <w:t xml:space="preserve"> Reverdy, 2019)</w:t>
      </w:r>
      <w:r w:rsidRPr="001038B8">
        <w:t xml:space="preserve"> tant elle est traversée par des enjeux</w:t>
      </w:r>
      <w:r w:rsidRPr="00AC38DF">
        <w:t xml:space="preserve"> politiques, sociétaux, historiques et pédagogiques</w:t>
      </w:r>
      <w:r w:rsidRPr="001038B8">
        <w:t xml:space="preserve"> parfois contradictoires.</w:t>
      </w:r>
    </w:p>
    <w:p w14:paraId="37A65C3A" w14:textId="086030EB" w:rsidR="00801724" w:rsidRPr="001038B8" w:rsidRDefault="00801724" w:rsidP="00801724">
      <w:pPr>
        <w:pStyle w:val="Corpsdetexte"/>
      </w:pPr>
      <w:r w:rsidRPr="001038B8">
        <w:t>Dans le cadre de ce texte, nous faisons le choix de considérer que le projet même de l’éducation est, par principe, d’être inclusif. Il s’agit de penser une école capable de faire face aux hétérogénéités plurielles qui caractérisent les parcours scolaires contemporains (</w:t>
      </w:r>
      <w:proofErr w:type="spellStart"/>
      <w:r w:rsidRPr="001038B8">
        <w:t>Paintendre</w:t>
      </w:r>
      <w:proofErr w:type="spellEnd"/>
      <w:r>
        <w:t> &amp;</w:t>
      </w:r>
      <w:r w:rsidRPr="001038B8">
        <w:t xml:space="preserve"> </w:t>
      </w:r>
      <w:proofErr w:type="spellStart"/>
      <w:r w:rsidRPr="001038B8">
        <w:t>Tajri</w:t>
      </w:r>
      <w:proofErr w:type="spellEnd"/>
      <w:r w:rsidRPr="001038B8">
        <w:t>, 2022 ;</w:t>
      </w:r>
      <w:r>
        <w:t xml:space="preserve"> </w:t>
      </w:r>
      <w:proofErr w:type="spellStart"/>
      <w:r w:rsidRPr="001038B8">
        <w:t>Sarrazy</w:t>
      </w:r>
      <w:proofErr w:type="spellEnd"/>
      <w:r w:rsidRPr="001038B8">
        <w:t>, 2002 ; U</w:t>
      </w:r>
      <w:r>
        <w:t>NESCO</w:t>
      </w:r>
      <w:r w:rsidRPr="001038B8">
        <w:t>, 201</w:t>
      </w:r>
      <w:r w:rsidR="00816A86">
        <w:t>4</w:t>
      </w:r>
      <w:r w:rsidRPr="001038B8">
        <w:t>) en rendant effectivement accessibles les savoirs et les connaissances à l’ensemble des élèves, avec ou sans besoin éducatif particulier, reconnu ou non en situation de handicap (Code de l’éducation</w:t>
      </w:r>
      <w:r w:rsidR="00FE0378">
        <w:t xml:space="preserve">, </w:t>
      </w:r>
      <w:r w:rsidR="00F807FD">
        <w:t>A</w:t>
      </w:r>
      <w:r w:rsidR="00FE0378">
        <w:t>rticle L.</w:t>
      </w:r>
      <w:r w:rsidR="00F807FD">
        <w:t> 111-1) </w:t>
      </w:r>
      <w:r>
        <w:t xml:space="preserve">; </w:t>
      </w:r>
      <w:r w:rsidRPr="001038B8">
        <w:t>Potvin, 2020).</w:t>
      </w:r>
    </w:p>
    <w:p w14:paraId="042CE4B5" w14:textId="35742CFF" w:rsidR="00801724" w:rsidRPr="000558B0" w:rsidRDefault="00801724" w:rsidP="000558B0">
      <w:pPr>
        <w:pStyle w:val="Corpsdetexte"/>
      </w:pPr>
      <w:r w:rsidRPr="00CA63EB">
        <w:t>Cette perspective conduit à déplacer le regard des caractéristiques individuelles des élèves vers les conditions organisationnelles, pédagogiques et environnementales dans lesquelles se déploient les activités d’enseignement et d’apprentissage.</w:t>
      </w:r>
      <w:r w:rsidRPr="001038B8">
        <w:t xml:space="preserve"> Ainsi, notre réflexion ne se limitera pas à l’intégration de publics spécifiques (élèves en situation de handicap, en difficulté scolaire, à haut potentiel, allophones, etc.) au sein de dispositifs existants (institutionnels, pédagogiques, etc.)</w:t>
      </w:r>
      <w:r w:rsidRPr="00046AE0">
        <w:rPr>
          <w:vertAlign w:val="superscript"/>
        </w:rPr>
        <w:footnoteReference w:id="2"/>
      </w:r>
      <w:r>
        <w:t>,</w:t>
      </w:r>
      <w:r w:rsidRPr="001038B8">
        <w:t xml:space="preserve"> mais interrogera plus largement les normes scolaires, les formes d’organisation, les pratiques </w:t>
      </w:r>
      <w:r w:rsidRPr="001038B8">
        <w:lastRenderedPageBreak/>
        <w:t>pédagogiques et les environnements d’apprentissage, dans leur capacité à soutenir –</w:t>
      </w:r>
      <w:r w:rsidR="00655D8C">
        <w:t xml:space="preserve"> </w:t>
      </w:r>
      <w:r w:rsidRPr="001038B8">
        <w:t>ou au contraire à entraver</w:t>
      </w:r>
      <w:r w:rsidR="00655D8C">
        <w:t xml:space="preserve"> </w:t>
      </w:r>
      <w:r w:rsidRPr="001038B8">
        <w:t xml:space="preserve">– la </w:t>
      </w:r>
      <w:r w:rsidRPr="000558B0">
        <w:t>capacité à apprendre et le pouvoir d’apprendre des élèves ; en soit, à se montrer capacitant.</w:t>
      </w:r>
    </w:p>
    <w:p w14:paraId="3A2E9FA5" w14:textId="61D16BB4" w:rsidR="008701CD" w:rsidRPr="000558B0" w:rsidRDefault="00373312" w:rsidP="000558B0">
      <w:pPr>
        <w:pStyle w:val="Corpsdetexte"/>
      </w:pPr>
      <w:r w:rsidRPr="000558B0">
        <w:t>Dans cette contribution, nous faisons l’hypothèse que la notion d’environnement capacitant constitue un cadre particulièrement pertinent pour interroger non seulement ce que les élèves apprennent, mais surtout dans quelles conditions elles et ils sont mis en capacité d’apprendre, de se reconnaitre comme sujets apprenants et de développer un véritable pouvoir d’apprendre.</w:t>
      </w:r>
    </w:p>
    <w:p w14:paraId="492D0DB9" w14:textId="6E202A6F" w:rsidR="00A543D6" w:rsidRPr="00855097" w:rsidRDefault="00CD20F9" w:rsidP="00CD20F9">
      <w:pPr>
        <w:pStyle w:val="Titre1"/>
      </w:pPr>
      <w:bookmarkStart w:id="1" w:name="heading-2"/>
      <w:r w:rsidRPr="003E5102">
        <w:t>De l’environnement d’apprentissage à la notion d’environnement capacitant</w:t>
      </w:r>
      <w:bookmarkEnd w:id="1"/>
    </w:p>
    <w:p w14:paraId="21F711F6" w14:textId="0CC894D1" w:rsidR="000558B0" w:rsidRDefault="00392E31" w:rsidP="000558B0">
      <w:pPr>
        <w:pStyle w:val="Corpsdetexte"/>
      </w:pPr>
      <w:r w:rsidRPr="00037AE3">
        <w:rPr>
          <w:noProof/>
        </w:rPr>
        <mc:AlternateContent>
          <mc:Choice Requires="wps">
            <w:drawing>
              <wp:anchor distT="45720" distB="45720" distL="46990" distR="46990" simplePos="0" relativeHeight="251658240" behindDoc="0" locked="0" layoutInCell="1" allowOverlap="0" wp14:anchorId="176E83DB" wp14:editId="330927A1">
                <wp:simplePos x="0" y="0"/>
                <wp:positionH relativeFrom="column">
                  <wp:posOffset>-900430</wp:posOffset>
                </wp:positionH>
                <wp:positionV relativeFrom="paragraph">
                  <wp:posOffset>1223645</wp:posOffset>
                </wp:positionV>
                <wp:extent cx="5354320" cy="492760"/>
                <wp:effectExtent l="0" t="0" r="0" b="254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320" cy="492760"/>
                        </a:xfrm>
                        <a:prstGeom prst="rect">
                          <a:avLst/>
                        </a:prstGeom>
                        <a:noFill/>
                        <a:ln w="9525">
                          <a:noFill/>
                          <a:miter lim="800000"/>
                          <a:headEnd/>
                          <a:tailEnd/>
                        </a:ln>
                      </wps:spPr>
                      <wps:txbx>
                        <w:txbxContent>
                          <w:p w14:paraId="584967C3" w14:textId="2B1103E0" w:rsidR="00392E31" w:rsidRPr="00392E31" w:rsidRDefault="00CE3DF6" w:rsidP="00125AB7">
                            <w:pPr>
                              <w:pStyle w:val="Hervorhebung1"/>
                              <w:suppressAutoHyphens/>
                              <w:jc w:val="both"/>
                            </w:pPr>
                            <w:r>
                              <w:rPr>
                                <w:rFonts w:cs="Open Sans SemiCondensed"/>
                              </w:rPr>
                              <w:t>L</w:t>
                            </w:r>
                            <w:r w:rsidR="00392E31" w:rsidRPr="00392E31">
                              <w:t>a multiplication de dispositifs, de r</w:t>
                            </w:r>
                            <w:r w:rsidR="00392E31">
                              <w:t>essources ou d’innovations pédagogiques ne garantit pas en soi une mise en capacité effective des élèves.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E83DB" id="_x0000_t202" coordsize="21600,21600" o:spt="202" path="m,l,21600r21600,l21600,xe">
                <v:stroke joinstyle="miter"/>
                <v:path gradientshapeok="t" o:connecttype="rect"/>
              </v:shapetype>
              <v:shape id="Zone de texte 2" o:spid="_x0000_s1026" type="#_x0000_t202" alt="&quot;&quot;" style="position:absolute;left:0;text-align:left;margin-left:-70.9pt;margin-top:96.35pt;width:421.6pt;height:38.8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" o:allowoverlap="f" filled="f" stroked="f">
                <v:textbox inset="29mm,,2.5mm">
                  <w:txbxContent>
                    <w:p w14:paraId="584967C3" w14:textId="2B1103E0" w:rsidR="00392E31" w:rsidRPr="00392E31" w:rsidRDefault="00CE3DF6" w:rsidP="00125AB7">
                      <w:pPr>
                        <w:pStyle w:val="Hervorhebung1"/>
                        <w:suppressAutoHyphens/>
                        <w:jc w:val="both"/>
                      </w:pPr>
                      <w:r>
                        <w:rPr>
                          <w:rFonts w:cs="Open Sans SemiCondensed"/>
                        </w:rPr>
                        <w:t>L</w:t>
                      </w:r>
                      <w:r w:rsidR="00392E31" w:rsidRPr="00392E31">
                        <w:t>a multiplication de dispositifs, de r</w:t>
                      </w:r>
                      <w:r w:rsidR="00392E31">
                        <w:t>essources ou d’innovations pédagogiques ne garantit pas en soi une mise en capacité effective des élèves.</w:t>
                      </w:r>
                    </w:p>
                  </w:txbxContent>
                </v:textbox>
                <w10:wrap type="topAndBottom"/>
              </v:shape>
            </w:pict>
          </mc:Fallback>
        </mc:AlternateContent>
      </w:r>
      <w:r w:rsidR="000558B0" w:rsidRPr="000558B0">
        <w:t>La notion d’environnement capacitant s’est progressivement imposée dans les champs de l’éducation, de la formation et du travail pour désigner des configurations susceptibles de soutenir le développement des personnes. Nous avons proposé, il y a plusieurs années, une définition régulièrement mobilisée dans la littérature : « un environnement capacitant est bien plus qu’un environnement où l’on apprend ; il est un environnement qui aide à apprendre et donne envie d’apprendre » (Fernagu Oudet, 2012, p. 12). Cette définition appelle néanmoins un ensemble de précisions pour une juste compréhension du qualificatif « capacitant ».</w:t>
      </w:r>
    </w:p>
    <w:p w14:paraId="1E78D466" w14:textId="063C917B" w:rsidR="000558B0" w:rsidRPr="000558B0" w:rsidRDefault="000558B0" w:rsidP="000558B0">
      <w:pPr>
        <w:pStyle w:val="Corpsdetexte"/>
      </w:pPr>
      <w:r w:rsidRPr="000558B0">
        <w:t>Premièrement, tout environnement apprenant n’est pas pour autant capacitant. Cette distinction est essentielle, en particulier dans le champ de l’éducation inclusive, où la multiplication de dispositifs, de ressources ou d’innovations pédagogiques ne garantit pas en soi une mise en capacité effective des élèves.</w:t>
      </w:r>
    </w:p>
    <w:p w14:paraId="1C791237" w14:textId="57DE5A91" w:rsidR="000558B0" w:rsidRPr="000558B0" w:rsidRDefault="000558B0" w:rsidP="000558B0">
      <w:pPr>
        <w:pStyle w:val="Corpsdetexte"/>
      </w:pPr>
      <w:r w:rsidRPr="000558B0">
        <w:t>Deuxièmement, l’ambition des environnements capacitants est d’analyser le développement de la capacité à apprendre, entendue comme un pouvoir durable et transférable, et le pouvoir d’apprendre des élèves (Fernagu, 2023). L’approche par les capabilités, importée dans le champ des sciences de l’éducation et de la formation, offre un cadre particulièrement pertinent pour analyser ces processus.</w:t>
      </w:r>
    </w:p>
    <w:p w14:paraId="6BBC948E" w14:textId="7FB8AAD6" w:rsidR="000558B0" w:rsidRPr="000558B0" w:rsidRDefault="000558B0" w:rsidP="000558B0">
      <w:pPr>
        <w:pStyle w:val="Corpsdetexte"/>
      </w:pPr>
      <w:r w:rsidRPr="000558B0">
        <w:t>Finalement, penser en termes d’environnement capacitant implique de proposer des situations d’apprentissage ouvertes, ajustables et porteuses de sens (</w:t>
      </w:r>
      <w:proofErr w:type="spellStart"/>
      <w:r w:rsidRPr="000558B0">
        <w:t>Rochex</w:t>
      </w:r>
      <w:proofErr w:type="spellEnd"/>
      <w:r w:rsidR="0030045B">
        <w:t> </w:t>
      </w:r>
      <w:r w:rsidRPr="000558B0">
        <w:t>&amp; Crinon, 2011) permettant aux élèves de se reconnaitre comme sujets apprenants, au-delà de leurs difficultés ou besoins particuliers, et de dépasser une logique strictement compensatoire, centrée sur le déficit.</w:t>
      </w:r>
    </w:p>
    <w:p w14:paraId="092735CB" w14:textId="77777777" w:rsidR="004F03E8" w:rsidRPr="004F03E8" w:rsidRDefault="004F03E8" w:rsidP="004F03E8">
      <w:pPr>
        <w:pStyle w:val="Titre2"/>
      </w:pPr>
      <w:r w:rsidRPr="004F03E8">
        <w:t>Capacité à apprendre, pouvoir d’apprendre</w:t>
      </w:r>
    </w:p>
    <w:p w14:paraId="7791DCC5" w14:textId="6210C65B" w:rsidR="008663D4" w:rsidRDefault="00EC65C5" w:rsidP="008374BD">
      <w:pPr>
        <w:pStyle w:val="Corpsdetexte"/>
      </w:pPr>
      <w:r w:rsidRPr="001038B8">
        <w:t xml:space="preserve">La notion de pouvoir </w:t>
      </w:r>
      <w:r>
        <w:t xml:space="preserve">peut être comprise </w:t>
      </w:r>
      <w:r w:rsidRPr="001038B8">
        <w:t xml:space="preserve">à la fois comme </w:t>
      </w:r>
      <w:r>
        <w:t xml:space="preserve">interne et externe </w:t>
      </w:r>
      <w:r w:rsidRPr="001038B8">
        <w:t xml:space="preserve">à la personne. </w:t>
      </w:r>
      <w:r>
        <w:t>Le pouvoir résulte de l’interaction entre la personne et son environnement.</w:t>
      </w:r>
      <w:r w:rsidR="003910E4">
        <w:t xml:space="preserve"> </w:t>
      </w:r>
      <w:r w:rsidR="008663D4" w:rsidRPr="00302E96">
        <w:t xml:space="preserve">Maury et </w:t>
      </w:r>
      <w:proofErr w:type="spellStart"/>
      <w:r w:rsidR="008663D4" w:rsidRPr="00302E96">
        <w:t>Hedjerassi</w:t>
      </w:r>
      <w:proofErr w:type="spellEnd"/>
      <w:r w:rsidR="008663D4" w:rsidRPr="00302E96">
        <w:t xml:space="preserve"> (2020) distinguent </w:t>
      </w:r>
      <w:r w:rsidR="008663D4">
        <w:t xml:space="preserve">trois </w:t>
      </w:r>
      <w:r w:rsidR="008663D4" w:rsidRPr="00302E96">
        <w:t>formes de pouvoir</w:t>
      </w:r>
      <w:r w:rsidR="008663D4">
        <w:t> </w:t>
      </w:r>
      <w:r w:rsidR="008663D4" w:rsidRPr="00302E96">
        <w:t>:</w:t>
      </w:r>
    </w:p>
    <w:p w14:paraId="66B5BD2A" w14:textId="559175D5" w:rsidR="00C505EC" w:rsidRDefault="00C505EC" w:rsidP="00C505EC">
      <w:pPr>
        <w:pStyle w:val="Liste"/>
      </w:pPr>
      <w:proofErr w:type="gramStart"/>
      <w:r w:rsidRPr="007A7511">
        <w:t>un</w:t>
      </w:r>
      <w:proofErr w:type="gramEnd"/>
      <w:r w:rsidRPr="007A7511">
        <w:t xml:space="preserve"> </w:t>
      </w:r>
      <w:r w:rsidRPr="007A7511">
        <w:rPr>
          <w:i/>
          <w:iCs/>
        </w:rPr>
        <w:t>pouvoir de…</w:t>
      </w:r>
      <w:r>
        <w:rPr>
          <w:i/>
          <w:iCs/>
        </w:rPr>
        <w:t xml:space="preserve">, </w:t>
      </w:r>
      <w:r>
        <w:t xml:space="preserve">la </w:t>
      </w:r>
      <w:r w:rsidRPr="007A7511">
        <w:t xml:space="preserve">capacité de faire et d’être </w:t>
      </w:r>
      <w:r w:rsidR="006871F1">
        <w:t xml:space="preserve">promotrice ou </w:t>
      </w:r>
      <w:r w:rsidRPr="007A7511">
        <w:t>promoteur de changement</w:t>
      </w:r>
      <w:r>
        <w:t> </w:t>
      </w:r>
      <w:r w:rsidRPr="007A7511">
        <w:t>;</w:t>
      </w:r>
    </w:p>
    <w:p w14:paraId="6526E7A5" w14:textId="486252CE" w:rsidR="00C505EC" w:rsidRDefault="00C505EC" w:rsidP="00C505EC">
      <w:pPr>
        <w:pStyle w:val="Liste"/>
      </w:pPr>
      <w:proofErr w:type="gramStart"/>
      <w:r w:rsidRPr="007A7511">
        <w:t>un</w:t>
      </w:r>
      <w:proofErr w:type="gramEnd"/>
      <w:r w:rsidRPr="007A7511">
        <w:t xml:space="preserve"> </w:t>
      </w:r>
      <w:r w:rsidRPr="007A7511">
        <w:rPr>
          <w:i/>
          <w:iCs/>
        </w:rPr>
        <w:t>pouvoir sur…</w:t>
      </w:r>
      <w:r w:rsidRPr="007A7511">
        <w:t>, la capacité de décider et d’exercer une action sur les choses ou sur autrui</w:t>
      </w:r>
      <w:r>
        <w:t> </w:t>
      </w:r>
      <w:r w:rsidRPr="007A7511">
        <w:t>;</w:t>
      </w:r>
    </w:p>
    <w:p w14:paraId="20919AA8" w14:textId="7F0F8E49" w:rsidR="00C505EC" w:rsidRDefault="00C505EC" w:rsidP="00C505EC">
      <w:pPr>
        <w:pStyle w:val="Liste"/>
      </w:pPr>
      <w:proofErr w:type="gramStart"/>
      <w:r w:rsidRPr="007A7511">
        <w:t>un</w:t>
      </w:r>
      <w:proofErr w:type="gramEnd"/>
      <w:r w:rsidRPr="007A7511">
        <w:t xml:space="preserve"> </w:t>
      </w:r>
      <w:r w:rsidRPr="007A7511">
        <w:rPr>
          <w:i/>
          <w:iCs/>
        </w:rPr>
        <w:t>pouvoir avec…</w:t>
      </w:r>
      <w:r w:rsidRPr="007A7511">
        <w:t>, la possibilité de construire collectivement, dans une perspective de transformation sociale.</w:t>
      </w:r>
    </w:p>
    <w:p w14:paraId="460E1426" w14:textId="12D2847A" w:rsidR="00EA10E6" w:rsidRDefault="003A76EF" w:rsidP="00AC3907">
      <w:pPr>
        <w:pStyle w:val="Corpsdetexte"/>
        <w:ind w:firstLine="0"/>
      </w:pPr>
      <w:r w:rsidRPr="007A7511">
        <w:t xml:space="preserve">Cette manière d’appréhender le pouvoir </w:t>
      </w:r>
      <w:r w:rsidRPr="00F24737">
        <w:t>permet d’envisager la capacité non comme une propriété individuelle stable, mais comme une construction située, étroitement dépendante des opportunités offertes par les environnements.</w:t>
      </w:r>
    </w:p>
    <w:p w14:paraId="7E90C8FD" w14:textId="77777777" w:rsidR="00EA10E6" w:rsidRDefault="00EA10E6">
      <w:pPr>
        <w:spacing w:after="200" w:line="240" w:lineRule="auto"/>
      </w:pPr>
      <w:r>
        <w:br w:type="page"/>
      </w:r>
    </w:p>
    <w:p w14:paraId="159C5D51" w14:textId="3940B918" w:rsidR="003A76EF" w:rsidRPr="00F24737" w:rsidRDefault="003A76EF" w:rsidP="00EA4264">
      <w:pPr>
        <w:pStyle w:val="Corpsdetexte"/>
      </w:pPr>
      <w:r w:rsidRPr="00F24737">
        <w:lastRenderedPageBreak/>
        <w:t xml:space="preserve">Appliquée au champ éducatif, cette approche conduit à distinguer le </w:t>
      </w:r>
      <w:r w:rsidRPr="00F24737">
        <w:rPr>
          <w:i/>
          <w:iCs/>
        </w:rPr>
        <w:t>désir d’apprendre</w:t>
      </w:r>
      <w:r w:rsidRPr="00F24737">
        <w:t xml:space="preserve"> de la </w:t>
      </w:r>
      <w:r w:rsidRPr="00F24737">
        <w:rPr>
          <w:i/>
          <w:iCs/>
        </w:rPr>
        <w:t>mise en capacité d’apprendre</w:t>
      </w:r>
      <w:r w:rsidRPr="00F24737">
        <w:t>. Si le désir</w:t>
      </w:r>
      <w:r>
        <w:t xml:space="preserve"> </w:t>
      </w:r>
      <w:r w:rsidRPr="00F24737">
        <w:t>favorise l’engagement dans l’activité</w:t>
      </w:r>
      <w:r>
        <w:t>, il ne garantit pas à lui</w:t>
      </w:r>
      <w:r w:rsidR="003125A8">
        <w:t xml:space="preserve"> </w:t>
      </w:r>
      <w:r>
        <w:t>seul que l’élève dispose des moyens nécessaires pour apprendre. L’</w:t>
      </w:r>
      <w:r w:rsidRPr="00F24737">
        <w:t>environnement</w:t>
      </w:r>
      <w:r>
        <w:t xml:space="preserve"> est essentiel pour</w:t>
      </w:r>
      <w:r w:rsidRPr="00F24737">
        <w:t xml:space="preserve"> soutenir le développement</w:t>
      </w:r>
      <w:r>
        <w:t xml:space="preserve"> de</w:t>
      </w:r>
      <w:r w:rsidRPr="00F24737">
        <w:t xml:space="preserve"> la capacité</w:t>
      </w:r>
      <w:r>
        <w:t xml:space="preserve"> </w:t>
      </w:r>
      <w:r w:rsidRPr="00F24737">
        <w:t>et</w:t>
      </w:r>
      <w:r>
        <w:t xml:space="preserve"> du</w:t>
      </w:r>
      <w:r w:rsidRPr="00F24737">
        <w:t xml:space="preserve"> pouvoir d’apprendre, quels que soient les profils des </w:t>
      </w:r>
      <w:r>
        <w:t xml:space="preserve">apprenantes et </w:t>
      </w:r>
      <w:r w:rsidRPr="00F24737">
        <w:t>apprenants. Penser le pouvoir d’apprendre revient ainsi à s’intéresser aux conditions dans lesquelles les élèves peuvent non seulement accéder aux savoirs, mais aussi se reconna</w:t>
      </w:r>
      <w:r w:rsidRPr="00F334FD">
        <w:t>i</w:t>
      </w:r>
      <w:r w:rsidRPr="00F24737">
        <w:t>tre comme capables d’apprendre, d’agir sur leurs apprentissages et d’orienter leurs trajectoires scolaires. Cette perspective est particulièrement pertinente dans le champ de l’éducation spécialisée, où les élèves sont souvent définis à partir de leurs limitations, de leurs besoins ou de leurs difficultés, au risque d’occulter leurs marges de progression et leur potentiel d’agentivité.</w:t>
      </w:r>
    </w:p>
    <w:p w14:paraId="20F87AF5" w14:textId="3B1F5DAE" w:rsidR="008663D4" w:rsidRPr="003A76EF" w:rsidRDefault="00453612" w:rsidP="00453612">
      <w:pPr>
        <w:pStyle w:val="Titre2"/>
      </w:pPr>
      <w:r w:rsidRPr="001038B8">
        <w:t>Pouvoir d’apprendre et approche par les capabilités</w:t>
      </w:r>
    </w:p>
    <w:p w14:paraId="5813774D" w14:textId="598AFBC1" w:rsidR="00156514" w:rsidRPr="0089025D" w:rsidRDefault="00156514" w:rsidP="00156514">
      <w:pPr>
        <w:pStyle w:val="Corpsdetexte"/>
      </w:pPr>
      <w:r>
        <w:t>L</w:t>
      </w:r>
      <w:r w:rsidRPr="00F769A2">
        <w:t>’approche par les capabilités</w:t>
      </w:r>
      <w:r w:rsidR="00CF3DB0">
        <w:t>,</w:t>
      </w:r>
      <w:r w:rsidRPr="00F769A2">
        <w:t xml:space="preserve"> développée par Amartya Sen (200</w:t>
      </w:r>
      <w:r>
        <w:t>0</w:t>
      </w:r>
      <w:r w:rsidRPr="00F769A2">
        <w:t>)</w:t>
      </w:r>
      <w:r>
        <w:t xml:space="preserve"> et importée en sciences de l’éducation,</w:t>
      </w:r>
      <w:r w:rsidRPr="00F769A2">
        <w:t xml:space="preserve"> offre un cadre théorique robuste pour analyser le pouvoir d’apprendre. Les capabilités peuvent être définies comme des capacités à être et à faire ce qui a de la valeur pour soi, au sein d’environnements donnés</w:t>
      </w:r>
      <w:r w:rsidRPr="001038B8">
        <w:t xml:space="preserve"> (Sen, 2000</w:t>
      </w:r>
      <w:r>
        <w:t>, 2010</w:t>
      </w:r>
      <w:r w:rsidRPr="001038B8">
        <w:t>)</w:t>
      </w:r>
      <w:r>
        <w:t xml:space="preserve">. </w:t>
      </w:r>
      <w:r w:rsidRPr="00F769A2">
        <w:t>Elles résultent</w:t>
      </w:r>
      <w:r>
        <w:t xml:space="preserve"> </w:t>
      </w:r>
      <w:r w:rsidRPr="00F769A2">
        <w:t>de l’interaction entre les caractéristiques de la personne (capacités, expériences, savoirs, estime de soi, dispositions à apprendre, etc.) et les caractéristiques de l’environnement</w:t>
      </w:r>
      <w:r>
        <w:t xml:space="preserve"> (conditions sociales, pédagogiques et organisationnelles) dans lesquelles elle évolue</w:t>
      </w:r>
      <w:r w:rsidRPr="001038B8">
        <w:t xml:space="preserve"> </w:t>
      </w:r>
      <w:r w:rsidRPr="00F769A2">
        <w:t>(Fernagu, 2018</w:t>
      </w:r>
      <w:r>
        <w:t> ;</w:t>
      </w:r>
      <w:r w:rsidRPr="001038B8">
        <w:t xml:space="preserve"> Lefebvre, 2020</w:t>
      </w:r>
      <w:r>
        <w:t> ;</w:t>
      </w:r>
      <w:r w:rsidRPr="00412D8B">
        <w:t xml:space="preserve"> </w:t>
      </w:r>
      <w:r w:rsidRPr="00F769A2">
        <w:t>Sen, 200</w:t>
      </w:r>
      <w:r>
        <w:t xml:space="preserve">0 ; </w:t>
      </w:r>
      <w:proofErr w:type="spellStart"/>
      <w:r>
        <w:t>AIRe</w:t>
      </w:r>
      <w:proofErr w:type="spellEnd"/>
      <w:r>
        <w:t>, 2024</w:t>
      </w:r>
      <w:r w:rsidRPr="00F769A2">
        <w:t xml:space="preserve">). </w:t>
      </w:r>
      <w:r>
        <w:t>À</w:t>
      </w:r>
      <w:r w:rsidRPr="00F769A2">
        <w:t xml:space="preserve"> cette intersection</w:t>
      </w:r>
      <w:r>
        <w:t>,</w:t>
      </w:r>
      <w:r w:rsidRPr="00FF1FE5">
        <w:t xml:space="preserve"> </w:t>
      </w:r>
      <w:r w:rsidRPr="00F769A2">
        <w:t xml:space="preserve">se situe </w:t>
      </w:r>
      <w:r>
        <w:t>potentiellement l</w:t>
      </w:r>
      <w:r w:rsidRPr="00F769A2">
        <w:t>e pouvoir d’apprendre</w:t>
      </w:r>
      <w:r>
        <w:t>.</w:t>
      </w:r>
    </w:p>
    <w:p w14:paraId="7DD4BC54" w14:textId="6F42EBB2" w:rsidR="00156514" w:rsidRDefault="00E33E07" w:rsidP="00156514">
      <w:pPr>
        <w:pStyle w:val="Corpsdetexte"/>
      </w:pPr>
      <w:r w:rsidRPr="00037AE3">
        <w:rPr>
          <w:noProof/>
        </w:rPr>
        <mc:AlternateContent>
          <mc:Choice Requires="wps">
            <w:drawing>
              <wp:anchor distT="45720" distB="45720" distL="46990" distR="46990" simplePos="0" relativeHeight="251658241" behindDoc="0" locked="0" layoutInCell="1" allowOverlap="0" wp14:anchorId="47561707" wp14:editId="244EE0C9">
                <wp:simplePos x="0" y="0"/>
                <wp:positionH relativeFrom="column">
                  <wp:posOffset>-900430</wp:posOffset>
                </wp:positionH>
                <wp:positionV relativeFrom="paragraph">
                  <wp:posOffset>1610995</wp:posOffset>
                </wp:positionV>
                <wp:extent cx="5930900" cy="492760"/>
                <wp:effectExtent l="0" t="0" r="0" b="2540"/>
                <wp:wrapTopAndBottom/>
                <wp:docPr id="112347642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92760"/>
                        </a:xfrm>
                        <a:prstGeom prst="rect">
                          <a:avLst/>
                        </a:prstGeom>
                        <a:noFill/>
                        <a:ln w="9525">
                          <a:noFill/>
                          <a:miter lim="800000"/>
                          <a:headEnd/>
                          <a:tailEnd/>
                        </a:ln>
                      </wps:spPr>
                      <wps:txbx>
                        <w:txbxContent>
                          <w:p w14:paraId="102D98FF" w14:textId="0394C21E" w:rsidR="00E33E07" w:rsidRPr="00392E31" w:rsidRDefault="00E33E07" w:rsidP="00125AB7">
                            <w:pPr>
                              <w:pStyle w:val="Hervorhebung1"/>
                              <w:suppressAutoHyphens/>
                              <w:jc w:val="both"/>
                            </w:pPr>
                            <w:r w:rsidRPr="0089025D">
                              <w:t>Il ne s’agit donc pas uniquement de fournir aux élèves des outils ou des savoirs, mais de créer des</w:t>
                            </w:r>
                            <w:r w:rsidRPr="00F757C8">
                              <w:t xml:space="preserve"> conditions leur permettant de les mobiliser pour se développer pleinement.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61707" id="_x0000_s1027" type="#_x0000_t202" alt="&quot;&quot;" style="position:absolute;left:0;text-align:left;margin-left:-70.9pt;margin-top:126.85pt;width:467pt;height:38.8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" o:allowoverlap="f" filled="f" stroked="f">
                <v:textbox inset="29mm,,2.5mm">
                  <w:txbxContent>
                    <w:p w14:paraId="102D98FF" w14:textId="0394C21E" w:rsidR="00E33E07" w:rsidRPr="00392E31" w:rsidRDefault="00E33E07" w:rsidP="00125AB7">
                      <w:pPr>
                        <w:pStyle w:val="Hervorhebung1"/>
                        <w:suppressAutoHyphens/>
                        <w:jc w:val="both"/>
                      </w:pPr>
                      <w:r w:rsidRPr="0089025D">
                        <w:t>Il ne s’agit donc pas uniquement de fournir aux élèves des outils ou des savoirs, mais de créer des</w:t>
                      </w:r>
                      <w:r w:rsidRPr="00F757C8">
                        <w:t xml:space="preserve"> conditions leur permettant de les mobiliser pour se développer pleinement.</w:t>
                      </w:r>
                    </w:p>
                  </w:txbxContent>
                </v:textbox>
                <w10:wrap type="topAndBottom"/>
              </v:shape>
            </w:pict>
          </mc:Fallback>
        </mc:AlternateContent>
      </w:r>
      <w:r w:rsidR="00156514" w:rsidRPr="0089025D">
        <w:t>Proposer des ressources pour apprendre ne suffit donc pas à garantir que les élèves soient mis en capacité d’apprendre. Encore faut-il s’interroger sur ce qui permet à ces ressources d’être converties en véritables moyens pour apprendre, de s’intéresser aux facteurs de conversion et de choix (Fernagu, 2018) et aux accomplissements qu’ils rendent possibles. En effet, à ressources scolaires comparables, les élèves ne disposent pas des mêmes opportunités d’apprentissage ni des mêmes marges de choix. Comme le soulignent Verhoeven</w:t>
      </w:r>
      <w:r w:rsidR="00B33A1F">
        <w:t xml:space="preserve"> et al. </w:t>
      </w:r>
      <w:r w:rsidR="00156514" w:rsidRPr="0089025D">
        <w:t>(2007), l’école doit penser les opportunités offertes à chacune et chacun pour convertir un ensemble de ressources en capacités réelles. Ces facteurs de conversion peuvent être individuels, sociaux et environnementaux (</w:t>
      </w:r>
      <w:proofErr w:type="spellStart"/>
      <w:r w:rsidR="00156514" w:rsidRPr="0089025D">
        <w:t>Robeyns</w:t>
      </w:r>
      <w:proofErr w:type="spellEnd"/>
      <w:r w:rsidR="00156514" w:rsidRPr="0089025D">
        <w:t xml:space="preserve">, 2005) mais aussi posturaux, actionnels et axiologiques (Bluteau, 2024 ; </w:t>
      </w:r>
      <w:proofErr w:type="spellStart"/>
      <w:r w:rsidR="00156514" w:rsidRPr="0089025D">
        <w:t>Cavignaux</w:t>
      </w:r>
      <w:proofErr w:type="spellEnd"/>
      <w:r w:rsidR="00156514" w:rsidRPr="0089025D">
        <w:t xml:space="preserve"> Bross, 2023 ; </w:t>
      </w:r>
      <w:proofErr w:type="spellStart"/>
      <w:r w:rsidR="00156514" w:rsidRPr="0089025D">
        <w:t>Fernagu</w:t>
      </w:r>
      <w:proofErr w:type="spellEnd"/>
      <w:r w:rsidR="00156514" w:rsidRPr="0089025D">
        <w:t>, 2022, 2023)</w:t>
      </w:r>
      <w:r w:rsidR="00403C3F">
        <w:t>.</w:t>
      </w:r>
    </w:p>
    <w:p w14:paraId="6549F047" w14:textId="77777777" w:rsidR="00156514" w:rsidRPr="00F757C8" w:rsidRDefault="00156514" w:rsidP="00156514">
      <w:pPr>
        <w:pStyle w:val="Corpsdetexte"/>
      </w:pPr>
      <w:r w:rsidRPr="0089025D">
        <w:t>Il ne s’agit donc pas uniquement de fournir aux élèves des outils ou des savoirs, mais de créer des</w:t>
      </w:r>
      <w:r w:rsidRPr="00F757C8">
        <w:t xml:space="preserve"> conditions leur permettant de les mobiliser pour se développer pleinement. Par exemple, un manuel scolaire peut être une ressource, mais il devient une opportunité seulement si l’élève a les compétences nécessaires pour en comprendre le contenu et l’utiliser de manière autonome (Rodriguez Diaz, 2025).</w:t>
      </w:r>
    </w:p>
    <w:p w14:paraId="11B933A9" w14:textId="40C60A34" w:rsidR="00081294" w:rsidRPr="00081294" w:rsidRDefault="00081294" w:rsidP="00081294">
      <w:pPr>
        <w:pStyle w:val="Titre1"/>
      </w:pPr>
      <w:r w:rsidRPr="00081294">
        <w:t>Comprendre ce qui aide à apprendre : ressource</w:t>
      </w:r>
      <w:r w:rsidR="0097746D">
        <w:t>s</w:t>
      </w:r>
      <w:r w:rsidRPr="00081294">
        <w:t>, conversions, choix</w:t>
      </w:r>
    </w:p>
    <w:p w14:paraId="58179026" w14:textId="06D052ED" w:rsidR="00FB49F3" w:rsidRPr="00735012" w:rsidRDefault="00FB49F3" w:rsidP="00FB49F3">
      <w:pPr>
        <w:pStyle w:val="Corpsdetexte"/>
      </w:pPr>
      <w:r>
        <w:t xml:space="preserve">Le modèle des capabilités repose sur plusieurs </w:t>
      </w:r>
      <w:r w:rsidRPr="00735012">
        <w:t>concepts clés</w:t>
      </w:r>
      <w:r>
        <w:t> </w:t>
      </w:r>
      <w:r w:rsidRPr="00735012">
        <w:t>: les ressources, les facteurs de conversion, les facteurs de choix, les capabilités</w:t>
      </w:r>
      <w:r>
        <w:t xml:space="preserve"> –</w:t>
      </w:r>
      <w:r w:rsidR="00655D8C">
        <w:t xml:space="preserve"> </w:t>
      </w:r>
      <w:r w:rsidRPr="00735012">
        <w:t xml:space="preserve">voire les </w:t>
      </w:r>
      <w:proofErr w:type="spellStart"/>
      <w:r w:rsidRPr="00735012">
        <w:t>incapabilités</w:t>
      </w:r>
      <w:proofErr w:type="spellEnd"/>
      <w:r w:rsidR="00655D8C">
        <w:t xml:space="preserve"> </w:t>
      </w:r>
      <w:r>
        <w:t>–</w:t>
      </w:r>
      <w:r w:rsidRPr="00735012">
        <w:t xml:space="preserve"> et les accomplissements</w:t>
      </w:r>
      <w:r>
        <w:t xml:space="preserve"> (réalisés, réalisables)</w:t>
      </w:r>
      <w:r w:rsidRPr="00735012">
        <w:t xml:space="preserve"> (Fernagu</w:t>
      </w:r>
      <w:r w:rsidR="00E835F2">
        <w:t xml:space="preserve"> Oudet</w:t>
      </w:r>
      <w:r w:rsidRPr="00735012">
        <w:t>, 2012). Ces concepts s’articulent autour de trois processus interdépendants</w:t>
      </w:r>
      <w:r>
        <w:t xml:space="preserve"> (voir Figure 1).</w:t>
      </w:r>
    </w:p>
    <w:p w14:paraId="4BEBC5D3" w14:textId="5029E679" w:rsidR="006C441C" w:rsidRDefault="00010E72" w:rsidP="003F4416">
      <w:pPr>
        <w:pStyle w:val="Listenumros"/>
        <w:spacing w:after="60"/>
        <w:contextualSpacing w:val="0"/>
        <w:jc w:val="both"/>
      </w:pPr>
      <w:r w:rsidRPr="00F24737">
        <w:t xml:space="preserve">Le </w:t>
      </w:r>
      <w:r w:rsidRPr="00F24737">
        <w:rPr>
          <w:i/>
          <w:iCs/>
        </w:rPr>
        <w:t xml:space="preserve">processus </w:t>
      </w:r>
      <w:r w:rsidR="004D1A58">
        <w:rPr>
          <w:i/>
          <w:iCs/>
        </w:rPr>
        <w:t xml:space="preserve">des </w:t>
      </w:r>
      <w:r w:rsidRPr="00F24737">
        <w:rPr>
          <w:i/>
          <w:iCs/>
        </w:rPr>
        <w:t>opportunités</w:t>
      </w:r>
      <w:r w:rsidRPr="00F24737">
        <w:t xml:space="preserve"> renvoie à la manière dont les ressources mises à disposition</w:t>
      </w:r>
      <w:r w:rsidR="00F97FE5">
        <w:t xml:space="preserve"> (ressources mobilisables)</w:t>
      </w:r>
      <w:r w:rsidRPr="00F24737">
        <w:t xml:space="preserve"> pour apprendre sont converties</w:t>
      </w:r>
      <w:r w:rsidR="00FB4932">
        <w:t xml:space="preserve"> (facteurs de conversion)</w:t>
      </w:r>
      <w:r w:rsidRPr="00F24737">
        <w:t xml:space="preserve"> en capacité d’action. Il conduit à analyser les moyens et les contraintes de l’apprentissage</w:t>
      </w:r>
      <w:r w:rsidR="00E9136A">
        <w:t xml:space="preserve"> </w:t>
      </w:r>
      <w:r w:rsidR="0077413C">
        <w:t>à</w:t>
      </w:r>
      <w:r w:rsidR="00E9136A">
        <w:t xml:space="preserve"> travers l’analyse </w:t>
      </w:r>
      <w:r>
        <w:t>des</w:t>
      </w:r>
      <w:r w:rsidRPr="00F24737">
        <w:t xml:space="preserve"> facteurs facilitant ou entravant l’appropriation des ressources</w:t>
      </w:r>
      <w:r>
        <w:t>.</w:t>
      </w:r>
    </w:p>
    <w:p w14:paraId="76770C90" w14:textId="2FF25B39" w:rsidR="00010E72" w:rsidRPr="00F24737" w:rsidRDefault="006C441C" w:rsidP="006C441C">
      <w:pPr>
        <w:spacing w:after="200" w:line="240" w:lineRule="auto"/>
      </w:pPr>
      <w:r>
        <w:br w:type="page"/>
      </w:r>
    </w:p>
    <w:p w14:paraId="2F111C4D" w14:textId="3BEF7CE5" w:rsidR="00010E72" w:rsidRPr="00F24737" w:rsidRDefault="00010E72" w:rsidP="003F4416">
      <w:pPr>
        <w:pStyle w:val="Listenumros"/>
        <w:spacing w:after="60"/>
        <w:contextualSpacing w:val="0"/>
        <w:jc w:val="both"/>
      </w:pPr>
      <w:r w:rsidRPr="00F24737">
        <w:lastRenderedPageBreak/>
        <w:t xml:space="preserve">Le </w:t>
      </w:r>
      <w:r w:rsidRPr="00F24737">
        <w:rPr>
          <w:i/>
          <w:iCs/>
        </w:rPr>
        <w:t xml:space="preserve">processus </w:t>
      </w:r>
      <w:r w:rsidR="004D1A58">
        <w:rPr>
          <w:i/>
          <w:iCs/>
        </w:rPr>
        <w:t xml:space="preserve">de </w:t>
      </w:r>
      <w:r w:rsidRPr="00F24737">
        <w:rPr>
          <w:i/>
          <w:iCs/>
        </w:rPr>
        <w:t>liberté</w:t>
      </w:r>
      <w:r w:rsidRPr="00F24737">
        <w:t xml:space="preserve"> s’intéresse </w:t>
      </w:r>
      <w:r>
        <w:t>aux</w:t>
      </w:r>
      <w:r w:rsidRPr="00F24737">
        <w:t xml:space="preserve"> capacité</w:t>
      </w:r>
      <w:r>
        <w:t>s</w:t>
      </w:r>
      <w:r w:rsidRPr="00F24737">
        <w:t xml:space="preserve"> de choix</w:t>
      </w:r>
      <w:r>
        <w:t xml:space="preserve">, à </w:t>
      </w:r>
      <w:r w:rsidRPr="00F24737">
        <w:t>ce qui contraint ou libère</w:t>
      </w:r>
      <w:r>
        <w:t xml:space="preserve"> </w:t>
      </w:r>
      <w:r w:rsidR="00335F95">
        <w:t>l’agir de l’élève</w:t>
      </w:r>
      <w:r>
        <w:t>. Il s’agit d’analyser ce</w:t>
      </w:r>
      <w:r w:rsidRPr="00F24737">
        <w:t xml:space="preserve"> qui oriente les décisions des élèves et </w:t>
      </w:r>
      <w:r w:rsidR="008B4D67">
        <w:t>influenc</w:t>
      </w:r>
      <w:r w:rsidR="00C45C4F">
        <w:t>e</w:t>
      </w:r>
      <w:r w:rsidR="008B4D67">
        <w:t xml:space="preserve"> </w:t>
      </w:r>
      <w:r w:rsidRPr="00F24737">
        <w:t>leurs manières de s’engager dans l’activité</w:t>
      </w:r>
      <w:r>
        <w:t> : les facteurs de choix</w:t>
      </w:r>
      <w:r w:rsidRPr="00F24737">
        <w:t xml:space="preserve">. </w:t>
      </w:r>
      <w:r>
        <w:t>Ils éclairent le passage du possible au réel, d</w:t>
      </w:r>
      <w:r w:rsidR="007802D1">
        <w:t xml:space="preserve">es accomplissements </w:t>
      </w:r>
      <w:r>
        <w:t>réalisable</w:t>
      </w:r>
      <w:r w:rsidR="00776F3E">
        <w:t>s</w:t>
      </w:r>
      <w:r>
        <w:t xml:space="preserve"> </w:t>
      </w:r>
      <w:r w:rsidR="00362A2F">
        <w:t xml:space="preserve">(champ de possible) </w:t>
      </w:r>
      <w:r>
        <w:t>au</w:t>
      </w:r>
      <w:r w:rsidR="007802D1">
        <w:t xml:space="preserve">x accomplissements </w:t>
      </w:r>
      <w:r>
        <w:t>réalisé</w:t>
      </w:r>
      <w:r w:rsidR="007802D1">
        <w:t>s</w:t>
      </w:r>
      <w:r w:rsidR="00362A2F">
        <w:t xml:space="preserve"> (mises en œuvre concrètes)</w:t>
      </w:r>
      <w:r w:rsidR="00AE7ED0">
        <w:t>. Cet entre-deux d</w:t>
      </w:r>
      <w:r w:rsidR="00D75519">
        <w:t>es</w:t>
      </w:r>
      <w:r w:rsidR="00AE7ED0">
        <w:t xml:space="preserve"> possible</w:t>
      </w:r>
      <w:r w:rsidR="00D75519">
        <w:t>s</w:t>
      </w:r>
      <w:r w:rsidR="00AE7ED0">
        <w:t xml:space="preserve"> au réalisé </w:t>
      </w:r>
      <w:r w:rsidR="00D75519">
        <w:t>désigne</w:t>
      </w:r>
      <w:r w:rsidR="00C43278">
        <w:t xml:space="preserve"> </w:t>
      </w:r>
      <w:r>
        <w:t>l’espace de capabilités</w:t>
      </w:r>
      <w:r w:rsidR="00D75519">
        <w:t xml:space="preserve"> (ce que je peux faire, ce que je fais)</w:t>
      </w:r>
      <w:r w:rsidR="006A1644">
        <w:t>.</w:t>
      </w:r>
    </w:p>
    <w:p w14:paraId="3E7777FC" w14:textId="1C89806A" w:rsidR="00010E72" w:rsidRPr="00F24737" w:rsidRDefault="00010E72" w:rsidP="003F4416">
      <w:pPr>
        <w:pStyle w:val="Listenumros"/>
        <w:jc w:val="both"/>
      </w:pPr>
      <w:r w:rsidRPr="00F24737">
        <w:t xml:space="preserve">Le </w:t>
      </w:r>
      <w:r w:rsidRPr="00F24737">
        <w:rPr>
          <w:i/>
          <w:iCs/>
        </w:rPr>
        <w:t>processus</w:t>
      </w:r>
      <w:r w:rsidR="004D1A58">
        <w:rPr>
          <w:i/>
          <w:iCs/>
        </w:rPr>
        <w:t xml:space="preserve"> des</w:t>
      </w:r>
      <w:r w:rsidRPr="00F24737">
        <w:rPr>
          <w:i/>
          <w:iCs/>
        </w:rPr>
        <w:t xml:space="preserve"> capabilités</w:t>
      </w:r>
      <w:r w:rsidRPr="00F24737">
        <w:t xml:space="preserve"> résulte de l’articulation </w:t>
      </w:r>
      <w:r>
        <w:t>des deux autres processus</w:t>
      </w:r>
      <w:r w:rsidRPr="00F24737">
        <w:t xml:space="preserve">. Il </w:t>
      </w:r>
      <w:r>
        <w:t>étudie</w:t>
      </w:r>
      <w:r w:rsidRPr="00F24737">
        <w:t xml:space="preserve"> </w:t>
      </w:r>
      <w:r>
        <w:t>le</w:t>
      </w:r>
      <w:r w:rsidRPr="00F24737">
        <w:t xml:space="preserve"> pouvoir réel d’apprendre</w:t>
      </w:r>
      <w:r w:rsidR="00910988">
        <w:t xml:space="preserve"> et </w:t>
      </w:r>
      <w:r>
        <w:t>la mise en capacité à apprendre</w:t>
      </w:r>
      <w:r w:rsidRPr="00F24737">
        <w:t xml:space="preserve">. </w:t>
      </w:r>
      <w:r>
        <w:t>Si l’apprendre</w:t>
      </w:r>
      <w:r w:rsidRPr="00F24737">
        <w:t xml:space="preserve"> est un fonctionnement, être mis en capacité </w:t>
      </w:r>
      <w:r>
        <w:t>d’apprendre</w:t>
      </w:r>
      <w:r w:rsidRPr="00F24737">
        <w:t xml:space="preserve"> est une capabilité.</w:t>
      </w:r>
    </w:p>
    <w:p w14:paraId="3C5B00D0" w14:textId="130C3FCF" w:rsidR="00D90EFC" w:rsidRPr="00563F23" w:rsidRDefault="00D90EFC" w:rsidP="00D90EFC">
      <w:pPr>
        <w:pStyle w:val="LegendeAbbildung"/>
      </w:pPr>
      <w:r w:rsidRPr="00563F23">
        <w:t>Fig</w:t>
      </w:r>
      <w:r>
        <w:t>ure </w:t>
      </w:r>
      <w:r w:rsidRPr="00563F23">
        <w:t>1</w:t>
      </w:r>
      <w:r>
        <w:t> :</w:t>
      </w:r>
      <w:r w:rsidRPr="00563F23">
        <w:t xml:space="preserve"> Les</w:t>
      </w:r>
      <w:r w:rsidR="00B042A4">
        <w:t xml:space="preserve"> trois</w:t>
      </w:r>
      <w:r w:rsidRPr="00563F23">
        <w:t xml:space="preserve"> processus </w:t>
      </w:r>
      <w:r w:rsidR="00667B16">
        <w:t>du modèle des</w:t>
      </w:r>
      <w:r w:rsidRPr="00563F23">
        <w:t xml:space="preserve"> capabilités</w:t>
      </w:r>
      <w:r w:rsidR="00667B16">
        <w:t xml:space="preserve"> et ses concepts clés</w:t>
      </w:r>
      <w:r w:rsidRPr="00563F23">
        <w:t xml:space="preserve"> (Fernagu, 2018)</w:t>
      </w:r>
    </w:p>
    <w:p w14:paraId="20D5BF56" w14:textId="32922B9F" w:rsidR="000558B0" w:rsidRPr="00563F23" w:rsidRDefault="00AF4A36" w:rsidP="00001DBB">
      <w:pPr>
        <w:pStyle w:val="Corpsdetexte2"/>
      </w:pPr>
      <w:r w:rsidRPr="00AF4A36">
        <w:rPr>
          <w:noProof/>
        </w:rPr>
        <w:drawing>
          <wp:inline distT="0" distB="0" distL="0" distR="0" wp14:anchorId="2CA03141" wp14:editId="47F24E0E">
            <wp:extent cx="5733355" cy="2920086"/>
            <wp:effectExtent l="0" t="0" r="1270" b="0"/>
            <wp:docPr id="1793231552"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31552" name="Imag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751348" cy="2929250"/>
                    </a:xfrm>
                    <a:prstGeom prst="rect">
                      <a:avLst/>
                    </a:prstGeom>
                  </pic:spPr>
                </pic:pic>
              </a:graphicData>
            </a:graphic>
          </wp:inline>
        </w:drawing>
      </w:r>
    </w:p>
    <w:p w14:paraId="2B70649C" w14:textId="10A666BE" w:rsidR="00305A20" w:rsidRDefault="00305A20" w:rsidP="006D0D33">
      <w:pPr>
        <w:pStyle w:val="Corpsdetexte"/>
        <w:ind w:firstLine="0"/>
      </w:pPr>
      <w:r w:rsidRPr="0091668A">
        <w:t xml:space="preserve">Dans cette perspective, par </w:t>
      </w:r>
      <w:r w:rsidRPr="00151B74">
        <w:t xml:space="preserve">exemple, les </w:t>
      </w:r>
      <w:r w:rsidRPr="00AD5459">
        <w:t>ressources scolaires –</w:t>
      </w:r>
      <w:r w:rsidR="00655D8C">
        <w:t xml:space="preserve"> </w:t>
      </w:r>
      <w:r w:rsidRPr="0091668A">
        <w:t>qu’elles soient matérielles, pédagogiques, humaines ou symboliques</w:t>
      </w:r>
      <w:r w:rsidR="00655D8C">
        <w:t xml:space="preserve"> </w:t>
      </w:r>
      <w:r w:rsidRPr="0091668A">
        <w:t xml:space="preserve">– ne constituent pas des capabilités en soi. Elles ne sont que des moyens potentiels au service de possibilités réelles d’agir (ici d’apprendre). Leur statut de ressources dépend de ce qu’elles rendent </w:t>
      </w:r>
      <w:r w:rsidR="00D213E0">
        <w:t xml:space="preserve">réellement </w:t>
      </w:r>
      <w:r w:rsidRPr="0091668A">
        <w:t>possible</w:t>
      </w:r>
      <w:r w:rsidR="00055CC2">
        <w:t>.</w:t>
      </w:r>
      <w:r w:rsidRPr="0091668A">
        <w:t xml:space="preserve"> Elles peuvent être externes à l’élève (salle de classe, enseignant</w:t>
      </w:r>
      <w:r w:rsidR="00334BBE">
        <w:t>e</w:t>
      </w:r>
      <w:r w:rsidRPr="0091668A">
        <w:t xml:space="preserve"> ou enseignant, consignes, etc.) ou propres à </w:t>
      </w:r>
      <w:r w:rsidR="00CE2719">
        <w:t>l’élève</w:t>
      </w:r>
      <w:r w:rsidRPr="0091668A">
        <w:t xml:space="preserve"> (savoirs, compétences préalables, désir d’apprendre, estime de soi, etc</w:t>
      </w:r>
      <w:r w:rsidR="002B7F43">
        <w:t>.</w:t>
      </w:r>
      <w:r w:rsidRPr="0091668A">
        <w:t>)</w:t>
      </w:r>
      <w:r w:rsidR="00384764">
        <w:t>.</w:t>
      </w:r>
      <w:r w:rsidR="004108DA">
        <w:t xml:space="preserve"> </w:t>
      </w:r>
      <w:r w:rsidR="00997E44">
        <w:t>La vignette suivante</w:t>
      </w:r>
      <w:r w:rsidR="009730DB">
        <w:t xml:space="preserve"> (encadrés</w:t>
      </w:r>
      <w:r w:rsidR="003C2590">
        <w:t xml:space="preserve"> vert</w:t>
      </w:r>
      <w:r w:rsidR="009730DB">
        <w:t>)</w:t>
      </w:r>
      <w:r w:rsidR="00997E44">
        <w:t xml:space="preserve"> </w:t>
      </w:r>
      <w:r w:rsidR="007626D8">
        <w:t>est un exemple</w:t>
      </w:r>
      <w:r w:rsidR="00A11A70">
        <w:t xml:space="preserve"> concr</w:t>
      </w:r>
      <w:r w:rsidR="007626D8">
        <w:t xml:space="preserve">et </w:t>
      </w:r>
      <w:r w:rsidR="008308AE">
        <w:t>de ce modèle</w:t>
      </w:r>
      <w:r w:rsidR="00783407">
        <w:t>.</w:t>
      </w:r>
    </w:p>
    <w:p w14:paraId="370D41AA" w14:textId="75F6C143" w:rsidR="005E3B21" w:rsidRDefault="005E3B21" w:rsidP="00001DBB">
      <w:pPr>
        <w:pStyle w:val="WichtigBox"/>
        <w:ind w:firstLine="0"/>
      </w:pPr>
      <w:r w:rsidRPr="001038B8">
        <w:t>Pour rédiger un texte argumentatif (fonctionnement visé), l’</w:t>
      </w:r>
      <w:r>
        <w:t xml:space="preserve">élève </w:t>
      </w:r>
      <w:r w:rsidRPr="001038B8">
        <w:t xml:space="preserve">dispose </w:t>
      </w:r>
      <w:r w:rsidR="004724E2">
        <w:t xml:space="preserve">des ressources suivantes : </w:t>
      </w:r>
      <w:r w:rsidRPr="001038B8">
        <w:t>u</w:t>
      </w:r>
      <w:r w:rsidRPr="007D6CC4">
        <w:t>ne consigne écrite</w:t>
      </w:r>
      <w:r w:rsidRPr="001038B8">
        <w:t>, u</w:t>
      </w:r>
      <w:r w:rsidRPr="007D6CC4">
        <w:t>n temps dédié en classe</w:t>
      </w:r>
      <w:r w:rsidRPr="001038B8">
        <w:t>, la</w:t>
      </w:r>
      <w:r w:rsidRPr="007D6CC4">
        <w:t xml:space="preserve"> possibilité de demander de l’aide</w:t>
      </w:r>
      <w:r w:rsidRPr="001038B8">
        <w:t xml:space="preserve">, </w:t>
      </w:r>
      <w:r w:rsidR="00BA78B2">
        <w:t xml:space="preserve">des </w:t>
      </w:r>
      <w:r w:rsidRPr="007D6CC4">
        <w:t>exemples de textes</w:t>
      </w:r>
      <w:r w:rsidRPr="001038B8">
        <w:t>,</w:t>
      </w:r>
      <w:r>
        <w:t xml:space="preserve"> </w:t>
      </w:r>
      <w:r w:rsidRPr="001038B8">
        <w:t>ses prérequis,</w:t>
      </w:r>
      <w:r>
        <w:t xml:space="preserve"> </w:t>
      </w:r>
      <w:r w:rsidRPr="001038B8">
        <w:t>et</w:t>
      </w:r>
      <w:r w:rsidR="00BA78B2">
        <w:t xml:space="preserve">c. </w:t>
      </w:r>
      <w:r>
        <w:t>À</w:t>
      </w:r>
      <w:r w:rsidRPr="001038B8">
        <w:t xml:space="preserve"> ce stade, </w:t>
      </w:r>
      <w:r w:rsidR="00601FF5">
        <w:t>l’élève</w:t>
      </w:r>
      <w:r w:rsidRPr="001038B8">
        <w:t xml:space="preserve"> dispose de ressources potentielles,</w:t>
      </w:r>
      <w:r w:rsidR="00B23DFC">
        <w:t xml:space="preserve"> de moyens d’action,</w:t>
      </w:r>
      <w:r w:rsidRPr="001038B8">
        <w:t xml:space="preserve"> pas encore de capabilités.</w:t>
      </w:r>
    </w:p>
    <w:p w14:paraId="1F380CD1" w14:textId="1FA3A526" w:rsidR="00111292" w:rsidRPr="0091668A" w:rsidRDefault="00111292" w:rsidP="006D0D33">
      <w:pPr>
        <w:pStyle w:val="Corpsdetexte"/>
        <w:ind w:firstLine="0"/>
      </w:pPr>
      <w:r w:rsidRPr="0091668A">
        <w:t>L</w:t>
      </w:r>
      <w:r w:rsidR="00570627">
        <w:t xml:space="preserve">a </w:t>
      </w:r>
      <w:r w:rsidRPr="0091668A">
        <w:t>conversion</w:t>
      </w:r>
      <w:r w:rsidR="00570627">
        <w:t xml:space="preserve"> des ressources</w:t>
      </w:r>
      <w:r w:rsidRPr="0091668A">
        <w:t xml:space="preserve"> est essentielle pour</w:t>
      </w:r>
      <w:r w:rsidR="00570627">
        <w:t xml:space="preserve"> les</w:t>
      </w:r>
      <w:r w:rsidRPr="0091668A">
        <w:t xml:space="preserve"> transformer en capacité d’action. Les facteurs de conversion permettent ce mouvement. De ce fait, deux élèves disposant des mêmes ressources n’auront pas les mêmes possibilités d’action selon ces facteurs.</w:t>
      </w:r>
    </w:p>
    <w:p w14:paraId="6D17F587" w14:textId="6403754D" w:rsidR="00215BF3" w:rsidRPr="001038B8" w:rsidRDefault="00215BF3" w:rsidP="00001DBB">
      <w:pPr>
        <w:pStyle w:val="WichtigBox"/>
        <w:ind w:firstLine="0"/>
      </w:pPr>
      <w:r w:rsidRPr="001038B8">
        <w:t>L’utilisation des ressources disponible</w:t>
      </w:r>
      <w:r>
        <w:t>s</w:t>
      </w:r>
      <w:r w:rsidRPr="001038B8">
        <w:t xml:space="preserve"> pour rédiger un texte argumentatif se trouve contrainte ou potentialisée par des facteurs</w:t>
      </w:r>
      <w:r w:rsidRPr="00735012">
        <w:t xml:space="preserve"> personnels (ma</w:t>
      </w:r>
      <w:r>
        <w:t>i</w:t>
      </w:r>
      <w:r w:rsidRPr="00735012">
        <w:t>trise de la langue, confiance en soi, expériences antérieures</w:t>
      </w:r>
      <w:r>
        <w:t>, etc.</w:t>
      </w:r>
      <w:r w:rsidRPr="00735012">
        <w:t>), pédagogiques (clarté des consignes,</w:t>
      </w:r>
      <w:r>
        <w:t xml:space="preserve"> </w:t>
      </w:r>
      <w:r w:rsidRPr="00735012">
        <w:t>droit à l’erreur, climat de classe</w:t>
      </w:r>
      <w:r>
        <w:t>, etc.</w:t>
      </w:r>
      <w:r w:rsidRPr="00735012">
        <w:t>), organisationnels (temps, organisation du travail</w:t>
      </w:r>
      <w:r w:rsidRPr="001038B8">
        <w:t>, groupes de travail</w:t>
      </w:r>
      <w:r>
        <w:t>, etc.</w:t>
      </w:r>
      <w:r w:rsidRPr="00735012">
        <w:t>), actionnels (demander de l’aide, s’organiser, persévérer</w:t>
      </w:r>
      <w:r>
        <w:t>, etc.</w:t>
      </w:r>
      <w:r w:rsidRPr="00735012">
        <w:t>), axiologiques (valeur accordée à l’activité</w:t>
      </w:r>
      <w:r>
        <w:t>, etc.</w:t>
      </w:r>
      <w:r w:rsidRPr="00735012">
        <w:t>) ou encore posturaux (engagement</w:t>
      </w:r>
      <w:r w:rsidRPr="001038B8">
        <w:t xml:space="preserve"> </w:t>
      </w:r>
      <w:r w:rsidRPr="00735012">
        <w:t>face à l’apprentissage</w:t>
      </w:r>
      <w:r>
        <w:t>, etc.</w:t>
      </w:r>
      <w:r w:rsidRPr="00735012">
        <w:t>).</w:t>
      </w:r>
    </w:p>
    <w:p w14:paraId="5BC2FBA4" w14:textId="64053FEB" w:rsidR="001B036A" w:rsidRPr="0091668A" w:rsidRDefault="001B036A" w:rsidP="006D0D33">
      <w:pPr>
        <w:pStyle w:val="Corpsdetexte"/>
        <w:ind w:firstLine="0"/>
      </w:pPr>
      <w:r w:rsidRPr="0091668A">
        <w:lastRenderedPageBreak/>
        <w:t>Enfin, les facteurs de choix renvoient à ce que les élèves décident effectivement de faire parmi les possibilités ouvertes. Une capabilité ne se réduit ainsi ni à un « pouvoir de faire » ni à un « pouvoir d’être » : elle est aussi un « pouvoir de choisir</w:t>
      </w:r>
      <w:r w:rsidRPr="0091668A">
        <w:rPr>
          <w:i/>
          <w:iCs/>
        </w:rPr>
        <w:t> »</w:t>
      </w:r>
      <w:r w:rsidRPr="0091668A">
        <w:t>.</w:t>
      </w:r>
    </w:p>
    <w:p w14:paraId="1FC403BA" w14:textId="4FCBA95F" w:rsidR="003C6960" w:rsidRPr="001038B8" w:rsidRDefault="003C6960" w:rsidP="003922BE">
      <w:pPr>
        <w:pStyle w:val="WichtigBox"/>
        <w:ind w:firstLine="0"/>
      </w:pPr>
      <w:r w:rsidRPr="001038B8">
        <w:t xml:space="preserve">Pour rédiger son texte argumentatif, l’élève </w:t>
      </w:r>
      <w:r>
        <w:t>écrit un</w:t>
      </w:r>
      <w:r w:rsidRPr="003D4BEA">
        <w:t xml:space="preserve"> brouillon avant d</w:t>
      </w:r>
      <w:r>
        <w:t>e rédiger</w:t>
      </w:r>
      <w:r w:rsidRPr="001038B8">
        <w:t xml:space="preserve">, </w:t>
      </w:r>
      <w:r w:rsidRPr="003D4BEA">
        <w:t>retravaille son texte après un retour</w:t>
      </w:r>
      <w:r w:rsidRPr="001038B8">
        <w:t>, etc</w:t>
      </w:r>
      <w:r>
        <w:t xml:space="preserve">. </w:t>
      </w:r>
      <w:r w:rsidRPr="00B62012">
        <w:t xml:space="preserve">L’élève le fait en fonction de ce qu’elle ou il considère être capable de faire, de l’intérêt accordé à cette activité et aussi de ce que son environnement lui permet (disponibilité de l’enseignante ou enseignant, climat de classe, </w:t>
      </w:r>
      <w:r w:rsidRPr="006D0D33">
        <w:t>papier brouillon, etc</w:t>
      </w:r>
      <w:r w:rsidRPr="00B62012">
        <w:t>.) ou lui suggère (évaluation, transfert, etc.)</w:t>
      </w:r>
      <w:r w:rsidR="00F52262">
        <w:t>.</w:t>
      </w:r>
    </w:p>
    <w:p w14:paraId="2B546AB1" w14:textId="334A7AA3" w:rsidR="000558B0" w:rsidRDefault="00404B22" w:rsidP="00404B22">
      <w:pPr>
        <w:pStyle w:val="Titre1"/>
      </w:pPr>
      <w:r w:rsidRPr="001038B8">
        <w:t>L’école comme fabrique du pouvoir d’apprendre</w:t>
      </w:r>
    </w:p>
    <w:p w14:paraId="32B6F17C" w14:textId="4262935C" w:rsidR="001F288B" w:rsidRDefault="006C277E" w:rsidP="001F288B">
      <w:pPr>
        <w:pStyle w:val="Corpsdetexte"/>
      </w:pPr>
      <w:r w:rsidRPr="00037AE3">
        <w:rPr>
          <w:noProof/>
        </w:rPr>
        <mc:AlternateContent>
          <mc:Choice Requires="wps">
            <w:drawing>
              <wp:anchor distT="45720" distB="45720" distL="46990" distR="46990" simplePos="0" relativeHeight="251658242" behindDoc="0" locked="0" layoutInCell="1" allowOverlap="0" wp14:anchorId="1BD7B7F8" wp14:editId="32A0EE46">
                <wp:simplePos x="0" y="0"/>
                <wp:positionH relativeFrom="column">
                  <wp:posOffset>-900430</wp:posOffset>
                </wp:positionH>
                <wp:positionV relativeFrom="paragraph">
                  <wp:posOffset>645160</wp:posOffset>
                </wp:positionV>
                <wp:extent cx="5530850" cy="492760"/>
                <wp:effectExtent l="0" t="0" r="0" b="2540"/>
                <wp:wrapTopAndBottom/>
                <wp:docPr id="93627355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492760"/>
                        </a:xfrm>
                        <a:prstGeom prst="rect">
                          <a:avLst/>
                        </a:prstGeom>
                        <a:noFill/>
                        <a:ln w="9525">
                          <a:noFill/>
                          <a:miter lim="800000"/>
                          <a:headEnd/>
                          <a:tailEnd/>
                        </a:ln>
                      </wps:spPr>
                      <wps:txbx>
                        <w:txbxContent>
                          <w:p w14:paraId="51DD3F5A" w14:textId="3DF80FFE" w:rsidR="006C277E" w:rsidRPr="00392E31" w:rsidRDefault="006C277E" w:rsidP="003922BE">
                            <w:pPr>
                              <w:pStyle w:val="Hervorhebung1"/>
                              <w:suppressAutoHyphens/>
                              <w:jc w:val="both"/>
                            </w:pPr>
                            <w:r w:rsidRPr="001038B8">
                              <w:t>Apprendre, c’est</w:t>
                            </w:r>
                            <w:r>
                              <w:t xml:space="preserve"> </w:t>
                            </w:r>
                            <w:r w:rsidRPr="001038B8">
                              <w:t>désirer, persévérer</w:t>
                            </w:r>
                            <w:r>
                              <w:t xml:space="preserve">, </w:t>
                            </w:r>
                            <w:r w:rsidRPr="001038B8">
                              <w:t>coconstruire, interagir, prendre des risques, changer, réfléchir, faire évoluer son rapport au savoir, transposer, etc</w:t>
                            </w:r>
                            <w:r w:rsidRPr="00F757C8">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7B7F8" id="_x0000_s1028" type="#_x0000_t202" alt="&quot;&quot;" style="position:absolute;left:0;text-align:left;margin-left:-70.9pt;margin-top:50.8pt;width:435.5pt;height:38.8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" o:allowoverlap="f" filled="f" stroked="f">
                <v:textbox inset="29mm,,2.5mm">
                  <w:txbxContent>
                    <w:p w14:paraId="51DD3F5A" w14:textId="3DF80FFE" w:rsidR="006C277E" w:rsidRPr="00392E31" w:rsidRDefault="006C277E" w:rsidP="003922BE">
                      <w:pPr>
                        <w:pStyle w:val="Hervorhebung1"/>
                        <w:suppressAutoHyphens/>
                        <w:jc w:val="both"/>
                      </w:pPr>
                      <w:r w:rsidRPr="001038B8">
                        <w:t>Apprendre, c’est</w:t>
                      </w:r>
                      <w:r>
                        <w:t xml:space="preserve"> </w:t>
                      </w:r>
                      <w:r w:rsidRPr="001038B8">
                        <w:t>désirer, persévérer</w:t>
                      </w:r>
                      <w:r>
                        <w:t xml:space="preserve">, </w:t>
                      </w:r>
                      <w:r w:rsidRPr="001038B8">
                        <w:t>coconstruire, interagir, prendre des risques, changer, réfléchir, faire évoluer son rapport au savoir, transposer, etc</w:t>
                      </w:r>
                      <w:r w:rsidRPr="00F757C8">
                        <w:t>.</w:t>
                      </w:r>
                    </w:p>
                  </w:txbxContent>
                </v:textbox>
                <w10:wrap type="topAndBottom"/>
              </v:shape>
            </w:pict>
          </mc:Fallback>
        </mc:AlternateContent>
      </w:r>
      <w:r w:rsidR="001F288B" w:rsidRPr="008243BC">
        <w:t>L’école peut-elle et doit-elle être un lieu de développement du pouvoir d’apprendre</w:t>
      </w:r>
      <w:r w:rsidR="002E7964">
        <w:t> </w:t>
      </w:r>
      <w:r w:rsidR="001F288B" w:rsidRPr="008C3696">
        <w:t xml:space="preserve">? Si </w:t>
      </w:r>
      <w:r w:rsidR="001F288B" w:rsidRPr="00F24737">
        <w:t xml:space="preserve">sa mission historique est </w:t>
      </w:r>
      <w:r w:rsidR="001F288B" w:rsidRPr="008C3696">
        <w:t xml:space="preserve">la transmission des savoirs, la perspective capacitaire invite à </w:t>
      </w:r>
      <w:r w:rsidR="001F288B" w:rsidRPr="00F24737">
        <w:t>s’</w:t>
      </w:r>
      <w:r w:rsidR="001F288B" w:rsidRPr="008C3696">
        <w:t xml:space="preserve">interroger </w:t>
      </w:r>
      <w:r w:rsidR="001F288B" w:rsidRPr="00F24737">
        <w:t>sur les</w:t>
      </w:r>
      <w:r w:rsidR="001F288B" w:rsidRPr="008C3696">
        <w:t xml:space="preserve"> conditions </w:t>
      </w:r>
      <w:r w:rsidR="001F288B" w:rsidRPr="00F24737">
        <w:t>qui permettent aux</w:t>
      </w:r>
      <w:r w:rsidR="001F288B" w:rsidRPr="008C3696">
        <w:t xml:space="preserve"> élèves de s’approprier ces savoirs, d’agir sur leurs apprentissages et de construire </w:t>
      </w:r>
      <w:r w:rsidR="001F288B" w:rsidRPr="00F24737">
        <w:t>leur mise en capacité</w:t>
      </w:r>
      <w:r w:rsidR="001F288B">
        <w:t xml:space="preserve"> à apprendre</w:t>
      </w:r>
      <w:r w:rsidR="001F288B" w:rsidRPr="008C3696">
        <w:t>.</w:t>
      </w:r>
    </w:p>
    <w:p w14:paraId="2F5AEC14" w14:textId="7FD8B1D7" w:rsidR="001F288B" w:rsidRDefault="001F288B" w:rsidP="001F288B">
      <w:pPr>
        <w:pStyle w:val="Corpsdetexte"/>
      </w:pPr>
      <w:r w:rsidRPr="008243BC">
        <w:t>L’apprentissage ne se réduit ni à l’acquisition de connaissances ni à la réalisation de performances scolaires.</w:t>
      </w:r>
      <w:r w:rsidRPr="001038B8">
        <w:t xml:space="preserve"> Il s’agit d’un processus complexe et multidimensionnel</w:t>
      </w:r>
      <w:r>
        <w:t>.</w:t>
      </w:r>
      <w:r w:rsidRPr="001038B8">
        <w:t xml:space="preserve"> Apprendre, c’est</w:t>
      </w:r>
      <w:r>
        <w:t xml:space="preserve"> </w:t>
      </w:r>
      <w:r w:rsidRPr="001038B8">
        <w:t>désirer, persévérer</w:t>
      </w:r>
      <w:r>
        <w:t xml:space="preserve">, </w:t>
      </w:r>
      <w:r w:rsidRPr="001038B8">
        <w:t>coconstruire, interagir, prendre des risques, changer, réfléchir, faire évoluer son rapport au savoir, transposer, etc. (</w:t>
      </w:r>
      <w:r>
        <w:t>voir</w:t>
      </w:r>
      <w:r w:rsidRPr="001038B8">
        <w:t xml:space="preserve"> notamment </w:t>
      </w:r>
      <w:r w:rsidRPr="00816E40">
        <w:t>Bourgeois</w:t>
      </w:r>
      <w:r w:rsidR="0052600C">
        <w:t> </w:t>
      </w:r>
      <w:r>
        <w:t>&amp;</w:t>
      </w:r>
      <w:r w:rsidRPr="00816E40">
        <w:t xml:space="preserve"> Chapelle, 2006 </w:t>
      </w:r>
      <w:r w:rsidRPr="001038B8">
        <w:t xml:space="preserve">; </w:t>
      </w:r>
      <w:r w:rsidRPr="00816E40">
        <w:t>Develay, 1992 ; Legendre, 1993</w:t>
      </w:r>
      <w:r>
        <w:t> ;</w:t>
      </w:r>
      <w:r w:rsidRPr="0015789A">
        <w:t xml:space="preserve"> </w:t>
      </w:r>
      <w:r w:rsidRPr="001038B8">
        <w:t>Perrenoud,</w:t>
      </w:r>
      <w:r w:rsidR="0052600C">
        <w:t xml:space="preserve"> </w:t>
      </w:r>
      <w:r w:rsidRPr="001038B8">
        <w:t>2003</w:t>
      </w:r>
      <w:r w:rsidRPr="00816E40">
        <w:t>).</w:t>
      </w:r>
      <w:r w:rsidRPr="001038B8">
        <w:t xml:space="preserve"> </w:t>
      </w:r>
      <w:r w:rsidRPr="008243BC">
        <w:t>Cette conception</w:t>
      </w:r>
      <w:r w:rsidR="005A672E">
        <w:t>,</w:t>
      </w:r>
      <w:r w:rsidRPr="008243BC">
        <w:t xml:space="preserve"> </w:t>
      </w:r>
      <w:r>
        <w:t xml:space="preserve">qui </w:t>
      </w:r>
      <w:r w:rsidRPr="008243BC">
        <w:t xml:space="preserve">met au premier plan l’activité de </w:t>
      </w:r>
      <w:r>
        <w:t>l’élève</w:t>
      </w:r>
      <w:r w:rsidRPr="008243BC">
        <w:t>,</w:t>
      </w:r>
      <w:r>
        <w:t xml:space="preserve"> </w:t>
      </w:r>
      <w:r w:rsidRPr="008243BC">
        <w:t>conduit simultanément à interroger les conditions dans lesquelles cette activité peut être soutenue.</w:t>
      </w:r>
    </w:p>
    <w:p w14:paraId="298EA22D" w14:textId="4921C1CC" w:rsidR="001F288B" w:rsidRDefault="001F288B" w:rsidP="00060F5F">
      <w:pPr>
        <w:pStyle w:val="Corpsdetexte"/>
      </w:pPr>
      <w:r w:rsidRPr="008243BC">
        <w:t xml:space="preserve">Ces mises en capacité </w:t>
      </w:r>
      <w:r>
        <w:t xml:space="preserve">dépendent autant de l’apprenante ou apprenant que </w:t>
      </w:r>
      <w:r w:rsidRPr="008243BC">
        <w:t>des étayages proposés par l’institution scolaire</w:t>
      </w:r>
      <w:r w:rsidRPr="001038B8">
        <w:t xml:space="preserve"> et son environnement. </w:t>
      </w:r>
      <w:r w:rsidRPr="008243BC">
        <w:t>Ces étayages prennent des formes multiples</w:t>
      </w:r>
      <w:r>
        <w:t> </w:t>
      </w:r>
      <w:r w:rsidRPr="008243BC">
        <w:t xml:space="preserve">: relation pédagogique, consignes, méthodes, supports, organisation du temps et de l’espace, modalités d’évaluation, reconnaissance des progrès, droit à l’erreur, etc. Interroger leur caractère capacitant revient à </w:t>
      </w:r>
      <w:r>
        <w:t xml:space="preserve">se demander </w:t>
      </w:r>
      <w:r w:rsidRPr="008243BC">
        <w:t>comment les environnements scolaires</w:t>
      </w:r>
      <w:r w:rsidRPr="001038B8">
        <w:t xml:space="preserve"> </w:t>
      </w:r>
      <w:r w:rsidRPr="008243BC">
        <w:t>peuvent-ils soutenir durablement le développement des capabilités, entendues comme un pouvoir d’agir et d’apprendre (Nussbaum, 2012</w:t>
      </w:r>
      <w:r>
        <w:t xml:space="preserve"> ; </w:t>
      </w:r>
      <w:r w:rsidRPr="008243BC">
        <w:t>Sen, 200</w:t>
      </w:r>
      <w:r>
        <w:t>0)</w:t>
      </w:r>
      <w:r w:rsidRPr="008243BC">
        <w:t>.</w:t>
      </w:r>
      <w:r w:rsidR="00060F5F">
        <w:t xml:space="preserve"> </w:t>
      </w:r>
      <w:r w:rsidRPr="008243BC">
        <w:t xml:space="preserve">Dans le champ de l’éducation spécialisée, cette question est </w:t>
      </w:r>
      <w:r>
        <w:t>cruciale</w:t>
      </w:r>
      <w:r w:rsidRPr="00B023ED">
        <w:t>. Il ne s’agit plus seulement de savoir si l’élève peut apprendre, mais de comprendre dans quelles conditions l’école lui permet, ou non</w:t>
      </w:r>
      <w:r w:rsidR="00227397">
        <w:t>,</w:t>
      </w:r>
      <w:r w:rsidRPr="00B023ED">
        <w:t xml:space="preserve"> de développer sa capacité à apprendre.</w:t>
      </w:r>
    </w:p>
    <w:p w14:paraId="78B91684" w14:textId="77777777" w:rsidR="00DD0B39" w:rsidRPr="00DD0B39" w:rsidRDefault="00DD0B39" w:rsidP="00DD0B39">
      <w:pPr>
        <w:pStyle w:val="Titre2"/>
      </w:pPr>
      <w:r w:rsidRPr="00DD0B39">
        <w:t>Pouvoir d’apprendre et environnement scolaire</w:t>
      </w:r>
    </w:p>
    <w:p w14:paraId="23574DD3" w14:textId="1EAAA38F" w:rsidR="00593CEB" w:rsidRPr="001038B8" w:rsidRDefault="00593CEB" w:rsidP="00593CEB">
      <w:pPr>
        <w:pStyle w:val="Corpsdetexte"/>
      </w:pPr>
      <w:r w:rsidRPr="001038B8">
        <w:t xml:space="preserve">La notion d’environnement capacitant permet de renouveler l’analyse de l’inclusion scolaire en déplaçant le regard des caractéristiques individuelles des élèves vers les conditions organisationnelles et institutionnelles dans lesquelles se déploient les activités d’enseignement et d’apprentissage. </w:t>
      </w:r>
      <w:r>
        <w:t>L’</w:t>
      </w:r>
      <w:r w:rsidRPr="001038B8">
        <w:t>école</w:t>
      </w:r>
      <w:r>
        <w:t xml:space="preserve"> n’est plus vue comme </w:t>
      </w:r>
      <w:r w:rsidRPr="001038B8">
        <w:t>un cadre neutre de transmission des savoirs, mais comme un environnement susceptible de soutenir ou d’entraver la capacité des élèves à apprendre, à agir et à se projeter</w:t>
      </w:r>
      <w:r>
        <w:t>.</w:t>
      </w:r>
    </w:p>
    <w:p w14:paraId="3657102B" w14:textId="71AF44A1" w:rsidR="00EA10E6" w:rsidRDefault="00593CEB" w:rsidP="00593CEB">
      <w:pPr>
        <w:pStyle w:val="Corpsdetexte"/>
      </w:pPr>
      <w:r w:rsidRPr="009E4BD4">
        <w:t xml:space="preserve">Un environnement scolaire capacitant désigne </w:t>
      </w:r>
      <w:r>
        <w:t xml:space="preserve">de ce fait </w:t>
      </w:r>
      <w:r w:rsidRPr="009E4BD4">
        <w:t xml:space="preserve">un ensemble de conditions interdépendantes </w:t>
      </w:r>
      <w:r>
        <w:t>–</w:t>
      </w:r>
      <w:r w:rsidR="00655D8C">
        <w:t xml:space="preserve"> </w:t>
      </w:r>
      <w:r w:rsidRPr="009E4BD4">
        <w:t>organisationnelles, matérielles, relationnelles, symboliques et dispositionnelles</w:t>
      </w:r>
      <w:r w:rsidR="00655D8C">
        <w:t xml:space="preserve"> </w:t>
      </w:r>
      <w:r>
        <w:t>– q</w:t>
      </w:r>
      <w:r w:rsidRPr="009E4BD4">
        <w:t>ui rendent effectivement possible le développement du pouvoir d’agir des élèves</w:t>
      </w:r>
      <w:r w:rsidR="002B265C">
        <w:t xml:space="preserve"> et </w:t>
      </w:r>
      <w:r w:rsidRPr="009E4BD4">
        <w:t xml:space="preserve">aussi celui des </w:t>
      </w:r>
      <w:r>
        <w:t xml:space="preserve">équipes professionnelles </w:t>
      </w:r>
      <w:r w:rsidRPr="009E4BD4">
        <w:t>(</w:t>
      </w:r>
      <w:proofErr w:type="spellStart"/>
      <w:r w:rsidRPr="009E4BD4">
        <w:t>Ciavaldini-Cartaut</w:t>
      </w:r>
      <w:proofErr w:type="spellEnd"/>
      <w:r w:rsidRPr="009E4BD4">
        <w:t xml:space="preserve"> et al., 2021</w:t>
      </w:r>
      <w:r>
        <w:t> </w:t>
      </w:r>
      <w:r w:rsidRPr="009E4BD4">
        <w:t xml:space="preserve">; </w:t>
      </w:r>
      <w:r>
        <w:t xml:space="preserve">Rodriguez </w:t>
      </w:r>
      <w:r w:rsidRPr="009E4BD4">
        <w:t>Diaz, 2025).</w:t>
      </w:r>
      <w:r w:rsidR="00900980">
        <w:t xml:space="preserve"> </w:t>
      </w:r>
      <w:r w:rsidRPr="00173CEA">
        <w:t xml:space="preserve">Il s’agit d’analyser ce que les environnements font aux élèves et la manière dont </w:t>
      </w:r>
      <w:r w:rsidR="008543D6">
        <w:t xml:space="preserve">elles et </w:t>
      </w:r>
      <w:r w:rsidRPr="00173CEA">
        <w:t>ils s’en saisissent, se les approprient ou les contournent afin de mieux comprendre comment les élèves investissent leur espace scolaire, construisent leur autonomie et développent leurs marges de liberté.</w:t>
      </w:r>
    </w:p>
    <w:p w14:paraId="457DEF20" w14:textId="77777777" w:rsidR="00EA10E6" w:rsidRDefault="00EA10E6">
      <w:pPr>
        <w:spacing w:after="200" w:line="240" w:lineRule="auto"/>
      </w:pPr>
      <w:r>
        <w:br w:type="page"/>
      </w:r>
    </w:p>
    <w:p w14:paraId="1917AB61" w14:textId="77777777" w:rsidR="00172A47" w:rsidRPr="00172A47" w:rsidRDefault="00172A47" w:rsidP="00172A47">
      <w:pPr>
        <w:pStyle w:val="Titre1"/>
      </w:pPr>
      <w:r w:rsidRPr="00172A47">
        <w:lastRenderedPageBreak/>
        <w:t xml:space="preserve">Environnement capacitant et organisation apprenante : un nécessaire </w:t>
      </w:r>
      <w:r w:rsidRPr="00180C8A">
        <w:rPr>
          <w:i/>
          <w:iCs/>
        </w:rPr>
        <w:t>distinguo</w:t>
      </w:r>
    </w:p>
    <w:p w14:paraId="544A321E" w14:textId="77777777" w:rsidR="00950EC6" w:rsidRPr="001038B8" w:rsidRDefault="00950EC6" w:rsidP="00950EC6">
      <w:pPr>
        <w:pStyle w:val="Corpsdetexte"/>
      </w:pPr>
      <w:r w:rsidRPr="00A1582B">
        <w:t xml:space="preserve">La notion d’environnement capacitant est parfois rapprochée de celle d’organisation apprenante. </w:t>
      </w:r>
      <w:r>
        <w:t>Cependant, i</w:t>
      </w:r>
      <w:r w:rsidRPr="00A1582B">
        <w:t>l appara</w:t>
      </w:r>
      <w:r>
        <w:t>i</w:t>
      </w:r>
      <w:r w:rsidRPr="00A1582B">
        <w:t>t essentiel de ne pas les confondre.</w:t>
      </w:r>
    </w:p>
    <w:p w14:paraId="3D71909A" w14:textId="4F1E3FD1" w:rsidR="00950EC6" w:rsidRPr="00180C8A" w:rsidRDefault="00950EC6" w:rsidP="00950EC6">
      <w:pPr>
        <w:pStyle w:val="Corpsdetexte"/>
      </w:pPr>
      <w:r>
        <w:t>Alors que</w:t>
      </w:r>
      <w:r w:rsidR="009B62F6">
        <w:t xml:space="preserve"> </w:t>
      </w:r>
      <w:r>
        <w:t>l</w:t>
      </w:r>
      <w:r w:rsidRPr="00A1582B">
        <w:t xml:space="preserve">’enjeu </w:t>
      </w:r>
      <w:r w:rsidR="009B62F6">
        <w:t>de</w:t>
      </w:r>
      <w:r w:rsidR="00A85611">
        <w:t xml:space="preserve"> l’</w:t>
      </w:r>
      <w:r w:rsidR="009B62F6">
        <w:t xml:space="preserve">organisation apprenante </w:t>
      </w:r>
      <w:r w:rsidRPr="00A1582B">
        <w:t xml:space="preserve">consiste à favoriser la montée en compétences des individus à travers des pratiques </w:t>
      </w:r>
      <w:r w:rsidR="00500E8F">
        <w:t>organisationnelles induisant plus</w:t>
      </w:r>
      <w:r w:rsidR="004A6812">
        <w:t xml:space="preserve"> </w:t>
      </w:r>
      <w:r w:rsidR="00500E8F">
        <w:t>d</w:t>
      </w:r>
      <w:r w:rsidR="004A6812">
        <w:t>’</w:t>
      </w:r>
      <w:r w:rsidRPr="00A1582B">
        <w:t>autonomi</w:t>
      </w:r>
      <w:r w:rsidR="00500E8F">
        <w:t>e</w:t>
      </w:r>
      <w:r w:rsidRPr="00A1582B">
        <w:t xml:space="preserve">, </w:t>
      </w:r>
      <w:r w:rsidR="00500E8F">
        <w:t>de</w:t>
      </w:r>
      <w:r w:rsidR="004A6812">
        <w:t xml:space="preserve"> </w:t>
      </w:r>
      <w:r w:rsidRPr="00A1582B">
        <w:t>responsabili</w:t>
      </w:r>
      <w:r w:rsidR="00500E8F">
        <w:t>té</w:t>
      </w:r>
      <w:r w:rsidRPr="00A1582B">
        <w:t xml:space="preserve"> et</w:t>
      </w:r>
      <w:r w:rsidR="00500E8F">
        <w:t xml:space="preserve"> de</w:t>
      </w:r>
      <w:r w:rsidR="004A6812">
        <w:t xml:space="preserve"> </w:t>
      </w:r>
      <w:r w:rsidRPr="00A1582B">
        <w:t>collaborati</w:t>
      </w:r>
      <w:r w:rsidR="004A6812">
        <w:t>on</w:t>
      </w:r>
      <w:r w:rsidRPr="00A1582B">
        <w:t xml:space="preserve"> (Fernagu Oudet, </w:t>
      </w:r>
      <w:r w:rsidRPr="00180C8A">
        <w:t>2010), l’approche par l</w:t>
      </w:r>
      <w:r w:rsidR="00A85611">
        <w:t>’</w:t>
      </w:r>
      <w:r w:rsidR="004A0FFD">
        <w:t xml:space="preserve">environnement </w:t>
      </w:r>
      <w:r w:rsidR="00A85611">
        <w:t xml:space="preserve">capacitant </w:t>
      </w:r>
      <w:r w:rsidRPr="00180C8A">
        <w:t xml:space="preserve">permet de dépasser cette perspective en montrant que </w:t>
      </w:r>
      <w:r w:rsidR="00C02BA1">
        <w:t>la mise à disposition</w:t>
      </w:r>
      <w:r w:rsidRPr="00180C8A">
        <w:t xml:space="preserve"> de ressources ne suffit pas</w:t>
      </w:r>
      <w:r w:rsidR="00C02BA1">
        <w:t xml:space="preserve"> en </w:t>
      </w:r>
      <w:r w:rsidR="00BB1D88">
        <w:t>soi</w:t>
      </w:r>
      <w:r w:rsidRPr="00180C8A">
        <w:t>. Celles-ci ne deviennent opérantes que si les conditions permettent leur appropriation.</w:t>
      </w:r>
    </w:p>
    <w:p w14:paraId="48C52668" w14:textId="682B4100" w:rsidR="00950EC6" w:rsidRPr="005E54B7" w:rsidRDefault="00950EC6" w:rsidP="00950EC6">
      <w:pPr>
        <w:pStyle w:val="Corpsdetexte"/>
      </w:pPr>
      <w:r>
        <w:t>La notion d</w:t>
      </w:r>
      <w:r w:rsidRPr="00A1582B">
        <w:t xml:space="preserve">’environnement capacitant permet de penser simultanément les processus de production des moyens pédagogiques et les processus d’appropriation par les sujets, en tenant compte de leurs caractéristiques, de leurs </w:t>
      </w:r>
      <w:r w:rsidRPr="005E54B7">
        <w:t>expériences et de leurs marges de choix (Cuvelier &amp; Fernagu, 2023). Cette perspective invite à inscrire l’analyse dans une dynamique continue d’observation, de régulation et d’ajustement, en prenant l’expérience des apprenantes et apprenants comme point d’appui central.</w:t>
      </w:r>
    </w:p>
    <w:p w14:paraId="170CF7C8" w14:textId="77777777" w:rsidR="00F52071" w:rsidRPr="00F52071" w:rsidRDefault="00F52071" w:rsidP="00F52071">
      <w:pPr>
        <w:pStyle w:val="Titre1"/>
      </w:pPr>
      <w:r w:rsidRPr="00F52071">
        <w:t>Discussion : enjeux pour l’inclusion scolaire</w:t>
      </w:r>
    </w:p>
    <w:p w14:paraId="4005A19C" w14:textId="77777777" w:rsidR="008245CF" w:rsidRPr="00320F1E" w:rsidRDefault="008245CF" w:rsidP="008245CF">
      <w:pPr>
        <w:pStyle w:val="Corpsdetexte"/>
      </w:pPr>
      <w:r w:rsidRPr="005E54B7">
        <w:t>Penser l’inclusion scolaire à partir des environnements capacitants conduit à un déplacement majeur du centre de gravité des analyses</w:t>
      </w:r>
      <w:r w:rsidRPr="00320F1E">
        <w:t>. Il ne s’agit plus seulement d’évaluer l’efficacité des dispositifs ou les performances des élèves, mais d’interroger conjointement les finalités, les moyens et les effets des politiques et des pratiques inclusives.</w:t>
      </w:r>
    </w:p>
    <w:p w14:paraId="3315C23A" w14:textId="2CE8D8D3" w:rsidR="008245CF" w:rsidRPr="00EB6231" w:rsidRDefault="008245CF" w:rsidP="008245CF">
      <w:pPr>
        <w:pStyle w:val="Corpsdetexte"/>
      </w:pPr>
      <w:r w:rsidRPr="00EB6231">
        <w:t>Cette approche permet de mettre en évidence que l’on peut apprendre sans développer son pouvoir d’agir</w:t>
      </w:r>
      <w:r>
        <w:t>, qui nécessite de réelles marges de choix et la possibilité de s’approprier les situations d’apprentissages.</w:t>
      </w:r>
    </w:p>
    <w:p w14:paraId="64C8FBC4" w14:textId="77777777" w:rsidR="008245CF" w:rsidRPr="00320F1E" w:rsidRDefault="008245CF" w:rsidP="008245CF">
      <w:pPr>
        <w:pStyle w:val="Corpsdetexte"/>
      </w:pPr>
      <w:r w:rsidRPr="00320F1E">
        <w:t>Le développement du pouvoir d’agir des élèves est indissociable de celui du corps enseignant et des autres actrices et acteurs de l’enseignement spécialisé. La possibilité de discuter les prescriptions, d’inventer des réponses pédagogiques situées et de s’inscrire dans des collectifs de travail soutenants constitue une condition essentielle de la mise en œuvre d’environnements capacitants. À défaut, les injonctions à l’inclusion risquent de se traduire par une intensification du travail et une fragilisation des pratiques (Maroy &amp; Pons, 2019).</w:t>
      </w:r>
    </w:p>
    <w:p w14:paraId="6A9ED062" w14:textId="77777777" w:rsidR="005F008C" w:rsidRPr="005F008C" w:rsidRDefault="005F008C" w:rsidP="005F008C">
      <w:pPr>
        <w:pStyle w:val="Titre1"/>
      </w:pPr>
      <w:r w:rsidRPr="005F008C">
        <w:t>Conclusion</w:t>
      </w:r>
    </w:p>
    <w:p w14:paraId="3ED4694F" w14:textId="3EC3E662" w:rsidR="00691859" w:rsidRDefault="006C277E" w:rsidP="00691859">
      <w:pPr>
        <w:pStyle w:val="Corpsdetexte"/>
      </w:pPr>
      <w:r w:rsidRPr="00037AE3">
        <w:rPr>
          <w:noProof/>
        </w:rPr>
        <mc:AlternateContent>
          <mc:Choice Requires="wps">
            <w:drawing>
              <wp:anchor distT="45720" distB="45720" distL="46990" distR="46990" simplePos="0" relativeHeight="251658243" behindDoc="0" locked="0" layoutInCell="1" allowOverlap="0" wp14:anchorId="40603B02" wp14:editId="7A22111C">
                <wp:simplePos x="0" y="0"/>
                <wp:positionH relativeFrom="column">
                  <wp:posOffset>-900430</wp:posOffset>
                </wp:positionH>
                <wp:positionV relativeFrom="paragraph">
                  <wp:posOffset>1441450</wp:posOffset>
                </wp:positionV>
                <wp:extent cx="5316855" cy="855980"/>
                <wp:effectExtent l="0" t="0" r="0" b="1270"/>
                <wp:wrapTopAndBottom/>
                <wp:docPr id="5093276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5" cy="855980"/>
                        </a:xfrm>
                        <a:prstGeom prst="rect">
                          <a:avLst/>
                        </a:prstGeom>
                        <a:noFill/>
                        <a:ln w="9525">
                          <a:noFill/>
                          <a:miter lim="800000"/>
                          <a:headEnd/>
                          <a:tailEnd/>
                        </a:ln>
                      </wps:spPr>
                      <wps:txbx>
                        <w:txbxContent>
                          <w:p w14:paraId="663AB362" w14:textId="1EC32A36" w:rsidR="006C277E" w:rsidRPr="00392E31" w:rsidRDefault="006C277E" w:rsidP="003922BE">
                            <w:pPr>
                              <w:pStyle w:val="Hervorhebung1"/>
                              <w:suppressAutoHyphens/>
                              <w:jc w:val="both"/>
                            </w:pPr>
                            <w:r w:rsidRPr="00EB6231">
                              <w:t xml:space="preserve">Penser des environnements scolaires capacitants, ce n’est pas chercher des solutions universelles, mais engager une réflexion continue sur les obstacles aux apprentissages, les leviers d’action possibles et les marges de liberté offertes aux élèves et aux </w:t>
                            </w:r>
                            <w:r>
                              <w:t xml:space="preserve">personnes </w:t>
                            </w:r>
                            <w:r w:rsidRPr="00EB6231">
                              <w:t>professionnel</w:t>
                            </w:r>
                            <w:r>
                              <w:t>le</w:t>
                            </w:r>
                            <w:r w:rsidRPr="00EB6231">
                              <w:t>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03B02" id="_x0000_s1029" type="#_x0000_t202" alt="&quot;&quot;" style="position:absolute;left:0;text-align:left;margin-left:-70.9pt;margin-top:113.5pt;width:418.65pt;height:67.4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" o:allowoverlap="f" filled="f" stroked="f">
                <v:textbox inset="29mm,,2.5mm">
                  <w:txbxContent>
                    <w:p w14:paraId="663AB362" w14:textId="1EC32A36" w:rsidR="006C277E" w:rsidRPr="00392E31" w:rsidRDefault="006C277E" w:rsidP="003922BE">
                      <w:pPr>
                        <w:pStyle w:val="Hervorhebung1"/>
                        <w:suppressAutoHyphens/>
                        <w:jc w:val="both"/>
                      </w:pPr>
                      <w:r w:rsidRPr="00EB6231">
                        <w:t xml:space="preserve">Penser des environnements scolaires capacitants, ce n’est pas chercher des solutions universelles, mais engager une réflexion continue sur les obstacles aux apprentissages, les leviers d’action possibles et les marges de liberté offertes aux élèves et aux </w:t>
                      </w:r>
                      <w:r>
                        <w:t xml:space="preserve">personnes </w:t>
                      </w:r>
                      <w:r w:rsidRPr="00EB6231">
                        <w:t>professionnel</w:t>
                      </w:r>
                      <w:r>
                        <w:t>le</w:t>
                      </w:r>
                      <w:r w:rsidRPr="00EB6231">
                        <w:t>s.</w:t>
                      </w:r>
                    </w:p>
                  </w:txbxContent>
                </v:textbox>
                <w10:wrap type="topAndBottom"/>
              </v:shape>
            </w:pict>
          </mc:Fallback>
        </mc:AlternateContent>
      </w:r>
      <w:r w:rsidR="00691859" w:rsidRPr="00EB6231">
        <w:t>En mobilisant la notion d’environnement capacitant et l’approche par les capabilités, cette contribution propose un cadre analytique permettant de repenser l’inclusion scolaire au-delà d’une logique strictement compensatoire ou dispositive. Elle invite à déplacer le regard vers les conditions concrètes dans lesquelles les élèves sont mis en capacité d’apprendre, de choisir et d’agir.</w:t>
      </w:r>
      <w:r w:rsidR="00691859">
        <w:t xml:space="preserve"> </w:t>
      </w:r>
      <w:r w:rsidR="00691859" w:rsidRPr="00EB6231">
        <w:t xml:space="preserve">Ce cadre permet de mieux comprendre les inégalités d’apprentissage non pas comme des déficits individuels, mais comme le produit de configurations environnementales plus ou moins </w:t>
      </w:r>
      <w:proofErr w:type="spellStart"/>
      <w:r w:rsidR="00691859" w:rsidRPr="00EB6231">
        <w:t>capacitantes</w:t>
      </w:r>
      <w:proofErr w:type="spellEnd"/>
      <w:r w:rsidR="00691859" w:rsidRPr="00EB6231">
        <w:t>. Il offre ainsi des repères théoriques et méthodologiques pour analyser et transformer les pratiques éducatives, en particulier dans le champ de l’</w:t>
      </w:r>
      <w:r w:rsidR="00691859">
        <w:t>enseignement</w:t>
      </w:r>
      <w:r w:rsidR="00691859" w:rsidRPr="00EB6231">
        <w:t xml:space="preserve"> spécialisé.</w:t>
      </w:r>
    </w:p>
    <w:p w14:paraId="6E121C2E" w14:textId="310C12DC" w:rsidR="00E7263E" w:rsidRDefault="00691859" w:rsidP="00356646">
      <w:pPr>
        <w:pStyle w:val="Corpsdetexte"/>
      </w:pPr>
      <w:r w:rsidRPr="00EB6231">
        <w:t xml:space="preserve">Penser des environnements scolaires capacitants, ce n’est pas chercher des solutions universelles, mais engager une réflexion continue sur les obstacles aux apprentissages, les leviers d’action possibles et les marges de liberté offertes aux élèves et aux </w:t>
      </w:r>
      <w:r>
        <w:t xml:space="preserve">personnes </w:t>
      </w:r>
      <w:r w:rsidRPr="00EB6231">
        <w:t>professionnel</w:t>
      </w:r>
      <w:r>
        <w:t>le</w:t>
      </w:r>
      <w:r w:rsidRPr="00EB6231">
        <w:t xml:space="preserve">s. En ce sens, l’approche </w:t>
      </w:r>
      <w:r w:rsidRPr="001038B8">
        <w:t>par les capabilités</w:t>
      </w:r>
      <w:r w:rsidRPr="00EB6231">
        <w:t xml:space="preserve"> constitue moins un modèle prescriptif qu’une invitation à interroger, collectivement, la fabrique du pouvoir d’apprendre.</w:t>
      </w:r>
      <w:r w:rsidR="00E7263E">
        <w:br w:type="page"/>
      </w:r>
    </w:p>
    <w:p w14:paraId="3453EA11" w14:textId="75EC5F0A" w:rsidR="006A2751" w:rsidRPr="00153133" w:rsidRDefault="006A2751" w:rsidP="006A2751">
      <w:pPr>
        <w:pStyle w:val="Titre1"/>
      </w:pPr>
      <w:r>
        <w:lastRenderedPageBreak/>
        <w:t>Autrice</w:t>
      </w:r>
    </w:p>
    <w:tbl>
      <w:tblPr>
        <w:tblStyle w:val="Grilledutableau"/>
        <w:tblW w:w="31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tblGrid>
      <w:tr w:rsidR="003103FE" w:rsidRPr="00153133" w14:paraId="591AAB5D" w14:textId="77777777" w:rsidTr="00356646">
        <w:tc>
          <w:tcPr>
            <w:tcW w:w="5000" w:type="pct"/>
            <w:vAlign w:val="center"/>
          </w:tcPr>
          <w:p w14:paraId="12476C83" w14:textId="4E2FD83A" w:rsidR="006A2751" w:rsidRPr="00153133" w:rsidRDefault="00DF34D4" w:rsidP="00DF34D4">
            <w:pPr>
              <w:pStyle w:val="Corpsdetexte3"/>
            </w:pPr>
            <w:r>
              <w:rPr>
                <w:noProof/>
              </w:rPr>
              <w:drawing>
                <wp:inline distT="0" distB="0" distL="0" distR="0" wp14:anchorId="2CD16C32" wp14:editId="0DC2ECFC">
                  <wp:extent cx="1080000" cy="1080000"/>
                  <wp:effectExtent l="0" t="0" r="6350" b="6350"/>
                  <wp:docPr id="89598082"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8082" name="Image 3">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3103FE" w:rsidRPr="00153133" w14:paraId="37AC501B" w14:textId="77777777" w:rsidTr="00356646">
        <w:trPr>
          <w:trHeight w:val="567"/>
        </w:trPr>
        <w:tc>
          <w:tcPr>
            <w:tcW w:w="5000" w:type="pct"/>
          </w:tcPr>
          <w:p w14:paraId="0713DA00" w14:textId="09AABCCB" w:rsidR="001531AA" w:rsidRDefault="006A2751" w:rsidP="00356646">
            <w:pPr>
              <w:pStyle w:val="Corpsdetexte3"/>
            </w:pPr>
            <w:r>
              <w:t>Solveig Fernagu</w:t>
            </w:r>
            <w:r w:rsidRPr="00153133">
              <w:br/>
            </w:r>
            <w:r>
              <w:t>Directrice de recherche en sciences de l’éducation et de la formation</w:t>
            </w:r>
            <w:r w:rsidR="00887658">
              <w:br/>
            </w:r>
            <w:r>
              <w:t xml:space="preserve">Co-responsable </w:t>
            </w:r>
            <w:r w:rsidR="0085510D">
              <w:t>d’</w:t>
            </w:r>
            <w:r>
              <w:t xml:space="preserve">équipe </w:t>
            </w:r>
            <w:r w:rsidR="00005ECB">
              <w:t xml:space="preserve">du thème </w:t>
            </w:r>
            <w:r>
              <w:t>« Apprendre &amp; Innover »</w:t>
            </w:r>
          </w:p>
          <w:p w14:paraId="2C042FD9" w14:textId="1078E9B7" w:rsidR="006A2751" w:rsidRPr="00153133" w:rsidRDefault="00A41F86" w:rsidP="00356646">
            <w:pPr>
              <w:pStyle w:val="Corpsdetexte3"/>
            </w:pPr>
            <w:r>
              <w:t>U</w:t>
            </w:r>
            <w:r w:rsidR="001531AA" w:rsidRPr="001531AA">
              <w:t xml:space="preserve">nité de recherche </w:t>
            </w:r>
            <w:r w:rsidR="00B06EBD">
              <w:t xml:space="preserve">et d’innovation </w:t>
            </w:r>
            <w:r w:rsidR="001531AA" w:rsidRPr="001531AA">
              <w:t>CESI LINEACT</w:t>
            </w:r>
            <w:r w:rsidR="006A2751">
              <w:br/>
            </w:r>
            <w:r w:rsidR="00BB1D88">
              <w:t>Paris</w:t>
            </w:r>
            <w:r w:rsidR="004C7C50" w:rsidRPr="004C7C50">
              <w:t>, France</w:t>
            </w:r>
            <w:r w:rsidR="006A2751">
              <w:br/>
            </w:r>
            <w:hyperlink r:id="rId16" w:history="1">
              <w:r w:rsidR="006A2751" w:rsidRPr="00F95B86">
                <w:rPr>
                  <w:rStyle w:val="Lienhypertexte"/>
                </w:rPr>
                <w:t>sfernagu@cesi.fr</w:t>
              </w:r>
            </w:hyperlink>
            <w:r w:rsidR="006A2751">
              <w:t xml:space="preserve"> </w:t>
            </w:r>
          </w:p>
        </w:tc>
      </w:tr>
    </w:tbl>
    <w:p w14:paraId="5FC31EE5" w14:textId="77777777" w:rsidR="005A6E97" w:rsidRPr="005A6E97" w:rsidRDefault="005A6E97" w:rsidP="005A6E97">
      <w:pPr>
        <w:pStyle w:val="Titre1"/>
      </w:pPr>
      <w:r w:rsidRPr="005A6E97">
        <w:t>Références</w:t>
      </w:r>
    </w:p>
    <w:p w14:paraId="16536F8D" w14:textId="77225B1A" w:rsidR="006A2751" w:rsidRPr="00712EEA" w:rsidRDefault="006A2751" w:rsidP="006A2751">
      <w:pPr>
        <w:pStyle w:val="Bibliographie"/>
      </w:pPr>
      <w:proofErr w:type="spellStart"/>
      <w:r w:rsidRPr="006A2751">
        <w:t>AIRe</w:t>
      </w:r>
      <w:proofErr w:type="spellEnd"/>
      <w:r w:rsidRPr="006A2751">
        <w:t xml:space="preserve">, C.-a. et, M.-E. (2024). </w:t>
      </w:r>
      <w:r w:rsidRPr="008E552D">
        <w:rPr>
          <w:i/>
          <w:iCs/>
        </w:rPr>
        <w:t>Le Dispositif ITEP : Une institution inclusive favorisant l’émergence d’un environnement capacitant</w:t>
      </w:r>
      <w:r w:rsidRPr="006A2751">
        <w:t xml:space="preserve">. </w:t>
      </w:r>
      <w:r w:rsidRPr="00712EEA">
        <w:t>Champ social.</w:t>
      </w:r>
    </w:p>
    <w:p w14:paraId="6F9DB5D5" w14:textId="755073EE" w:rsidR="006A2751" w:rsidRPr="006A2751" w:rsidRDefault="006A2751" w:rsidP="006A2751">
      <w:pPr>
        <w:pStyle w:val="Bibliographie"/>
      </w:pPr>
      <w:proofErr w:type="spellStart"/>
      <w:r w:rsidRPr="006A2751">
        <w:t>Beaucher</w:t>
      </w:r>
      <w:proofErr w:type="spellEnd"/>
      <w:r w:rsidRPr="006A2751">
        <w:t xml:space="preserve">, H. (2012). </w:t>
      </w:r>
      <w:r w:rsidRPr="008E552D">
        <w:rPr>
          <w:i/>
          <w:iCs/>
        </w:rPr>
        <w:t>La scolarisation des élèves en situation de handicap en Europe [</w:t>
      </w:r>
      <w:r w:rsidRPr="006A2751">
        <w:t>Synthèse documentaire]. Centre international d’études pédagogiques [CIEP] &amp; Centre de ressources et d’ingénierie documentaires [CRID].</w:t>
      </w:r>
      <w:r w:rsidR="00E00AAD">
        <w:t xml:space="preserve"> </w:t>
      </w:r>
      <w:hyperlink r:id="rId17" w:history="1">
        <w:r w:rsidR="00E00AAD" w:rsidRPr="008C3CB8">
          <w:rPr>
            <w:rStyle w:val="Lienhypertexte"/>
          </w:rPr>
          <w:t>https://www.firah.org/upload/notices3/2012/synthese-documentaire-scolarisation-eleves-situation-handicap-en-europe_0.pdf</w:t>
        </w:r>
      </w:hyperlink>
    </w:p>
    <w:p w14:paraId="1055998D" w14:textId="1D036F10" w:rsidR="006A2751" w:rsidRPr="006A2751" w:rsidRDefault="006A2751" w:rsidP="006A2751">
      <w:pPr>
        <w:pStyle w:val="Bibliographie"/>
      </w:pPr>
      <w:r w:rsidRPr="006A2751">
        <w:t xml:space="preserve">Bluteau, M. (2024). </w:t>
      </w:r>
      <w:r w:rsidRPr="008E552D">
        <w:rPr>
          <w:i/>
          <w:iCs/>
        </w:rPr>
        <w:t>Penser la mise en capacité à relier les situations de l’alternance : Le cas des dispositifs de formation hybrides et par alternance à visée intégrative</w:t>
      </w:r>
      <w:r w:rsidRPr="006A2751">
        <w:t xml:space="preserve">. [Thèse de doctorat, HESAM Université]. HAL. </w:t>
      </w:r>
      <w:hyperlink r:id="rId18" w:history="1">
        <w:r w:rsidR="008E552D" w:rsidRPr="003928A3">
          <w:rPr>
            <w:rStyle w:val="Lienhypertexte"/>
          </w:rPr>
          <w:t>https://pastel.hal.science/tel-04684205v1</w:t>
        </w:r>
      </w:hyperlink>
    </w:p>
    <w:p w14:paraId="3EF082BA" w14:textId="1EA099AB" w:rsidR="006A2751" w:rsidRPr="006A2751" w:rsidRDefault="006A2751" w:rsidP="006A2751">
      <w:pPr>
        <w:pStyle w:val="Bibliographie"/>
      </w:pPr>
      <w:r w:rsidRPr="006A2751">
        <w:t xml:space="preserve">Bourgeois, E., &amp; Chapelle, G. (2006). </w:t>
      </w:r>
      <w:r w:rsidRPr="008E552D">
        <w:rPr>
          <w:i/>
          <w:iCs/>
        </w:rPr>
        <w:t>Apprendre et faire apprendre</w:t>
      </w:r>
      <w:r w:rsidRPr="006A2751">
        <w:t>. Presses universitaires de France [PUF].</w:t>
      </w:r>
      <w:r w:rsidR="000660E3" w:rsidRPr="000660E3">
        <w:t xml:space="preserve"> </w:t>
      </w:r>
      <w:hyperlink r:id="rId19" w:history="1">
        <w:r w:rsidR="00FA0D07" w:rsidRPr="008C3CB8">
          <w:rPr>
            <w:rStyle w:val="Lienhypertexte"/>
          </w:rPr>
          <w:t>https://doi.org/10.3917/puf.brgeo.2011.01</w:t>
        </w:r>
      </w:hyperlink>
      <w:hyperlink r:id="rId20" w:history="1"/>
    </w:p>
    <w:p w14:paraId="2BD3DE82" w14:textId="77777777" w:rsidR="006A2751" w:rsidRPr="006A2751" w:rsidRDefault="006A2751" w:rsidP="006A2751">
      <w:pPr>
        <w:pStyle w:val="Bibliographie"/>
      </w:pPr>
      <w:proofErr w:type="spellStart"/>
      <w:r w:rsidRPr="006A2751">
        <w:t>Cavignaux</w:t>
      </w:r>
      <w:proofErr w:type="spellEnd"/>
      <w:r w:rsidRPr="006A2751">
        <w:t xml:space="preserve"> Bross, D. (2023). </w:t>
      </w:r>
      <w:r w:rsidRPr="008E552D">
        <w:rPr>
          <w:i/>
          <w:iCs/>
        </w:rPr>
        <w:t>Ingénierie pédagogique et numérique : Une analyse selon l’approche par les capabilités</w:t>
      </w:r>
      <w:r w:rsidRPr="006A2751">
        <w:t>. L’Harmattan.</w:t>
      </w:r>
    </w:p>
    <w:p w14:paraId="7A0BD8E5" w14:textId="5101C2FB" w:rsidR="006A2751" w:rsidRPr="006A2751" w:rsidRDefault="006A2751" w:rsidP="006A2751">
      <w:pPr>
        <w:pStyle w:val="Bibliographie"/>
      </w:pPr>
      <w:proofErr w:type="spellStart"/>
      <w:r w:rsidRPr="006A2751">
        <w:t>Ciavaldini-Cartaut</w:t>
      </w:r>
      <w:proofErr w:type="spellEnd"/>
      <w:r w:rsidRPr="006A2751">
        <w:t xml:space="preserve">, S., Guilley, E., Jendoubi, V., </w:t>
      </w:r>
      <w:proofErr w:type="spellStart"/>
      <w:r w:rsidRPr="006A2751">
        <w:t>Dutrévis</w:t>
      </w:r>
      <w:proofErr w:type="spellEnd"/>
      <w:r w:rsidRPr="006A2751">
        <w:t xml:space="preserve">, M. (2021) Collaborations interprofessionnelles et travail collectif dans une classe mixte genevoise : un environnement capacitant d’inclusion scolaire éclairé par les théories de l’activité. </w:t>
      </w:r>
      <w:r w:rsidRPr="008E552D">
        <w:rPr>
          <w:i/>
          <w:iCs/>
        </w:rPr>
        <w:t>Revue internationale du CRIRES : innover dans la tradition de Vygotsky, 5</w:t>
      </w:r>
      <w:r w:rsidRPr="006A2751">
        <w:t xml:space="preserve">(1). </w:t>
      </w:r>
      <w:hyperlink r:id="rId21" w:history="1">
        <w:r w:rsidR="008E552D" w:rsidRPr="003928A3">
          <w:rPr>
            <w:rStyle w:val="Lienhypertexte"/>
          </w:rPr>
          <w:t>https://doi.org/10.51657/ric.v5i1.41068</w:t>
        </w:r>
      </w:hyperlink>
    </w:p>
    <w:p w14:paraId="3ADA9C3B" w14:textId="7D6BC599" w:rsidR="006A2751" w:rsidRPr="00125AB7" w:rsidRDefault="006A2751" w:rsidP="006A2751">
      <w:pPr>
        <w:pStyle w:val="Bibliographie"/>
        <w:rPr>
          <w:lang w:val="de-CH"/>
        </w:rPr>
      </w:pPr>
      <w:r w:rsidRPr="00BB1D88">
        <w:t>Code de l’éducation</w:t>
      </w:r>
      <w:r w:rsidR="000A76EF">
        <w:t xml:space="preserve"> </w:t>
      </w:r>
      <w:r w:rsidR="003E753C" w:rsidRPr="00780D94">
        <w:t>(</w:t>
      </w:r>
      <w:r w:rsidR="009B2B6D" w:rsidRPr="009B2B6D">
        <w:t>É</w:t>
      </w:r>
      <w:r w:rsidR="009B2B6D">
        <w:t xml:space="preserve">tat le </w:t>
      </w:r>
      <w:r w:rsidR="00900E6A" w:rsidRPr="00780D94">
        <w:t>1</w:t>
      </w:r>
      <w:r w:rsidR="002904C1">
        <w:t>5</w:t>
      </w:r>
      <w:r w:rsidR="00E63487">
        <w:t> </w:t>
      </w:r>
      <w:r w:rsidR="00900E6A" w:rsidRPr="00780D94">
        <w:t>février</w:t>
      </w:r>
      <w:r w:rsidR="00E96F0B">
        <w:t> </w:t>
      </w:r>
      <w:r w:rsidR="003E753C" w:rsidRPr="00780D94">
        <w:t>202</w:t>
      </w:r>
      <w:r w:rsidR="00900E6A" w:rsidRPr="00780D94">
        <w:t>6)</w:t>
      </w:r>
      <w:r w:rsidR="009B2B6D">
        <w:t>.</w:t>
      </w:r>
      <w:r w:rsidRPr="00BB1D88">
        <w:t xml:space="preserve"> </w:t>
      </w:r>
      <w:hyperlink r:id="rId22" w:history="1">
        <w:r w:rsidR="00900E6A" w:rsidRPr="00125AB7">
          <w:rPr>
            <w:rStyle w:val="Lienhypertexte"/>
            <w:lang w:val="de-CH"/>
          </w:rPr>
          <w:t>https://www.legifrance.gouv.fr/codes/texte_lc/LEGITEXT000006071191/</w:t>
        </w:r>
      </w:hyperlink>
    </w:p>
    <w:p w14:paraId="6FA84E36" w14:textId="1FEA41D5" w:rsidR="006A2751" w:rsidRPr="006A2751" w:rsidRDefault="006A2751" w:rsidP="006A2751">
      <w:pPr>
        <w:pStyle w:val="Bibliographie"/>
      </w:pPr>
      <w:r w:rsidRPr="00125AB7">
        <w:rPr>
          <w:lang w:val="de-CH"/>
        </w:rPr>
        <w:t xml:space="preserve">Cuvelier, L., &amp; Fernagu, S. (2023). </w:t>
      </w:r>
      <w:r w:rsidRPr="006A2751">
        <w:t xml:space="preserve">Sujets capables et environnements capacitants : des cadres pour penser les situations d’apprentissage pour et dans le travail. </w:t>
      </w:r>
      <w:proofErr w:type="spellStart"/>
      <w:r w:rsidRPr="008E552D">
        <w:rPr>
          <w:i/>
          <w:iCs/>
        </w:rPr>
        <w:t>TransFormation</w:t>
      </w:r>
      <w:proofErr w:type="spellEnd"/>
      <w:r w:rsidRPr="008E552D">
        <w:rPr>
          <w:i/>
          <w:iCs/>
        </w:rPr>
        <w:t xml:space="preserve"> – Recherche en Education et Formation des Adultes, 1</w:t>
      </w:r>
      <w:r w:rsidRPr="006A2751">
        <w:t xml:space="preserve">(25), 130-147. </w:t>
      </w:r>
      <w:hyperlink r:id="rId23" w:history="1">
        <w:r w:rsidR="008E552D" w:rsidRPr="003928A3">
          <w:rPr>
            <w:rStyle w:val="Lienhypertexte"/>
          </w:rPr>
          <w:t>https://transformations.univ-lille.fr/index.php/TF/article/view/481/287</w:t>
        </w:r>
      </w:hyperlink>
    </w:p>
    <w:p w14:paraId="26CD5219" w14:textId="77777777" w:rsidR="006A2751" w:rsidRPr="006A2751" w:rsidRDefault="006A2751" w:rsidP="006A2751">
      <w:pPr>
        <w:pStyle w:val="Bibliographie"/>
      </w:pPr>
      <w:r w:rsidRPr="006A2751">
        <w:t xml:space="preserve">Develay, M. (1992). </w:t>
      </w:r>
      <w:r w:rsidRPr="008E552D">
        <w:rPr>
          <w:i/>
          <w:iCs/>
        </w:rPr>
        <w:t>De l’apprentissage à l’enseignement</w:t>
      </w:r>
      <w:r w:rsidRPr="006A2751">
        <w:t>. Editions Sociales Françaises [ESF].</w:t>
      </w:r>
    </w:p>
    <w:p w14:paraId="1F1FA516" w14:textId="78EC588D" w:rsidR="006A2751" w:rsidRPr="006A2751" w:rsidRDefault="006A2751" w:rsidP="006A2751">
      <w:pPr>
        <w:pStyle w:val="Bibliographie"/>
      </w:pPr>
      <w:r w:rsidRPr="006A2751">
        <w:t xml:space="preserve">Fernagu, S. (2018). </w:t>
      </w:r>
      <w:r w:rsidRPr="008E552D">
        <w:rPr>
          <w:i/>
          <w:iCs/>
        </w:rPr>
        <w:t>Organisation et apprentissage : des compétences aux capabilités</w:t>
      </w:r>
      <w:r w:rsidRPr="006A2751">
        <w:t xml:space="preserve">. [Habilitation à diriger des recherches, Université de Bourgogne Franche-Comté]. HAL. </w:t>
      </w:r>
      <w:hyperlink r:id="rId24" w:history="1">
        <w:r w:rsidR="008E552D" w:rsidRPr="003928A3">
          <w:rPr>
            <w:rStyle w:val="Lienhypertexte"/>
          </w:rPr>
          <w:t>https://shs.hal.science/tel-01988063v1</w:t>
        </w:r>
      </w:hyperlink>
    </w:p>
    <w:p w14:paraId="1C0CEF92" w14:textId="77777777" w:rsidR="006A2751" w:rsidRPr="006A2751" w:rsidRDefault="006A2751" w:rsidP="006A2751">
      <w:pPr>
        <w:pStyle w:val="Bibliographie"/>
      </w:pPr>
      <w:r w:rsidRPr="006A2751">
        <w:t xml:space="preserve">Fernagu, S. (2021). Entrée en formation et capabilités : le cas d’une formation </w:t>
      </w:r>
      <w:r w:rsidRPr="006A2751">
        <w:br/>
        <w:t xml:space="preserve">pour adultes en situation d’illettrisme et d’alphabétisation. In E. Bourgeois (Ed.), </w:t>
      </w:r>
      <w:r w:rsidRPr="008E552D">
        <w:rPr>
          <w:i/>
          <w:iCs/>
        </w:rPr>
        <w:t>Se former, se transformer en alpha : Dynamique d’engament, effets de formation, freins et ressources</w:t>
      </w:r>
      <w:r w:rsidRPr="006A2751">
        <w:t xml:space="preserve"> (pp. 189-208). L’Harmattan. </w:t>
      </w:r>
    </w:p>
    <w:p w14:paraId="374F7ED1" w14:textId="1E0E00B3" w:rsidR="006A2751" w:rsidRPr="006A2751" w:rsidRDefault="006A2751" w:rsidP="006A2751">
      <w:pPr>
        <w:pStyle w:val="Bibliographie"/>
      </w:pPr>
      <w:r w:rsidRPr="006A2751">
        <w:t xml:space="preserve">Fernagu, S. (2022). L’approche par les capabilités dans le champ du travail et de la formation : vers une définition des environnements capacitants ? </w:t>
      </w:r>
      <w:r w:rsidRPr="008E552D">
        <w:rPr>
          <w:i/>
          <w:iCs/>
        </w:rPr>
        <w:t>Travail et Apprentissage 23</w:t>
      </w:r>
      <w:r w:rsidRPr="006A2751">
        <w:t xml:space="preserve">(1), 40-69. </w:t>
      </w:r>
      <w:hyperlink r:id="rId25" w:history="1">
        <w:r w:rsidR="008E552D" w:rsidRPr="003928A3">
          <w:rPr>
            <w:rStyle w:val="Lienhypertexte"/>
          </w:rPr>
          <w:t>https://doi.org/10.3917/ta.023.0040</w:t>
        </w:r>
      </w:hyperlink>
    </w:p>
    <w:p w14:paraId="7FC0FC67" w14:textId="1A3DA706" w:rsidR="006A2751" w:rsidRPr="006A2751" w:rsidRDefault="006A2751" w:rsidP="006A2751">
      <w:pPr>
        <w:pStyle w:val="Bibliographie"/>
      </w:pPr>
      <w:r w:rsidRPr="006A2751">
        <w:lastRenderedPageBreak/>
        <w:t>Fernagu, S. (2023), Les capabilités : une grille de lecture de la professionnalisation au travail et en formation</w:t>
      </w:r>
      <w:r w:rsidRPr="008E552D">
        <w:rPr>
          <w:i/>
          <w:iCs/>
        </w:rPr>
        <w:t>. Revue des sciences de l’éducation de McGill, 57</w:t>
      </w:r>
      <w:r w:rsidRPr="006A2751">
        <w:t xml:space="preserve">(1), 117-140. </w:t>
      </w:r>
      <w:hyperlink r:id="rId26" w:history="1">
        <w:r w:rsidR="008E552D" w:rsidRPr="003928A3">
          <w:rPr>
            <w:rStyle w:val="Lienhypertexte"/>
          </w:rPr>
          <w:t>https://doi.org/10.7202/1102016ar</w:t>
        </w:r>
      </w:hyperlink>
    </w:p>
    <w:p w14:paraId="299FEB83" w14:textId="4A3D5C68" w:rsidR="006A2751" w:rsidRPr="006A2751" w:rsidRDefault="006A2751" w:rsidP="006A2751">
      <w:pPr>
        <w:pStyle w:val="Bibliographie"/>
      </w:pPr>
      <w:r w:rsidRPr="006A2751">
        <w:t xml:space="preserve">Fernagu Oudet, S. (2010). Des organisations pour apprendre : Tentative de contribution à l’idée de « ville apprenante ». </w:t>
      </w:r>
      <w:r w:rsidRPr="008E552D">
        <w:rPr>
          <w:i/>
          <w:iCs/>
        </w:rPr>
        <w:t>Spécificités, 3</w:t>
      </w:r>
      <w:r w:rsidRPr="006A2751">
        <w:t xml:space="preserve">(1), 19-38. </w:t>
      </w:r>
      <w:hyperlink r:id="rId27" w:history="1">
        <w:r w:rsidR="008E552D" w:rsidRPr="003928A3">
          <w:rPr>
            <w:rStyle w:val="Lienhypertexte"/>
          </w:rPr>
          <w:t>https://doi.org/10.3917/spec.003.0019</w:t>
        </w:r>
      </w:hyperlink>
    </w:p>
    <w:p w14:paraId="771AD03C" w14:textId="19E16BF0" w:rsidR="006A2751" w:rsidRPr="00125AB7" w:rsidRDefault="006A2751" w:rsidP="006A2751">
      <w:pPr>
        <w:pStyle w:val="Bibliographie"/>
      </w:pPr>
      <w:r w:rsidRPr="006A2751">
        <w:t>Fernagu Oudet S. (2012). Favoriser un environnement « capacitant » dans les organisations. In E.</w:t>
      </w:r>
      <w:r w:rsidR="00E96F0B">
        <w:t> </w:t>
      </w:r>
      <w:r w:rsidRPr="006A2751">
        <w:t>Bourgeois &amp; M. Durand (Eds), </w:t>
      </w:r>
      <w:r w:rsidRPr="008E552D">
        <w:rPr>
          <w:i/>
          <w:iCs/>
        </w:rPr>
        <w:t>Apprendre au travail</w:t>
      </w:r>
      <w:r w:rsidRPr="006A2751">
        <w:t xml:space="preserve"> (</w:t>
      </w:r>
      <w:r w:rsidR="008E552D">
        <w:t>pp. </w:t>
      </w:r>
      <w:r w:rsidRPr="006A2751">
        <w:t xml:space="preserve">201-213). </w:t>
      </w:r>
      <w:r w:rsidRPr="00125AB7">
        <w:t>Presses universitaires de France [PUF].</w:t>
      </w:r>
      <w:r w:rsidR="00940E2F" w:rsidRPr="00940E2F">
        <w:t xml:space="preserve"> </w:t>
      </w:r>
      <w:hyperlink r:id="rId28" w:history="1">
        <w:r w:rsidR="00940E2F" w:rsidRPr="00125AB7">
          <w:rPr>
            <w:rStyle w:val="Lienhypertexte"/>
          </w:rPr>
          <w:t>https://doi.org/10.3917/puf.bourg.2012.01.0201</w:t>
        </w:r>
      </w:hyperlink>
    </w:p>
    <w:p w14:paraId="5AB39138" w14:textId="2F0EE9B5" w:rsidR="006A2751" w:rsidRPr="006A2751" w:rsidRDefault="006A2751" w:rsidP="006A2751">
      <w:pPr>
        <w:pStyle w:val="Bibliographie"/>
      </w:pPr>
      <w:r w:rsidRPr="00BB1D88">
        <w:rPr>
          <w:lang w:val="en-US"/>
        </w:rPr>
        <w:t xml:space="preserve">Hyatt C., &amp; Hornby, G. (2017). Will UN article 24 lead to the demise of special education or to its re-affirmation? </w:t>
      </w:r>
      <w:r w:rsidRPr="008E552D">
        <w:rPr>
          <w:i/>
          <w:iCs/>
        </w:rPr>
        <w:t>Support for Learning, 32</w:t>
      </w:r>
      <w:r w:rsidRPr="006A2751">
        <w:t xml:space="preserve">(3), 288-304. </w:t>
      </w:r>
      <w:hyperlink r:id="rId29" w:history="1">
        <w:r w:rsidR="008E552D" w:rsidRPr="003928A3">
          <w:rPr>
            <w:rStyle w:val="Lienhypertexte"/>
          </w:rPr>
          <w:t>https://doi.org/10.1111/1467-9604.12170</w:t>
        </w:r>
      </w:hyperlink>
    </w:p>
    <w:p w14:paraId="147E93EB" w14:textId="57D2D3A0" w:rsidR="006A2751" w:rsidRPr="006A2751" w:rsidRDefault="006A2751" w:rsidP="006A2751">
      <w:pPr>
        <w:pStyle w:val="Bibliographie"/>
      </w:pPr>
      <w:r w:rsidRPr="006A2751">
        <w:t>Lefebvre, C. (2020), Processus inclusif, environnement capacitant et construction de nouveaux espaces d’habitation pour et par les personnes ayant une déficience intellectuelle. In N. </w:t>
      </w:r>
      <w:proofErr w:type="spellStart"/>
      <w:r w:rsidRPr="006A2751">
        <w:t>Rapegno</w:t>
      </w:r>
      <w:proofErr w:type="spellEnd"/>
      <w:r w:rsidRPr="006A2751">
        <w:t xml:space="preserve"> &amp; C. Popescu (</w:t>
      </w:r>
      <w:proofErr w:type="spellStart"/>
      <w:r w:rsidRPr="006A2751">
        <w:t>Eds</w:t>
      </w:r>
      <w:proofErr w:type="spellEnd"/>
      <w:r w:rsidRPr="00C31229">
        <w:rPr>
          <w:i/>
          <w:iCs/>
        </w:rPr>
        <w:t>), Géographies du handicap : Recherche sur la dimension spatiale du handicap</w:t>
      </w:r>
      <w:r w:rsidRPr="006A2751">
        <w:t xml:space="preserve"> (pp.</w:t>
      </w:r>
      <w:r w:rsidR="00C31229">
        <w:t> </w:t>
      </w:r>
      <w:r w:rsidRPr="006A2751">
        <w:t>69-92). Éditions des maisons des sciences de l’homme associées.</w:t>
      </w:r>
      <w:r w:rsidR="00580344">
        <w:t xml:space="preserve"> </w:t>
      </w:r>
      <w:hyperlink r:id="rId30" w:history="1">
        <w:r w:rsidR="00580344" w:rsidRPr="008C3CB8">
          <w:rPr>
            <w:rStyle w:val="Lienhypertexte"/>
          </w:rPr>
          <w:t>https://hal.science/hal-03195188v1/file/emsha-768.pdf</w:t>
        </w:r>
      </w:hyperlink>
    </w:p>
    <w:p w14:paraId="56FD4E19" w14:textId="77777777" w:rsidR="006A2751" w:rsidRPr="00125AB7" w:rsidRDefault="006A2751" w:rsidP="006A2751">
      <w:pPr>
        <w:pStyle w:val="Bibliographie"/>
        <w:rPr>
          <w:lang w:val="en-GB"/>
        </w:rPr>
      </w:pPr>
      <w:r w:rsidRPr="006A2751">
        <w:t xml:space="preserve">Legendre, R. (1993). </w:t>
      </w:r>
      <w:r w:rsidRPr="00C31229">
        <w:rPr>
          <w:i/>
          <w:iCs/>
        </w:rPr>
        <w:t>Dictionnaire actuel de l’éducation</w:t>
      </w:r>
      <w:r w:rsidRPr="006A2751">
        <w:t xml:space="preserve">. </w:t>
      </w:r>
      <w:r w:rsidRPr="00125AB7">
        <w:rPr>
          <w:lang w:val="en-GB"/>
        </w:rPr>
        <w:t>Guérin.</w:t>
      </w:r>
    </w:p>
    <w:p w14:paraId="4EAA09F8" w14:textId="77777777" w:rsidR="006A2751" w:rsidRPr="006A2751" w:rsidRDefault="006A2751" w:rsidP="006A2751">
      <w:pPr>
        <w:pStyle w:val="Bibliographie"/>
      </w:pPr>
      <w:proofErr w:type="spellStart"/>
      <w:r w:rsidRPr="00BB1D88">
        <w:rPr>
          <w:lang w:val="en-US"/>
        </w:rPr>
        <w:t>Maroy</w:t>
      </w:r>
      <w:proofErr w:type="spellEnd"/>
      <w:r w:rsidRPr="00BB1D88">
        <w:rPr>
          <w:lang w:val="en-US"/>
        </w:rPr>
        <w:t xml:space="preserve">, C., &amp; Pons, X., (2019). </w:t>
      </w:r>
      <w:r w:rsidRPr="00BB1D88">
        <w:rPr>
          <w:i/>
          <w:iCs/>
          <w:lang w:val="en-US"/>
        </w:rPr>
        <w:t>Accountability Policies in Education: A Comparative and Multilevel Analysis in France and Quebec</w:t>
      </w:r>
      <w:r w:rsidRPr="00BB1D88">
        <w:rPr>
          <w:lang w:val="en-US"/>
        </w:rPr>
        <w:t xml:space="preserve">. </w:t>
      </w:r>
      <w:r w:rsidRPr="006A2751">
        <w:t>Springer.</w:t>
      </w:r>
    </w:p>
    <w:p w14:paraId="6C4D56B8" w14:textId="6A289C1E" w:rsidR="006A2751" w:rsidRPr="006A2751" w:rsidRDefault="006A2751" w:rsidP="006A2751">
      <w:pPr>
        <w:pStyle w:val="Bibliographie"/>
      </w:pPr>
      <w:r w:rsidRPr="006A2751">
        <w:t xml:space="preserve">Maury, Y. et </w:t>
      </w:r>
      <w:proofErr w:type="spellStart"/>
      <w:r w:rsidRPr="006A2751">
        <w:t>Hedjerassi</w:t>
      </w:r>
      <w:proofErr w:type="spellEnd"/>
      <w:r w:rsidRPr="006A2751">
        <w:t xml:space="preserve">, N. (2020). </w:t>
      </w:r>
      <w:proofErr w:type="spellStart"/>
      <w:r w:rsidRPr="006A2751">
        <w:t>Empowerment</w:t>
      </w:r>
      <w:proofErr w:type="spellEnd"/>
      <w:r w:rsidRPr="006A2751">
        <w:t xml:space="preserve">, pouvoir d’agir en éducation : À la croisée entre théorie(s), discours et pratique(s). </w:t>
      </w:r>
      <w:r w:rsidRPr="00C31229">
        <w:rPr>
          <w:i/>
          <w:iCs/>
        </w:rPr>
        <w:t>Spirale – Revue de Recherches en Education, 66</w:t>
      </w:r>
      <w:r w:rsidRPr="006A2751">
        <w:t xml:space="preserve">(3), 3-13. </w:t>
      </w:r>
      <w:hyperlink r:id="rId31" w:history="1">
        <w:r w:rsidR="008E552D" w:rsidRPr="003928A3">
          <w:rPr>
            <w:rStyle w:val="Lienhypertexte"/>
          </w:rPr>
          <w:t>https://doi.org/10.3917/spir.066.0003</w:t>
        </w:r>
      </w:hyperlink>
    </w:p>
    <w:p w14:paraId="6E04B2B3" w14:textId="77777777" w:rsidR="006A2751" w:rsidRPr="006A2751" w:rsidRDefault="006A2751" w:rsidP="006A2751">
      <w:pPr>
        <w:pStyle w:val="Bibliographie"/>
      </w:pPr>
      <w:r w:rsidRPr="006A2751">
        <w:t>Nussbaum, M. C. (2012</w:t>
      </w:r>
      <w:r w:rsidRPr="00C31229">
        <w:rPr>
          <w:i/>
          <w:iCs/>
        </w:rPr>
        <w:t>). Capabilités : Comment créer les conditions d’un monde plus juste ?</w:t>
      </w:r>
      <w:r w:rsidRPr="006A2751">
        <w:t xml:space="preserve"> Flammarion.</w:t>
      </w:r>
    </w:p>
    <w:p w14:paraId="45485F8F" w14:textId="32FA2329" w:rsidR="006A2751" w:rsidRPr="006A2751" w:rsidRDefault="006A2751" w:rsidP="006A2751">
      <w:pPr>
        <w:pStyle w:val="Bibliographie"/>
      </w:pPr>
      <w:proofErr w:type="spellStart"/>
      <w:r w:rsidRPr="006A2751">
        <w:t>Paintendre</w:t>
      </w:r>
      <w:proofErr w:type="spellEnd"/>
      <w:r w:rsidRPr="006A2751">
        <w:t xml:space="preserve">, A., &amp; </w:t>
      </w:r>
      <w:proofErr w:type="spellStart"/>
      <w:r w:rsidRPr="006A2751">
        <w:t>Tajri</w:t>
      </w:r>
      <w:proofErr w:type="spellEnd"/>
      <w:r w:rsidRPr="006A2751">
        <w:t>, Y., (2022), De l’inaptitude au capacitaire en EPS : discussion autour d’un environnement scolaire capacitant. Recherches</w:t>
      </w:r>
      <w:r w:rsidR="00C31229">
        <w:t> </w:t>
      </w:r>
      <w:r w:rsidRPr="006A2751">
        <w:t xml:space="preserve">&amp; éducations, HS. </w:t>
      </w:r>
      <w:hyperlink r:id="rId32" w:history="1">
        <w:r w:rsidR="008E552D" w:rsidRPr="003928A3">
          <w:rPr>
            <w:rStyle w:val="Lienhypertexte"/>
          </w:rPr>
          <w:t>https://doi.org/10.4000/rechercheseducations.12729</w:t>
        </w:r>
      </w:hyperlink>
    </w:p>
    <w:p w14:paraId="0486C566" w14:textId="4123A3D3" w:rsidR="006A2751" w:rsidRPr="006A2751" w:rsidRDefault="006A2751" w:rsidP="006A2751">
      <w:pPr>
        <w:pStyle w:val="Bibliographie"/>
      </w:pPr>
      <w:r w:rsidRPr="006A2751">
        <w:t>Perrenoud, P. (2003). Qu’est-ce qu’apprendre </w:t>
      </w:r>
      <w:r w:rsidRPr="00A24684">
        <w:t>?</w:t>
      </w:r>
      <w:r w:rsidRPr="00A24684">
        <w:rPr>
          <w:i/>
          <w:iCs/>
        </w:rPr>
        <w:t xml:space="preserve"> Enfances</w:t>
      </w:r>
      <w:r w:rsidR="00A24684">
        <w:rPr>
          <w:i/>
          <w:iCs/>
        </w:rPr>
        <w:t> </w:t>
      </w:r>
      <w:r w:rsidRPr="00A24684">
        <w:rPr>
          <w:i/>
          <w:iCs/>
        </w:rPr>
        <w:t>&amp; Psy, 24</w:t>
      </w:r>
      <w:r w:rsidRPr="006A2751">
        <w:t xml:space="preserve">(4), 9-17. </w:t>
      </w:r>
      <w:hyperlink r:id="rId33" w:history="1">
        <w:r w:rsidR="00A24684" w:rsidRPr="003928A3">
          <w:rPr>
            <w:rStyle w:val="Lienhypertexte"/>
          </w:rPr>
          <w:t>https://doi.org/10.3917/ep.024.0009</w:t>
        </w:r>
      </w:hyperlink>
    </w:p>
    <w:p w14:paraId="414F825E" w14:textId="0F50BDE2" w:rsidR="006A2751" w:rsidRPr="008E552D" w:rsidRDefault="006A2751" w:rsidP="006A2751">
      <w:pPr>
        <w:pStyle w:val="Bibliographie"/>
      </w:pPr>
      <w:r w:rsidRPr="006A2751">
        <w:t>Potvin, M. (2020). La centralité de l’éducation inclusive, pour une école « capacitante </w:t>
      </w:r>
      <w:r w:rsidRPr="00A24684">
        <w:rPr>
          <w:i/>
          <w:iCs/>
        </w:rPr>
        <w:t>». Bulletin du CREAS, 7</w:t>
      </w:r>
      <w:r w:rsidRPr="006A2751">
        <w:t xml:space="preserve">, 9-22. </w:t>
      </w:r>
      <w:hyperlink r:id="rId34" w:history="1">
        <w:r w:rsidR="008E552D" w:rsidRPr="003928A3">
          <w:rPr>
            <w:rStyle w:val="Lienhypertexte"/>
          </w:rPr>
          <w:t>https://www.usherbrooke.ca/creas/fileadmin/sites/creas/documents/Publications/Bulletin_du_CREAS/7/04-CREAS_Bulletin_7_Edito-Potvin.pdf</w:t>
        </w:r>
      </w:hyperlink>
    </w:p>
    <w:p w14:paraId="22491F5A" w14:textId="401C4EC5" w:rsidR="006A2751" w:rsidRPr="008E552D" w:rsidRDefault="006A2751" w:rsidP="008E552D">
      <w:pPr>
        <w:pStyle w:val="Bibliographie"/>
      </w:pPr>
      <w:r w:rsidRPr="006A2751">
        <w:t xml:space="preserve">Reverdy, C. (2019) Apprendre (dans) l’école inclusive. </w:t>
      </w:r>
      <w:r w:rsidRPr="00A24684">
        <w:rPr>
          <w:i/>
          <w:iCs/>
        </w:rPr>
        <w:t>Dossier de veille de l’IFÉ</w:t>
      </w:r>
      <w:r w:rsidRPr="006A2751">
        <w:t xml:space="preserve">, (127). </w:t>
      </w:r>
      <w:hyperlink r:id="rId35" w:history="1">
        <w:r w:rsidR="003F1977" w:rsidRPr="008C3CB8">
          <w:rPr>
            <w:rStyle w:val="Lienhypertexte"/>
          </w:rPr>
          <w:t>https://veille-et-analyses.ens-lyon.fr/DA-Veille/127-janvier-2019.pdf?v=1549982112</w:t>
        </w:r>
      </w:hyperlink>
    </w:p>
    <w:p w14:paraId="6A4472F2" w14:textId="078FC7D1" w:rsidR="006A2751" w:rsidRPr="006A2751" w:rsidRDefault="006A2751" w:rsidP="006A2751">
      <w:pPr>
        <w:pStyle w:val="Bibliographie"/>
      </w:pPr>
      <w:r w:rsidRPr="00BB1D88">
        <w:rPr>
          <w:lang w:val="en-US"/>
        </w:rPr>
        <w:t xml:space="preserve">Robeyns, I., (2005), The Capability Approach: a theoretical survey, </w:t>
      </w:r>
      <w:r w:rsidRPr="00BB1D88">
        <w:rPr>
          <w:i/>
          <w:iCs/>
          <w:lang w:val="en-US"/>
        </w:rPr>
        <w:t>Journal of Human Development, 6</w:t>
      </w:r>
      <w:r w:rsidRPr="00BB1D88">
        <w:rPr>
          <w:lang w:val="en-US"/>
        </w:rPr>
        <w:t xml:space="preserve">(1), 93-114. </w:t>
      </w:r>
      <w:r w:rsidR="008E552D">
        <w:fldChar w:fldCharType="begin"/>
      </w:r>
      <w:r w:rsidR="008E552D" w:rsidRPr="0039607C">
        <w:rPr>
          <w:lang w:val="en-US"/>
        </w:rPr>
        <w:instrText>HYPERLINK "https://doi.org/10.1080/146498805200034266"</w:instrText>
      </w:r>
      <w:r w:rsidR="008E552D">
        <w:fldChar w:fldCharType="separate"/>
      </w:r>
      <w:r w:rsidR="008E552D" w:rsidRPr="003928A3">
        <w:rPr>
          <w:rStyle w:val="Lienhypertexte"/>
        </w:rPr>
        <w:t>https://doi.org/10.1080/146498805200034266</w:t>
      </w:r>
      <w:r w:rsidR="008E552D">
        <w:fldChar w:fldCharType="end"/>
      </w:r>
    </w:p>
    <w:p w14:paraId="5EFA910B" w14:textId="6EE65FF2" w:rsidR="006A2751" w:rsidRPr="006A2751" w:rsidRDefault="006A2751" w:rsidP="006A2751">
      <w:pPr>
        <w:pStyle w:val="Bibliographie"/>
      </w:pPr>
      <w:proofErr w:type="spellStart"/>
      <w:r w:rsidRPr="006A2751">
        <w:t>Rochex</w:t>
      </w:r>
      <w:proofErr w:type="spellEnd"/>
      <w:r w:rsidRPr="006A2751">
        <w:t>, J-Y., &amp; Crinon, J. (</w:t>
      </w:r>
      <w:proofErr w:type="spellStart"/>
      <w:r w:rsidRPr="006A2751">
        <w:t>Eds</w:t>
      </w:r>
      <w:proofErr w:type="spellEnd"/>
      <w:r w:rsidRPr="006A2751">
        <w:t xml:space="preserve">). (2011). </w:t>
      </w:r>
      <w:r w:rsidRPr="007E792A">
        <w:rPr>
          <w:i/>
          <w:iCs/>
        </w:rPr>
        <w:t>La construction des inégalités scolaires. Au cœur des pratiques et des dispositifs d’enseignement</w:t>
      </w:r>
      <w:r w:rsidRPr="006A2751">
        <w:t>. Presses universitaires de Rennes [PUR].</w:t>
      </w:r>
      <w:r w:rsidR="00CA2FD3">
        <w:t xml:space="preserve"> </w:t>
      </w:r>
      <w:hyperlink r:id="rId36" w:history="1">
        <w:r w:rsidR="00CA2FD3" w:rsidRPr="008C3CB8">
          <w:rPr>
            <w:rStyle w:val="Lienhypertexte"/>
          </w:rPr>
          <w:t>https://doi.org/10.4000/rfp.3732</w:t>
        </w:r>
      </w:hyperlink>
    </w:p>
    <w:p w14:paraId="4D9B38C0" w14:textId="31F13FFE" w:rsidR="006A2751" w:rsidRPr="006A2751" w:rsidRDefault="006A2751" w:rsidP="006A2751">
      <w:pPr>
        <w:pStyle w:val="Bibliographie"/>
      </w:pPr>
      <w:r w:rsidRPr="006A2751">
        <w:t xml:space="preserve">Rodriguez Diaz, J. (2025). Vers une école capacitante : Construire des environnements inclusifs et équitables. </w:t>
      </w:r>
      <w:r w:rsidRPr="007E792A">
        <w:rPr>
          <w:i/>
          <w:iCs/>
        </w:rPr>
        <w:t>Revue Suisse de pédagogie spécialisée, 15</w:t>
      </w:r>
      <w:r w:rsidRPr="006A2751">
        <w:t xml:space="preserve">(01), 49-55. </w:t>
      </w:r>
      <w:hyperlink r:id="rId37" w:history="1">
        <w:r w:rsidR="008E552D" w:rsidRPr="003928A3">
          <w:rPr>
            <w:rStyle w:val="Lienhypertexte"/>
          </w:rPr>
          <w:t>https://doi.org/10.57161/r2025-01-08</w:t>
        </w:r>
      </w:hyperlink>
    </w:p>
    <w:p w14:paraId="56DCEADA" w14:textId="27C902DD" w:rsidR="006A2751" w:rsidRPr="00125AB7" w:rsidRDefault="006A2751" w:rsidP="006A2751">
      <w:pPr>
        <w:pStyle w:val="Bibliographie"/>
      </w:pPr>
      <w:proofErr w:type="spellStart"/>
      <w:r w:rsidRPr="006A2751">
        <w:t>Sarrazy</w:t>
      </w:r>
      <w:proofErr w:type="spellEnd"/>
      <w:r w:rsidRPr="006A2751">
        <w:t xml:space="preserve">, B. (2002), Didactique, Pédagogie et Enseignement : Pour une clarification du débat dans la communauté des sciences de l’éducation. In J. F. Marcel (Ed.), </w:t>
      </w:r>
      <w:r w:rsidRPr="007E792A">
        <w:rPr>
          <w:i/>
          <w:iCs/>
        </w:rPr>
        <w:t>Les Sciences de l’Éducation : des recherches, une discipline</w:t>
      </w:r>
      <w:r w:rsidRPr="006A2751">
        <w:t xml:space="preserve"> (pp. 131-154). </w:t>
      </w:r>
      <w:r w:rsidRPr="00712EEA">
        <w:t>L’Harmattan.</w:t>
      </w:r>
      <w:r w:rsidR="0032293F" w:rsidRPr="0032293F">
        <w:t xml:space="preserve"> </w:t>
      </w:r>
      <w:hyperlink r:id="rId38" w:history="1">
        <w:r w:rsidR="0032293F" w:rsidRPr="00125AB7">
          <w:rPr>
            <w:rStyle w:val="Lienhypertexte"/>
          </w:rPr>
          <w:t>https://data.over-blog-kiwi.com/0/73/89/73/201308/ob_bacf0b_2002-b-sarrazy-didactique-pedagogie-et-enseigneme.pdf</w:t>
        </w:r>
      </w:hyperlink>
    </w:p>
    <w:p w14:paraId="1EB3C728" w14:textId="77777777" w:rsidR="006A2751" w:rsidRPr="006A2751" w:rsidRDefault="006A2751" w:rsidP="006A2751">
      <w:pPr>
        <w:pStyle w:val="Bibliographie"/>
      </w:pPr>
      <w:r w:rsidRPr="00125AB7">
        <w:t xml:space="preserve">Sen, A. (2000). </w:t>
      </w:r>
      <w:r w:rsidRPr="007E792A">
        <w:rPr>
          <w:i/>
          <w:iCs/>
        </w:rPr>
        <w:t xml:space="preserve">Repenser l’inégalité. </w:t>
      </w:r>
      <w:r w:rsidRPr="006A2751">
        <w:t>Éditions du Seuil.</w:t>
      </w:r>
    </w:p>
    <w:p w14:paraId="71EC0D1D" w14:textId="55EA681D" w:rsidR="006A2751" w:rsidRPr="006A2751" w:rsidRDefault="006A2751" w:rsidP="006A2751">
      <w:pPr>
        <w:pStyle w:val="Bibliographie"/>
      </w:pPr>
      <w:r w:rsidRPr="006A2751">
        <w:t>Sen, A. (2010)</w:t>
      </w:r>
      <w:r w:rsidR="007E792A">
        <w:t>.</w:t>
      </w:r>
      <w:r w:rsidRPr="006A2751">
        <w:t xml:space="preserve"> </w:t>
      </w:r>
      <w:r w:rsidRPr="007E792A">
        <w:rPr>
          <w:i/>
          <w:iCs/>
        </w:rPr>
        <w:t>L’idée de justice</w:t>
      </w:r>
      <w:r w:rsidRPr="006A2751">
        <w:t>. Flammarion</w:t>
      </w:r>
    </w:p>
    <w:p w14:paraId="6D899C02" w14:textId="5E4522B0" w:rsidR="006A2751" w:rsidRPr="00125AB7" w:rsidRDefault="006A2751" w:rsidP="006A2751">
      <w:pPr>
        <w:pStyle w:val="Bibliographie"/>
        <w:rPr>
          <w:i/>
          <w:iCs/>
          <w:lang w:val="it-IT"/>
        </w:rPr>
      </w:pPr>
      <w:r w:rsidRPr="00BB1D88">
        <w:t xml:space="preserve">UNESCO. (2014). </w:t>
      </w:r>
      <w:r w:rsidRPr="00780D94">
        <w:rPr>
          <w:i/>
          <w:iCs/>
        </w:rPr>
        <w:t>Commissions nationales pour l’UNESCO : rapport annuel.</w:t>
      </w:r>
      <w:r w:rsidR="002F0510">
        <w:rPr>
          <w:i/>
          <w:iCs/>
        </w:rPr>
        <w:t xml:space="preserve"> </w:t>
      </w:r>
      <w:hyperlink r:id="rId39" w:history="1">
        <w:r w:rsidR="00780D94" w:rsidRPr="00125AB7">
          <w:rPr>
            <w:rStyle w:val="Lienhypertexte"/>
            <w:i/>
            <w:lang w:val="it-IT"/>
          </w:rPr>
          <w:t>https://unesdoc.unesco.org/ark:/48223/pf0000232649_fre</w:t>
        </w:r>
      </w:hyperlink>
    </w:p>
    <w:p w14:paraId="3D699E74" w14:textId="6E1336C5" w:rsidR="00870508" w:rsidRPr="006A2751" w:rsidRDefault="006A2751" w:rsidP="00A42562">
      <w:pPr>
        <w:pStyle w:val="Bibliographie"/>
      </w:pPr>
      <w:r w:rsidRPr="00125AB7">
        <w:rPr>
          <w:lang w:val="it-IT"/>
        </w:rPr>
        <w:t>Verhoeven, M., Dupriez, V.,</w:t>
      </w:r>
      <w:r w:rsidR="007E792A" w:rsidRPr="00125AB7">
        <w:rPr>
          <w:lang w:val="it-IT"/>
        </w:rPr>
        <w:t> </w:t>
      </w:r>
      <w:r w:rsidRPr="00125AB7">
        <w:rPr>
          <w:lang w:val="it-IT"/>
        </w:rPr>
        <w:t xml:space="preserve">&amp; Orianne, J. (2007). </w:t>
      </w:r>
      <w:r w:rsidRPr="006A2751">
        <w:t>Vers des politiques d’éducation « </w:t>
      </w:r>
      <w:proofErr w:type="spellStart"/>
      <w:r w:rsidRPr="006A2751">
        <w:t>capacitantes</w:t>
      </w:r>
      <w:proofErr w:type="spellEnd"/>
      <w:r w:rsidRPr="006A2751">
        <w:t xml:space="preserve"> » ? </w:t>
      </w:r>
      <w:r w:rsidRPr="007E792A">
        <w:rPr>
          <w:i/>
          <w:iCs/>
        </w:rPr>
        <w:t>Formation emploi – Revue française de sciences sociales</w:t>
      </w:r>
      <w:r w:rsidRPr="006A2751">
        <w:t xml:space="preserve">, (98), 93-108. </w:t>
      </w:r>
      <w:hyperlink r:id="rId40" w:history="1">
        <w:r w:rsidR="008E552D" w:rsidRPr="003928A3">
          <w:rPr>
            <w:rStyle w:val="Lienhypertexte"/>
          </w:rPr>
          <w:t>https://doi.org/10.4000/formationemploi.1606</w:t>
        </w:r>
      </w:hyperlink>
    </w:p>
    <w:sectPr w:rsidR="00870508" w:rsidRPr="006A2751" w:rsidSect="00320F8D">
      <w:headerReference w:type="default" r:id="rId41"/>
      <w:footerReference w:type="default" r:id="rId42"/>
      <w:pgSz w:w="11907" w:h="16840" w:code="9"/>
      <w:pgMar w:top="1418" w:right="1418" w:bottom="1134" w:left="1418" w:header="720" w:footer="567" w:gutter="0"/>
      <w:pgNumType w:start="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D1DE" w14:textId="77777777" w:rsidR="00DB73ED" w:rsidRDefault="00DB73ED">
      <w:pPr>
        <w:spacing w:line="240" w:lineRule="auto"/>
      </w:pPr>
      <w:r>
        <w:separator/>
      </w:r>
    </w:p>
  </w:endnote>
  <w:endnote w:type="continuationSeparator" w:id="0">
    <w:p w14:paraId="490DEB61" w14:textId="77777777" w:rsidR="00DB73ED" w:rsidRDefault="00DB73ED">
      <w:pPr>
        <w:spacing w:line="240" w:lineRule="auto"/>
      </w:pPr>
      <w:r>
        <w:continuationSeparator/>
      </w:r>
    </w:p>
  </w:endnote>
  <w:endnote w:type="continuationNotice" w:id="1">
    <w:p w14:paraId="7C0A4BF8" w14:textId="77777777" w:rsidR="00DB73ED" w:rsidRDefault="00DB73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B7622A2-4904-44FB-BA30-A880973C5DD1}"/>
    <w:embedBold r:id="rId2" w:fontKey="{FF320552-ADEB-45EE-8329-C7E93283720F}"/>
    <w:embedItalic r:id="rId3" w:fontKey="{1FA25288-9776-494F-999E-D27BED000B7B}"/>
    <w:embedBoldItalic r:id="rId4" w:fontKey="{AB180E41-7F86-4C56-BB87-A13E432F693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370D"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6EBFAD56" wp14:editId="31BEB0CD">
          <wp:simplePos x="0" y="0"/>
          <wp:positionH relativeFrom="column">
            <wp:posOffset>-671830</wp:posOffset>
          </wp:positionH>
          <wp:positionV relativeFrom="paragraph">
            <wp:posOffset>-726440</wp:posOffset>
          </wp:positionV>
          <wp:extent cx="101861" cy="849482"/>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29A7" w14:textId="77777777" w:rsidR="00DB73ED" w:rsidRPr="00777A2F" w:rsidRDefault="00DB73E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3E9D7B1" w14:textId="77777777" w:rsidR="00DB73ED" w:rsidRDefault="00DB73ED">
      <w:r>
        <w:continuationSeparator/>
      </w:r>
    </w:p>
  </w:footnote>
  <w:footnote w:type="continuationNotice" w:id="1">
    <w:p w14:paraId="0EFDB0E0" w14:textId="77777777" w:rsidR="00DB73ED" w:rsidRDefault="00DB73ED">
      <w:pPr>
        <w:spacing w:line="240" w:lineRule="auto"/>
      </w:pPr>
    </w:p>
  </w:footnote>
  <w:footnote w:id="2">
    <w:p w14:paraId="494E99BE" w14:textId="3684080D" w:rsidR="00801724" w:rsidRDefault="00801724" w:rsidP="00801724">
      <w:pPr>
        <w:pStyle w:val="Notedebasdepage"/>
        <w:jc w:val="both"/>
      </w:pPr>
      <w:r>
        <w:rPr>
          <w:rStyle w:val="Appelnotedebasdep"/>
        </w:rPr>
        <w:footnoteRef/>
      </w:r>
      <w:r>
        <w:t xml:space="preserve"> </w:t>
      </w:r>
      <w:r w:rsidRPr="00373312">
        <w:t>Dispositifs existants</w:t>
      </w:r>
      <w:r w:rsidR="00512049">
        <w:t xml:space="preserve"> e</w:t>
      </w:r>
      <w:r w:rsidRPr="00373312">
        <w:t>n France : ULIS (Unités Localisées pour l’Inclusion Scolaire), RASED (Réseaux d’Aides Spécialisées aux Élèves en Difficulté) ou PAP (Plan d’Accompagnement Personnalisé).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87FA" w14:textId="3608F238"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54FBD15A" wp14:editId="5B9B455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52F1F"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E4ACD" w:rsidRPr="009E4ACD">
      <w:rPr>
        <w:lang w:val="fr-CH"/>
      </w:rPr>
      <w:t>Organisations scolaires inclusives</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E4ACD">
      <w:rPr>
        <w:b w:val="0"/>
        <w:bCs/>
        <w:lang w:val="fr-CH"/>
      </w:rPr>
      <w:t>1</w:t>
    </w:r>
    <w:r w:rsidR="007B448B" w:rsidRPr="00ED473A">
      <w:rPr>
        <w:b w:val="0"/>
        <w:bCs/>
        <w:lang w:val="fr-CH"/>
      </w:rPr>
      <w:t>/</w:t>
    </w:r>
    <w:r w:rsidR="00037AE3">
      <w:rPr>
        <w:b w:val="0"/>
        <w:bCs/>
        <w:lang w:val="fr-CH"/>
      </w:rPr>
      <w:t>202</w:t>
    </w:r>
    <w:r w:rsidR="009E4ACD">
      <w:rPr>
        <w:b w:val="0"/>
        <w:bCs/>
        <w:lang w:val="fr-CH"/>
      </w:rPr>
      <w:t>6</w:t>
    </w:r>
  </w:p>
  <w:p w14:paraId="5B563C7D"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BCD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4C94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F0C3E9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91C75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D2C6AB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E8C00E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DE006C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9D1489B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9"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0" w15:restartNumberingAfterBreak="0">
    <w:nsid w:val="097161C5"/>
    <w:multiLevelType w:val="hybridMultilevel"/>
    <w:tmpl w:val="035423A2"/>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1E194D"/>
    <w:multiLevelType w:val="hybridMultilevel"/>
    <w:tmpl w:val="C548F5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16487952">
    <w:abstractNumId w:val="9"/>
  </w:num>
  <w:num w:numId="2" w16cid:durableId="379716589">
    <w:abstractNumId w:val="11"/>
  </w:num>
  <w:num w:numId="3" w16cid:durableId="1479614155">
    <w:abstractNumId w:val="8"/>
  </w:num>
  <w:num w:numId="4" w16cid:durableId="1445540996">
    <w:abstractNumId w:val="7"/>
  </w:num>
  <w:num w:numId="5" w16cid:durableId="931015611">
    <w:abstractNumId w:val="5"/>
  </w:num>
  <w:num w:numId="6" w16cid:durableId="72168933">
    <w:abstractNumId w:val="4"/>
  </w:num>
  <w:num w:numId="7" w16cid:durableId="1155142811">
    <w:abstractNumId w:val="3"/>
  </w:num>
  <w:num w:numId="8" w16cid:durableId="237055359">
    <w:abstractNumId w:val="2"/>
  </w:num>
  <w:num w:numId="9" w16cid:durableId="952706070">
    <w:abstractNumId w:val="1"/>
  </w:num>
  <w:num w:numId="10" w16cid:durableId="443576129">
    <w:abstractNumId w:val="0"/>
  </w:num>
  <w:num w:numId="11" w16cid:durableId="567302631">
    <w:abstractNumId w:val="1"/>
  </w:num>
  <w:num w:numId="12" w16cid:durableId="601911207">
    <w:abstractNumId w:val="0"/>
  </w:num>
  <w:num w:numId="13" w16cid:durableId="330527114">
    <w:abstractNumId w:val="1"/>
  </w:num>
  <w:num w:numId="14" w16cid:durableId="652872551">
    <w:abstractNumId w:val="0"/>
  </w:num>
  <w:num w:numId="15" w16cid:durableId="1565070747">
    <w:abstractNumId w:val="1"/>
  </w:num>
  <w:num w:numId="16" w16cid:durableId="449399907">
    <w:abstractNumId w:val="0"/>
  </w:num>
  <w:num w:numId="17" w16cid:durableId="226648297">
    <w:abstractNumId w:val="10"/>
  </w:num>
  <w:num w:numId="18" w16cid:durableId="2140801356">
    <w:abstractNumId w:val="12"/>
  </w:num>
  <w:num w:numId="19" w16cid:durableId="225148307">
    <w:abstractNumId w:val="6"/>
  </w:num>
  <w:num w:numId="20" w16cid:durableId="2051492988">
    <w:abstractNumId w:val="1"/>
  </w:num>
  <w:num w:numId="21" w16cid:durableId="1367678441">
    <w:abstractNumId w:val="0"/>
  </w:num>
  <w:num w:numId="22" w16cid:durableId="2009752593">
    <w:abstractNumId w:val="1"/>
  </w:num>
  <w:num w:numId="23" w16cid:durableId="1637487689">
    <w:abstractNumId w:val="0"/>
  </w:num>
  <w:num w:numId="24" w16cid:durableId="1333799752">
    <w:abstractNumId w:val="1"/>
  </w:num>
  <w:num w:numId="25" w16cid:durableId="2001422219">
    <w:abstractNumId w:val="0"/>
  </w:num>
  <w:num w:numId="26" w16cid:durableId="986931987">
    <w:abstractNumId w:val="1"/>
  </w:num>
  <w:num w:numId="27" w16cid:durableId="206378501">
    <w:abstractNumId w:val="0"/>
  </w:num>
  <w:num w:numId="28" w16cid:durableId="946545517">
    <w:abstractNumId w:val="1"/>
  </w:num>
  <w:num w:numId="29" w16cid:durableId="1981032757">
    <w:abstractNumId w:val="0"/>
  </w:num>
  <w:num w:numId="30" w16cid:durableId="1478572600">
    <w:abstractNumId w:val="1"/>
  </w:num>
  <w:num w:numId="31" w16cid:durableId="163668515">
    <w:abstractNumId w:val="0"/>
  </w:num>
  <w:num w:numId="32" w16cid:durableId="1773279983">
    <w:abstractNumId w:val="1"/>
  </w:num>
  <w:num w:numId="33" w16cid:durableId="1711415955">
    <w:abstractNumId w:val="0"/>
  </w:num>
  <w:num w:numId="34" w16cid:durableId="1797868113">
    <w:abstractNumId w:val="1"/>
  </w:num>
  <w:num w:numId="35" w16cid:durableId="1303075193">
    <w:abstractNumId w:val="0"/>
  </w:num>
  <w:num w:numId="36" w16cid:durableId="922639909">
    <w:abstractNumId w:val="1"/>
  </w:num>
  <w:num w:numId="37" w16cid:durableId="526331228">
    <w:abstractNumId w:val="0"/>
  </w:num>
  <w:num w:numId="38" w16cid:durableId="1111243680">
    <w:abstractNumId w:val="1"/>
  </w:num>
  <w:num w:numId="39" w16cid:durableId="59382917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0E"/>
    <w:rsid w:val="00001DBB"/>
    <w:rsid w:val="000026D6"/>
    <w:rsid w:val="00005ECB"/>
    <w:rsid w:val="00010E72"/>
    <w:rsid w:val="0001104D"/>
    <w:rsid w:val="00013FA4"/>
    <w:rsid w:val="00015241"/>
    <w:rsid w:val="000161C4"/>
    <w:rsid w:val="00016BFF"/>
    <w:rsid w:val="00023235"/>
    <w:rsid w:val="00024143"/>
    <w:rsid w:val="00024AF0"/>
    <w:rsid w:val="000302CB"/>
    <w:rsid w:val="0003314D"/>
    <w:rsid w:val="000352CE"/>
    <w:rsid w:val="00037AE3"/>
    <w:rsid w:val="00046BAC"/>
    <w:rsid w:val="00053353"/>
    <w:rsid w:val="00053645"/>
    <w:rsid w:val="000558B0"/>
    <w:rsid w:val="00055CC2"/>
    <w:rsid w:val="00060F5F"/>
    <w:rsid w:val="00061A66"/>
    <w:rsid w:val="000660E3"/>
    <w:rsid w:val="00070BA4"/>
    <w:rsid w:val="000715CE"/>
    <w:rsid w:val="00073130"/>
    <w:rsid w:val="000758B9"/>
    <w:rsid w:val="000759D7"/>
    <w:rsid w:val="000773C6"/>
    <w:rsid w:val="00081294"/>
    <w:rsid w:val="00090741"/>
    <w:rsid w:val="00092A49"/>
    <w:rsid w:val="00093044"/>
    <w:rsid w:val="000952DD"/>
    <w:rsid w:val="00095689"/>
    <w:rsid w:val="00096F04"/>
    <w:rsid w:val="000A0604"/>
    <w:rsid w:val="000A1388"/>
    <w:rsid w:val="000A2174"/>
    <w:rsid w:val="000A6988"/>
    <w:rsid w:val="000A76EF"/>
    <w:rsid w:val="000B4313"/>
    <w:rsid w:val="000B5BB8"/>
    <w:rsid w:val="000C64BC"/>
    <w:rsid w:val="000E1BEE"/>
    <w:rsid w:val="000E322C"/>
    <w:rsid w:val="000E4208"/>
    <w:rsid w:val="000E4728"/>
    <w:rsid w:val="000E6A66"/>
    <w:rsid w:val="000F0956"/>
    <w:rsid w:val="000F4B54"/>
    <w:rsid w:val="000F5288"/>
    <w:rsid w:val="000F70E8"/>
    <w:rsid w:val="001017CA"/>
    <w:rsid w:val="0010334E"/>
    <w:rsid w:val="001111CE"/>
    <w:rsid w:val="00111292"/>
    <w:rsid w:val="001114E2"/>
    <w:rsid w:val="00113C12"/>
    <w:rsid w:val="001150A5"/>
    <w:rsid w:val="00115EF5"/>
    <w:rsid w:val="001161D6"/>
    <w:rsid w:val="00117AB2"/>
    <w:rsid w:val="00120704"/>
    <w:rsid w:val="00120CBF"/>
    <w:rsid w:val="00125115"/>
    <w:rsid w:val="00125AB7"/>
    <w:rsid w:val="00126F85"/>
    <w:rsid w:val="00141A61"/>
    <w:rsid w:val="00141A9B"/>
    <w:rsid w:val="00146A95"/>
    <w:rsid w:val="00151B74"/>
    <w:rsid w:val="00151BCA"/>
    <w:rsid w:val="00153133"/>
    <w:rsid w:val="001531AA"/>
    <w:rsid w:val="00156514"/>
    <w:rsid w:val="00157D7E"/>
    <w:rsid w:val="00167858"/>
    <w:rsid w:val="00167EEC"/>
    <w:rsid w:val="00172A47"/>
    <w:rsid w:val="00173CEA"/>
    <w:rsid w:val="00176210"/>
    <w:rsid w:val="00176E6B"/>
    <w:rsid w:val="001808EB"/>
    <w:rsid w:val="00180C8A"/>
    <w:rsid w:val="001823F3"/>
    <w:rsid w:val="00183C5B"/>
    <w:rsid w:val="001900EB"/>
    <w:rsid w:val="00190137"/>
    <w:rsid w:val="00191B6B"/>
    <w:rsid w:val="00193BC0"/>
    <w:rsid w:val="00195BC0"/>
    <w:rsid w:val="001A2EEC"/>
    <w:rsid w:val="001A469A"/>
    <w:rsid w:val="001A65E9"/>
    <w:rsid w:val="001B036A"/>
    <w:rsid w:val="001B05BD"/>
    <w:rsid w:val="001B16E8"/>
    <w:rsid w:val="001B25F3"/>
    <w:rsid w:val="001B7781"/>
    <w:rsid w:val="001C0F23"/>
    <w:rsid w:val="001C3F52"/>
    <w:rsid w:val="001C5E7D"/>
    <w:rsid w:val="001C6D5A"/>
    <w:rsid w:val="001D3BFB"/>
    <w:rsid w:val="001E1A03"/>
    <w:rsid w:val="001E22EA"/>
    <w:rsid w:val="001E3BE9"/>
    <w:rsid w:val="001E7425"/>
    <w:rsid w:val="001F288B"/>
    <w:rsid w:val="001F314A"/>
    <w:rsid w:val="001F5BDB"/>
    <w:rsid w:val="002011D5"/>
    <w:rsid w:val="0020292F"/>
    <w:rsid w:val="00202A19"/>
    <w:rsid w:val="0020467E"/>
    <w:rsid w:val="00205682"/>
    <w:rsid w:val="0020602B"/>
    <w:rsid w:val="002114D7"/>
    <w:rsid w:val="00213CB6"/>
    <w:rsid w:val="00215BF3"/>
    <w:rsid w:val="0022028B"/>
    <w:rsid w:val="00227397"/>
    <w:rsid w:val="00233B2F"/>
    <w:rsid w:val="00235A6C"/>
    <w:rsid w:val="00236382"/>
    <w:rsid w:val="002443A6"/>
    <w:rsid w:val="002443E9"/>
    <w:rsid w:val="002450E3"/>
    <w:rsid w:val="0024648C"/>
    <w:rsid w:val="00250AF2"/>
    <w:rsid w:val="00252FB4"/>
    <w:rsid w:val="0026117A"/>
    <w:rsid w:val="00262FBD"/>
    <w:rsid w:val="00270BD2"/>
    <w:rsid w:val="00276B2C"/>
    <w:rsid w:val="00284EA0"/>
    <w:rsid w:val="002862AA"/>
    <w:rsid w:val="002904C1"/>
    <w:rsid w:val="002923FA"/>
    <w:rsid w:val="002A0F3B"/>
    <w:rsid w:val="002B1330"/>
    <w:rsid w:val="002B265C"/>
    <w:rsid w:val="002B7F43"/>
    <w:rsid w:val="002C5235"/>
    <w:rsid w:val="002C7663"/>
    <w:rsid w:val="002D183F"/>
    <w:rsid w:val="002D2115"/>
    <w:rsid w:val="002E13B6"/>
    <w:rsid w:val="002E15F4"/>
    <w:rsid w:val="002E5374"/>
    <w:rsid w:val="002E7964"/>
    <w:rsid w:val="002F0510"/>
    <w:rsid w:val="002F148C"/>
    <w:rsid w:val="002F69BC"/>
    <w:rsid w:val="002F6B60"/>
    <w:rsid w:val="003000FD"/>
    <w:rsid w:val="0030045B"/>
    <w:rsid w:val="0030447C"/>
    <w:rsid w:val="00304A54"/>
    <w:rsid w:val="00305A20"/>
    <w:rsid w:val="00305A47"/>
    <w:rsid w:val="0030767C"/>
    <w:rsid w:val="00307EC7"/>
    <w:rsid w:val="003103FE"/>
    <w:rsid w:val="003125A8"/>
    <w:rsid w:val="00320F1E"/>
    <w:rsid w:val="00320F8D"/>
    <w:rsid w:val="00322024"/>
    <w:rsid w:val="003222A6"/>
    <w:rsid w:val="0032293F"/>
    <w:rsid w:val="00324E06"/>
    <w:rsid w:val="00327685"/>
    <w:rsid w:val="00334BBE"/>
    <w:rsid w:val="003354BB"/>
    <w:rsid w:val="00335F95"/>
    <w:rsid w:val="003366CF"/>
    <w:rsid w:val="003462AA"/>
    <w:rsid w:val="00351EFE"/>
    <w:rsid w:val="00353EBD"/>
    <w:rsid w:val="00354A52"/>
    <w:rsid w:val="00356646"/>
    <w:rsid w:val="00362415"/>
    <w:rsid w:val="00362A2F"/>
    <w:rsid w:val="00365730"/>
    <w:rsid w:val="00370BCD"/>
    <w:rsid w:val="00373312"/>
    <w:rsid w:val="003744CD"/>
    <w:rsid w:val="003745B2"/>
    <w:rsid w:val="003763D6"/>
    <w:rsid w:val="003819B7"/>
    <w:rsid w:val="00382314"/>
    <w:rsid w:val="00383074"/>
    <w:rsid w:val="003830D3"/>
    <w:rsid w:val="00384764"/>
    <w:rsid w:val="00386CBD"/>
    <w:rsid w:val="00386CFF"/>
    <w:rsid w:val="003870ED"/>
    <w:rsid w:val="003910E4"/>
    <w:rsid w:val="003922BE"/>
    <w:rsid w:val="00392E31"/>
    <w:rsid w:val="00394379"/>
    <w:rsid w:val="00395451"/>
    <w:rsid w:val="0039607C"/>
    <w:rsid w:val="00396E91"/>
    <w:rsid w:val="003A085C"/>
    <w:rsid w:val="003A0EA7"/>
    <w:rsid w:val="003A0F43"/>
    <w:rsid w:val="003A2717"/>
    <w:rsid w:val="003A45B0"/>
    <w:rsid w:val="003A4659"/>
    <w:rsid w:val="003A6462"/>
    <w:rsid w:val="003A76EF"/>
    <w:rsid w:val="003B4C81"/>
    <w:rsid w:val="003B6DBD"/>
    <w:rsid w:val="003C1F06"/>
    <w:rsid w:val="003C2590"/>
    <w:rsid w:val="003C6960"/>
    <w:rsid w:val="003D221C"/>
    <w:rsid w:val="003D502F"/>
    <w:rsid w:val="003E022D"/>
    <w:rsid w:val="003E0578"/>
    <w:rsid w:val="003E4556"/>
    <w:rsid w:val="003E4F30"/>
    <w:rsid w:val="003E753C"/>
    <w:rsid w:val="003F0B27"/>
    <w:rsid w:val="003F1977"/>
    <w:rsid w:val="003F3BF6"/>
    <w:rsid w:val="003F3DB2"/>
    <w:rsid w:val="003F4416"/>
    <w:rsid w:val="003F5B1B"/>
    <w:rsid w:val="003F6A6B"/>
    <w:rsid w:val="003F78C2"/>
    <w:rsid w:val="004011E0"/>
    <w:rsid w:val="00401236"/>
    <w:rsid w:val="004027D5"/>
    <w:rsid w:val="00403C3F"/>
    <w:rsid w:val="00404B22"/>
    <w:rsid w:val="00404F18"/>
    <w:rsid w:val="004069D6"/>
    <w:rsid w:val="00407DD0"/>
    <w:rsid w:val="004108D3"/>
    <w:rsid w:val="004108DA"/>
    <w:rsid w:val="00410FBA"/>
    <w:rsid w:val="00412A9C"/>
    <w:rsid w:val="00414083"/>
    <w:rsid w:val="00414332"/>
    <w:rsid w:val="0041743B"/>
    <w:rsid w:val="00417492"/>
    <w:rsid w:val="00420756"/>
    <w:rsid w:val="00421D05"/>
    <w:rsid w:val="0042486F"/>
    <w:rsid w:val="00426606"/>
    <w:rsid w:val="00427168"/>
    <w:rsid w:val="004331BA"/>
    <w:rsid w:val="00435A83"/>
    <w:rsid w:val="00435E9E"/>
    <w:rsid w:val="00437DBB"/>
    <w:rsid w:val="004414A6"/>
    <w:rsid w:val="00441F45"/>
    <w:rsid w:val="00442ED7"/>
    <w:rsid w:val="0045144F"/>
    <w:rsid w:val="00451E77"/>
    <w:rsid w:val="00453612"/>
    <w:rsid w:val="00454057"/>
    <w:rsid w:val="00454BCF"/>
    <w:rsid w:val="00456E23"/>
    <w:rsid w:val="0046067B"/>
    <w:rsid w:val="00460C65"/>
    <w:rsid w:val="004634C9"/>
    <w:rsid w:val="004647EA"/>
    <w:rsid w:val="00465DE4"/>
    <w:rsid w:val="00466466"/>
    <w:rsid w:val="00467E46"/>
    <w:rsid w:val="0047168D"/>
    <w:rsid w:val="004724E2"/>
    <w:rsid w:val="00476F47"/>
    <w:rsid w:val="00483F54"/>
    <w:rsid w:val="00486270"/>
    <w:rsid w:val="004901BA"/>
    <w:rsid w:val="004909EA"/>
    <w:rsid w:val="00492FCB"/>
    <w:rsid w:val="00494DF5"/>
    <w:rsid w:val="00497D64"/>
    <w:rsid w:val="004A0FFD"/>
    <w:rsid w:val="004A2854"/>
    <w:rsid w:val="004A3AEE"/>
    <w:rsid w:val="004A5E40"/>
    <w:rsid w:val="004A6812"/>
    <w:rsid w:val="004B1497"/>
    <w:rsid w:val="004B1834"/>
    <w:rsid w:val="004B29F8"/>
    <w:rsid w:val="004B3001"/>
    <w:rsid w:val="004B37B8"/>
    <w:rsid w:val="004B3A29"/>
    <w:rsid w:val="004B509B"/>
    <w:rsid w:val="004B7A3D"/>
    <w:rsid w:val="004C02D4"/>
    <w:rsid w:val="004C13EB"/>
    <w:rsid w:val="004C4A76"/>
    <w:rsid w:val="004C4EDD"/>
    <w:rsid w:val="004C5289"/>
    <w:rsid w:val="004C6AED"/>
    <w:rsid w:val="004C7258"/>
    <w:rsid w:val="004C7C50"/>
    <w:rsid w:val="004D1A58"/>
    <w:rsid w:val="004D3ABB"/>
    <w:rsid w:val="004D3E8A"/>
    <w:rsid w:val="004D542D"/>
    <w:rsid w:val="004D58AC"/>
    <w:rsid w:val="004E232F"/>
    <w:rsid w:val="004E307D"/>
    <w:rsid w:val="004E52A1"/>
    <w:rsid w:val="004E5CF5"/>
    <w:rsid w:val="004E6DCB"/>
    <w:rsid w:val="004F03E8"/>
    <w:rsid w:val="004F043E"/>
    <w:rsid w:val="004F1DB4"/>
    <w:rsid w:val="004F44C7"/>
    <w:rsid w:val="004F5C23"/>
    <w:rsid w:val="004F642E"/>
    <w:rsid w:val="00500E8F"/>
    <w:rsid w:val="005055D5"/>
    <w:rsid w:val="00512049"/>
    <w:rsid w:val="005132B5"/>
    <w:rsid w:val="005157F9"/>
    <w:rsid w:val="00521559"/>
    <w:rsid w:val="00524B41"/>
    <w:rsid w:val="00525336"/>
    <w:rsid w:val="0052600C"/>
    <w:rsid w:val="00527F60"/>
    <w:rsid w:val="0053030E"/>
    <w:rsid w:val="00530E98"/>
    <w:rsid w:val="00532519"/>
    <w:rsid w:val="00533DA1"/>
    <w:rsid w:val="005346EC"/>
    <w:rsid w:val="00535B3C"/>
    <w:rsid w:val="005372F5"/>
    <w:rsid w:val="00546490"/>
    <w:rsid w:val="005471E5"/>
    <w:rsid w:val="005523DA"/>
    <w:rsid w:val="0055561F"/>
    <w:rsid w:val="005649DB"/>
    <w:rsid w:val="0056578A"/>
    <w:rsid w:val="0056595B"/>
    <w:rsid w:val="005664CB"/>
    <w:rsid w:val="00570627"/>
    <w:rsid w:val="0057144F"/>
    <w:rsid w:val="00571C0D"/>
    <w:rsid w:val="00572C4C"/>
    <w:rsid w:val="0057327D"/>
    <w:rsid w:val="005743A1"/>
    <w:rsid w:val="0057605E"/>
    <w:rsid w:val="00576B07"/>
    <w:rsid w:val="00576E09"/>
    <w:rsid w:val="00577261"/>
    <w:rsid w:val="00580344"/>
    <w:rsid w:val="005814DA"/>
    <w:rsid w:val="00581CD8"/>
    <w:rsid w:val="00581DB2"/>
    <w:rsid w:val="00582C7D"/>
    <w:rsid w:val="00584452"/>
    <w:rsid w:val="00584D5E"/>
    <w:rsid w:val="00585ED0"/>
    <w:rsid w:val="00593CEB"/>
    <w:rsid w:val="00593CED"/>
    <w:rsid w:val="00594747"/>
    <w:rsid w:val="00594844"/>
    <w:rsid w:val="005A25CE"/>
    <w:rsid w:val="005A2DC0"/>
    <w:rsid w:val="005A646E"/>
    <w:rsid w:val="005A672E"/>
    <w:rsid w:val="005A6E97"/>
    <w:rsid w:val="005A6F41"/>
    <w:rsid w:val="005A7AE7"/>
    <w:rsid w:val="005B48B0"/>
    <w:rsid w:val="005D15B8"/>
    <w:rsid w:val="005D21BE"/>
    <w:rsid w:val="005D37D0"/>
    <w:rsid w:val="005D4012"/>
    <w:rsid w:val="005D4C5A"/>
    <w:rsid w:val="005E150A"/>
    <w:rsid w:val="005E2F3F"/>
    <w:rsid w:val="005E3B21"/>
    <w:rsid w:val="005E4BEF"/>
    <w:rsid w:val="005E54B7"/>
    <w:rsid w:val="005E7DD5"/>
    <w:rsid w:val="005F008C"/>
    <w:rsid w:val="005F1C23"/>
    <w:rsid w:val="005F44E8"/>
    <w:rsid w:val="00600DE2"/>
    <w:rsid w:val="00601FF5"/>
    <w:rsid w:val="00602DE7"/>
    <w:rsid w:val="00603F57"/>
    <w:rsid w:val="0060461B"/>
    <w:rsid w:val="00604B52"/>
    <w:rsid w:val="0061112D"/>
    <w:rsid w:val="006111D5"/>
    <w:rsid w:val="006111F5"/>
    <w:rsid w:val="0061531E"/>
    <w:rsid w:val="006161BF"/>
    <w:rsid w:val="00622987"/>
    <w:rsid w:val="006234BF"/>
    <w:rsid w:val="00623B46"/>
    <w:rsid w:val="00623E11"/>
    <w:rsid w:val="00624AE6"/>
    <w:rsid w:val="00634236"/>
    <w:rsid w:val="00634471"/>
    <w:rsid w:val="00634906"/>
    <w:rsid w:val="00635C50"/>
    <w:rsid w:val="006411DE"/>
    <w:rsid w:val="0064323F"/>
    <w:rsid w:val="006448C5"/>
    <w:rsid w:val="00645BFA"/>
    <w:rsid w:val="00646336"/>
    <w:rsid w:val="00647F68"/>
    <w:rsid w:val="006533E0"/>
    <w:rsid w:val="006555BD"/>
    <w:rsid w:val="00655D8C"/>
    <w:rsid w:val="00656ABD"/>
    <w:rsid w:val="006644A2"/>
    <w:rsid w:val="006676E2"/>
    <w:rsid w:val="00667B16"/>
    <w:rsid w:val="00671923"/>
    <w:rsid w:val="00682B8C"/>
    <w:rsid w:val="00683B13"/>
    <w:rsid w:val="00685EB4"/>
    <w:rsid w:val="00685FB9"/>
    <w:rsid w:val="006871F1"/>
    <w:rsid w:val="00691859"/>
    <w:rsid w:val="00691DEC"/>
    <w:rsid w:val="00692B6F"/>
    <w:rsid w:val="00694B9D"/>
    <w:rsid w:val="006A1644"/>
    <w:rsid w:val="006A1C53"/>
    <w:rsid w:val="006A2751"/>
    <w:rsid w:val="006A2BB4"/>
    <w:rsid w:val="006A4C05"/>
    <w:rsid w:val="006B1B79"/>
    <w:rsid w:val="006B2ADD"/>
    <w:rsid w:val="006B5540"/>
    <w:rsid w:val="006C151D"/>
    <w:rsid w:val="006C277E"/>
    <w:rsid w:val="006C2B84"/>
    <w:rsid w:val="006C36BE"/>
    <w:rsid w:val="006C3DFC"/>
    <w:rsid w:val="006C441C"/>
    <w:rsid w:val="006C52D3"/>
    <w:rsid w:val="006C56FF"/>
    <w:rsid w:val="006C5914"/>
    <w:rsid w:val="006C7494"/>
    <w:rsid w:val="006D0D33"/>
    <w:rsid w:val="006D1225"/>
    <w:rsid w:val="006D5787"/>
    <w:rsid w:val="006D5D28"/>
    <w:rsid w:val="006E210A"/>
    <w:rsid w:val="006E260B"/>
    <w:rsid w:val="006F0962"/>
    <w:rsid w:val="006F0FF4"/>
    <w:rsid w:val="006F1185"/>
    <w:rsid w:val="006F14D3"/>
    <w:rsid w:val="006F6985"/>
    <w:rsid w:val="006F6F16"/>
    <w:rsid w:val="006F7BBB"/>
    <w:rsid w:val="00700B74"/>
    <w:rsid w:val="00700BAF"/>
    <w:rsid w:val="0070137D"/>
    <w:rsid w:val="00702BE5"/>
    <w:rsid w:val="007049BE"/>
    <w:rsid w:val="00705CD1"/>
    <w:rsid w:val="00706EE2"/>
    <w:rsid w:val="00707F3B"/>
    <w:rsid w:val="007104D6"/>
    <w:rsid w:val="00710A4D"/>
    <w:rsid w:val="00712D42"/>
    <w:rsid w:val="00712EEA"/>
    <w:rsid w:val="00714E44"/>
    <w:rsid w:val="007155B8"/>
    <w:rsid w:val="00723803"/>
    <w:rsid w:val="007254A9"/>
    <w:rsid w:val="00731874"/>
    <w:rsid w:val="00733FC0"/>
    <w:rsid w:val="007353B3"/>
    <w:rsid w:val="007373E7"/>
    <w:rsid w:val="007424F5"/>
    <w:rsid w:val="00742A3D"/>
    <w:rsid w:val="007434C1"/>
    <w:rsid w:val="0074354C"/>
    <w:rsid w:val="00743E97"/>
    <w:rsid w:val="00743F12"/>
    <w:rsid w:val="0074442C"/>
    <w:rsid w:val="007604F9"/>
    <w:rsid w:val="007626D8"/>
    <w:rsid w:val="00762777"/>
    <w:rsid w:val="0077413C"/>
    <w:rsid w:val="00775184"/>
    <w:rsid w:val="00776F3E"/>
    <w:rsid w:val="00777A2F"/>
    <w:rsid w:val="007802D1"/>
    <w:rsid w:val="00780D94"/>
    <w:rsid w:val="00783407"/>
    <w:rsid w:val="00783B34"/>
    <w:rsid w:val="00784841"/>
    <w:rsid w:val="007877FC"/>
    <w:rsid w:val="00787B6E"/>
    <w:rsid w:val="00792F7F"/>
    <w:rsid w:val="007A3489"/>
    <w:rsid w:val="007A4D8E"/>
    <w:rsid w:val="007A75E1"/>
    <w:rsid w:val="007B31A3"/>
    <w:rsid w:val="007B448B"/>
    <w:rsid w:val="007B4F54"/>
    <w:rsid w:val="007B5350"/>
    <w:rsid w:val="007B5701"/>
    <w:rsid w:val="007B62B5"/>
    <w:rsid w:val="007C0677"/>
    <w:rsid w:val="007C4779"/>
    <w:rsid w:val="007C5AB3"/>
    <w:rsid w:val="007C6135"/>
    <w:rsid w:val="007C7001"/>
    <w:rsid w:val="007D3991"/>
    <w:rsid w:val="007E13BE"/>
    <w:rsid w:val="007E3B6B"/>
    <w:rsid w:val="007E78D0"/>
    <w:rsid w:val="007E792A"/>
    <w:rsid w:val="007F43B0"/>
    <w:rsid w:val="007F5E1D"/>
    <w:rsid w:val="007F63EC"/>
    <w:rsid w:val="00801724"/>
    <w:rsid w:val="00802B39"/>
    <w:rsid w:val="00805DC1"/>
    <w:rsid w:val="00806F06"/>
    <w:rsid w:val="00807805"/>
    <w:rsid w:val="00812E84"/>
    <w:rsid w:val="00812E94"/>
    <w:rsid w:val="008152E5"/>
    <w:rsid w:val="00816A86"/>
    <w:rsid w:val="00822118"/>
    <w:rsid w:val="008245CF"/>
    <w:rsid w:val="008308AE"/>
    <w:rsid w:val="00830A17"/>
    <w:rsid w:val="008330C1"/>
    <w:rsid w:val="008351F7"/>
    <w:rsid w:val="008374BD"/>
    <w:rsid w:val="00842FF9"/>
    <w:rsid w:val="00851146"/>
    <w:rsid w:val="00852FD0"/>
    <w:rsid w:val="00853805"/>
    <w:rsid w:val="008543D6"/>
    <w:rsid w:val="0085460D"/>
    <w:rsid w:val="00855097"/>
    <w:rsid w:val="0085510D"/>
    <w:rsid w:val="00855932"/>
    <w:rsid w:val="00856650"/>
    <w:rsid w:val="00857778"/>
    <w:rsid w:val="00860EBA"/>
    <w:rsid w:val="0086118D"/>
    <w:rsid w:val="00863C53"/>
    <w:rsid w:val="008663D4"/>
    <w:rsid w:val="008701CD"/>
    <w:rsid w:val="00870508"/>
    <w:rsid w:val="00882B9B"/>
    <w:rsid w:val="008854C8"/>
    <w:rsid w:val="00887658"/>
    <w:rsid w:val="00887C32"/>
    <w:rsid w:val="0089025D"/>
    <w:rsid w:val="00891E7D"/>
    <w:rsid w:val="008924D4"/>
    <w:rsid w:val="00892E94"/>
    <w:rsid w:val="008934B9"/>
    <w:rsid w:val="00895F76"/>
    <w:rsid w:val="00896A5B"/>
    <w:rsid w:val="008A0FE6"/>
    <w:rsid w:val="008A2229"/>
    <w:rsid w:val="008A3CC7"/>
    <w:rsid w:val="008A6CEF"/>
    <w:rsid w:val="008A6DA9"/>
    <w:rsid w:val="008B4D67"/>
    <w:rsid w:val="008B5076"/>
    <w:rsid w:val="008B7F04"/>
    <w:rsid w:val="008C3A11"/>
    <w:rsid w:val="008C40D1"/>
    <w:rsid w:val="008C594A"/>
    <w:rsid w:val="008C5CFE"/>
    <w:rsid w:val="008C630C"/>
    <w:rsid w:val="008C6EDB"/>
    <w:rsid w:val="008D1807"/>
    <w:rsid w:val="008D219C"/>
    <w:rsid w:val="008D5616"/>
    <w:rsid w:val="008D5D95"/>
    <w:rsid w:val="008D7800"/>
    <w:rsid w:val="008E132A"/>
    <w:rsid w:val="008E552D"/>
    <w:rsid w:val="008F2E4E"/>
    <w:rsid w:val="00900980"/>
    <w:rsid w:val="00900E6A"/>
    <w:rsid w:val="00900EFA"/>
    <w:rsid w:val="009106FE"/>
    <w:rsid w:val="00910988"/>
    <w:rsid w:val="009113C7"/>
    <w:rsid w:val="00911AD9"/>
    <w:rsid w:val="00912E02"/>
    <w:rsid w:val="0091425F"/>
    <w:rsid w:val="009144DB"/>
    <w:rsid w:val="0091668A"/>
    <w:rsid w:val="0092060D"/>
    <w:rsid w:val="00920846"/>
    <w:rsid w:val="00920A21"/>
    <w:rsid w:val="009214D4"/>
    <w:rsid w:val="009266E6"/>
    <w:rsid w:val="00932D5E"/>
    <w:rsid w:val="00936919"/>
    <w:rsid w:val="00940E2F"/>
    <w:rsid w:val="00941F3B"/>
    <w:rsid w:val="00943B46"/>
    <w:rsid w:val="00944DCE"/>
    <w:rsid w:val="009460BA"/>
    <w:rsid w:val="00950072"/>
    <w:rsid w:val="00950EC6"/>
    <w:rsid w:val="009515D7"/>
    <w:rsid w:val="009552F9"/>
    <w:rsid w:val="0095643E"/>
    <w:rsid w:val="0096493C"/>
    <w:rsid w:val="009660DC"/>
    <w:rsid w:val="00967400"/>
    <w:rsid w:val="00967D5F"/>
    <w:rsid w:val="009730DB"/>
    <w:rsid w:val="0097746D"/>
    <w:rsid w:val="00980B6F"/>
    <w:rsid w:val="00985126"/>
    <w:rsid w:val="009874C1"/>
    <w:rsid w:val="00987572"/>
    <w:rsid w:val="00991968"/>
    <w:rsid w:val="00993F91"/>
    <w:rsid w:val="0099647E"/>
    <w:rsid w:val="009975FD"/>
    <w:rsid w:val="00997E44"/>
    <w:rsid w:val="009A3262"/>
    <w:rsid w:val="009A48AD"/>
    <w:rsid w:val="009A7FF6"/>
    <w:rsid w:val="009B187C"/>
    <w:rsid w:val="009B2B6D"/>
    <w:rsid w:val="009B62F6"/>
    <w:rsid w:val="009C4461"/>
    <w:rsid w:val="009C6886"/>
    <w:rsid w:val="009C70B5"/>
    <w:rsid w:val="009D0CF3"/>
    <w:rsid w:val="009D410F"/>
    <w:rsid w:val="009D4CCF"/>
    <w:rsid w:val="009D6582"/>
    <w:rsid w:val="009E1513"/>
    <w:rsid w:val="009E2436"/>
    <w:rsid w:val="009E4ACD"/>
    <w:rsid w:val="009E5005"/>
    <w:rsid w:val="009F4CD6"/>
    <w:rsid w:val="009F5186"/>
    <w:rsid w:val="009F6A07"/>
    <w:rsid w:val="00A01552"/>
    <w:rsid w:val="00A031FD"/>
    <w:rsid w:val="00A10362"/>
    <w:rsid w:val="00A11404"/>
    <w:rsid w:val="00A11A70"/>
    <w:rsid w:val="00A1669D"/>
    <w:rsid w:val="00A17B24"/>
    <w:rsid w:val="00A24684"/>
    <w:rsid w:val="00A34617"/>
    <w:rsid w:val="00A35138"/>
    <w:rsid w:val="00A369F3"/>
    <w:rsid w:val="00A37E53"/>
    <w:rsid w:val="00A41F86"/>
    <w:rsid w:val="00A42562"/>
    <w:rsid w:val="00A43FF3"/>
    <w:rsid w:val="00A449DD"/>
    <w:rsid w:val="00A454B1"/>
    <w:rsid w:val="00A50A1E"/>
    <w:rsid w:val="00A5222C"/>
    <w:rsid w:val="00A543D6"/>
    <w:rsid w:val="00A55E72"/>
    <w:rsid w:val="00A56435"/>
    <w:rsid w:val="00A56F1F"/>
    <w:rsid w:val="00A571D4"/>
    <w:rsid w:val="00A61330"/>
    <w:rsid w:val="00A661C3"/>
    <w:rsid w:val="00A66CCE"/>
    <w:rsid w:val="00A775BA"/>
    <w:rsid w:val="00A80467"/>
    <w:rsid w:val="00A84BE4"/>
    <w:rsid w:val="00A85611"/>
    <w:rsid w:val="00A96746"/>
    <w:rsid w:val="00AA2F41"/>
    <w:rsid w:val="00AA3192"/>
    <w:rsid w:val="00AA365B"/>
    <w:rsid w:val="00AA7D4C"/>
    <w:rsid w:val="00AB0759"/>
    <w:rsid w:val="00AB3E6F"/>
    <w:rsid w:val="00AB7501"/>
    <w:rsid w:val="00AC20F1"/>
    <w:rsid w:val="00AC3907"/>
    <w:rsid w:val="00AC469D"/>
    <w:rsid w:val="00AD036B"/>
    <w:rsid w:val="00AD1145"/>
    <w:rsid w:val="00AD5459"/>
    <w:rsid w:val="00AE4728"/>
    <w:rsid w:val="00AE583E"/>
    <w:rsid w:val="00AE5AB1"/>
    <w:rsid w:val="00AE5D15"/>
    <w:rsid w:val="00AE631D"/>
    <w:rsid w:val="00AE7ED0"/>
    <w:rsid w:val="00AF05B3"/>
    <w:rsid w:val="00AF09BA"/>
    <w:rsid w:val="00AF16EB"/>
    <w:rsid w:val="00AF4A36"/>
    <w:rsid w:val="00B023ED"/>
    <w:rsid w:val="00B03389"/>
    <w:rsid w:val="00B0429A"/>
    <w:rsid w:val="00B042A4"/>
    <w:rsid w:val="00B04647"/>
    <w:rsid w:val="00B04CDD"/>
    <w:rsid w:val="00B05112"/>
    <w:rsid w:val="00B06EBD"/>
    <w:rsid w:val="00B12289"/>
    <w:rsid w:val="00B23DFC"/>
    <w:rsid w:val="00B23FEC"/>
    <w:rsid w:val="00B27038"/>
    <w:rsid w:val="00B33A1F"/>
    <w:rsid w:val="00B33B80"/>
    <w:rsid w:val="00B34004"/>
    <w:rsid w:val="00B34D55"/>
    <w:rsid w:val="00B4266A"/>
    <w:rsid w:val="00B43196"/>
    <w:rsid w:val="00B50E21"/>
    <w:rsid w:val="00B52473"/>
    <w:rsid w:val="00B527EA"/>
    <w:rsid w:val="00B54E5C"/>
    <w:rsid w:val="00B62012"/>
    <w:rsid w:val="00B70EA4"/>
    <w:rsid w:val="00B71621"/>
    <w:rsid w:val="00B73E7B"/>
    <w:rsid w:val="00B7489C"/>
    <w:rsid w:val="00B74D98"/>
    <w:rsid w:val="00B74F64"/>
    <w:rsid w:val="00B7596B"/>
    <w:rsid w:val="00B80B87"/>
    <w:rsid w:val="00B813D4"/>
    <w:rsid w:val="00B8194C"/>
    <w:rsid w:val="00B83CB1"/>
    <w:rsid w:val="00B83F2D"/>
    <w:rsid w:val="00B8475A"/>
    <w:rsid w:val="00B873FB"/>
    <w:rsid w:val="00BA249B"/>
    <w:rsid w:val="00BA2808"/>
    <w:rsid w:val="00BA586F"/>
    <w:rsid w:val="00BA78B2"/>
    <w:rsid w:val="00BA7B7B"/>
    <w:rsid w:val="00BB0766"/>
    <w:rsid w:val="00BB0C40"/>
    <w:rsid w:val="00BB1D88"/>
    <w:rsid w:val="00BB2238"/>
    <w:rsid w:val="00BB3270"/>
    <w:rsid w:val="00BB4ACC"/>
    <w:rsid w:val="00BB5C5D"/>
    <w:rsid w:val="00BB6FFE"/>
    <w:rsid w:val="00BB7B94"/>
    <w:rsid w:val="00BC1E60"/>
    <w:rsid w:val="00BC32F4"/>
    <w:rsid w:val="00BC4F7E"/>
    <w:rsid w:val="00BC5DBB"/>
    <w:rsid w:val="00BC744B"/>
    <w:rsid w:val="00BD193A"/>
    <w:rsid w:val="00BD4FAD"/>
    <w:rsid w:val="00BD62FD"/>
    <w:rsid w:val="00BD74F7"/>
    <w:rsid w:val="00BE378D"/>
    <w:rsid w:val="00BE5235"/>
    <w:rsid w:val="00BF0EF9"/>
    <w:rsid w:val="00BF18AE"/>
    <w:rsid w:val="00BF1999"/>
    <w:rsid w:val="00BF492D"/>
    <w:rsid w:val="00C02BA1"/>
    <w:rsid w:val="00C04433"/>
    <w:rsid w:val="00C049D7"/>
    <w:rsid w:val="00C05B1E"/>
    <w:rsid w:val="00C05C04"/>
    <w:rsid w:val="00C201F8"/>
    <w:rsid w:val="00C20A6D"/>
    <w:rsid w:val="00C20E53"/>
    <w:rsid w:val="00C21CDE"/>
    <w:rsid w:val="00C223BD"/>
    <w:rsid w:val="00C237FA"/>
    <w:rsid w:val="00C24833"/>
    <w:rsid w:val="00C270C1"/>
    <w:rsid w:val="00C31229"/>
    <w:rsid w:val="00C350DC"/>
    <w:rsid w:val="00C43278"/>
    <w:rsid w:val="00C43705"/>
    <w:rsid w:val="00C43DDB"/>
    <w:rsid w:val="00C4408D"/>
    <w:rsid w:val="00C45672"/>
    <w:rsid w:val="00C45C4F"/>
    <w:rsid w:val="00C505EC"/>
    <w:rsid w:val="00C50710"/>
    <w:rsid w:val="00C5133C"/>
    <w:rsid w:val="00C51C26"/>
    <w:rsid w:val="00C52AA6"/>
    <w:rsid w:val="00C63ADB"/>
    <w:rsid w:val="00C77A77"/>
    <w:rsid w:val="00C83B38"/>
    <w:rsid w:val="00C83F69"/>
    <w:rsid w:val="00C85052"/>
    <w:rsid w:val="00C90953"/>
    <w:rsid w:val="00C90C55"/>
    <w:rsid w:val="00C9392D"/>
    <w:rsid w:val="00C948AA"/>
    <w:rsid w:val="00CA0162"/>
    <w:rsid w:val="00CA2FD3"/>
    <w:rsid w:val="00CA3872"/>
    <w:rsid w:val="00CB7F0F"/>
    <w:rsid w:val="00CC0FF5"/>
    <w:rsid w:val="00CC1689"/>
    <w:rsid w:val="00CC2AE5"/>
    <w:rsid w:val="00CC3EB4"/>
    <w:rsid w:val="00CC5880"/>
    <w:rsid w:val="00CC66A2"/>
    <w:rsid w:val="00CD20F9"/>
    <w:rsid w:val="00CD3388"/>
    <w:rsid w:val="00CD4400"/>
    <w:rsid w:val="00CE1DAC"/>
    <w:rsid w:val="00CE2719"/>
    <w:rsid w:val="00CE3DF6"/>
    <w:rsid w:val="00CE4CD8"/>
    <w:rsid w:val="00CE51DB"/>
    <w:rsid w:val="00CF3DB0"/>
    <w:rsid w:val="00CF4C21"/>
    <w:rsid w:val="00CF788D"/>
    <w:rsid w:val="00D02DE1"/>
    <w:rsid w:val="00D032CC"/>
    <w:rsid w:val="00D059FF"/>
    <w:rsid w:val="00D10468"/>
    <w:rsid w:val="00D12674"/>
    <w:rsid w:val="00D15ED8"/>
    <w:rsid w:val="00D177DD"/>
    <w:rsid w:val="00D178BC"/>
    <w:rsid w:val="00D17F8E"/>
    <w:rsid w:val="00D213E0"/>
    <w:rsid w:val="00D218D9"/>
    <w:rsid w:val="00D247D5"/>
    <w:rsid w:val="00D30491"/>
    <w:rsid w:val="00D31400"/>
    <w:rsid w:val="00D33603"/>
    <w:rsid w:val="00D45554"/>
    <w:rsid w:val="00D47549"/>
    <w:rsid w:val="00D501C2"/>
    <w:rsid w:val="00D50949"/>
    <w:rsid w:val="00D50DD8"/>
    <w:rsid w:val="00D5275D"/>
    <w:rsid w:val="00D53AAD"/>
    <w:rsid w:val="00D55316"/>
    <w:rsid w:val="00D56F31"/>
    <w:rsid w:val="00D614DC"/>
    <w:rsid w:val="00D64AEA"/>
    <w:rsid w:val="00D65100"/>
    <w:rsid w:val="00D704A9"/>
    <w:rsid w:val="00D75519"/>
    <w:rsid w:val="00D75B90"/>
    <w:rsid w:val="00D80A2D"/>
    <w:rsid w:val="00D832FA"/>
    <w:rsid w:val="00D9036B"/>
    <w:rsid w:val="00D90EFC"/>
    <w:rsid w:val="00D9463F"/>
    <w:rsid w:val="00D95641"/>
    <w:rsid w:val="00D969AF"/>
    <w:rsid w:val="00D975F6"/>
    <w:rsid w:val="00DA2FAD"/>
    <w:rsid w:val="00DA3CEB"/>
    <w:rsid w:val="00DA468B"/>
    <w:rsid w:val="00DA57D5"/>
    <w:rsid w:val="00DA6721"/>
    <w:rsid w:val="00DA69C9"/>
    <w:rsid w:val="00DA6DD2"/>
    <w:rsid w:val="00DA72E2"/>
    <w:rsid w:val="00DB085C"/>
    <w:rsid w:val="00DB1F8B"/>
    <w:rsid w:val="00DB5151"/>
    <w:rsid w:val="00DB5625"/>
    <w:rsid w:val="00DB73ED"/>
    <w:rsid w:val="00DC0AB5"/>
    <w:rsid w:val="00DC399A"/>
    <w:rsid w:val="00DC49B9"/>
    <w:rsid w:val="00DD0536"/>
    <w:rsid w:val="00DD0B39"/>
    <w:rsid w:val="00DD5095"/>
    <w:rsid w:val="00DE1D7C"/>
    <w:rsid w:val="00DE2B8C"/>
    <w:rsid w:val="00DE6B7F"/>
    <w:rsid w:val="00DF11B1"/>
    <w:rsid w:val="00DF34D4"/>
    <w:rsid w:val="00DF5157"/>
    <w:rsid w:val="00E00AAD"/>
    <w:rsid w:val="00E0344E"/>
    <w:rsid w:val="00E03695"/>
    <w:rsid w:val="00E12931"/>
    <w:rsid w:val="00E1484B"/>
    <w:rsid w:val="00E1569C"/>
    <w:rsid w:val="00E229FD"/>
    <w:rsid w:val="00E23124"/>
    <w:rsid w:val="00E24D0F"/>
    <w:rsid w:val="00E2679B"/>
    <w:rsid w:val="00E269BA"/>
    <w:rsid w:val="00E26F3D"/>
    <w:rsid w:val="00E31225"/>
    <w:rsid w:val="00E329A7"/>
    <w:rsid w:val="00E33E07"/>
    <w:rsid w:val="00E40D27"/>
    <w:rsid w:val="00E42359"/>
    <w:rsid w:val="00E42908"/>
    <w:rsid w:val="00E42E44"/>
    <w:rsid w:val="00E45395"/>
    <w:rsid w:val="00E50C20"/>
    <w:rsid w:val="00E50E50"/>
    <w:rsid w:val="00E528DA"/>
    <w:rsid w:val="00E54DD0"/>
    <w:rsid w:val="00E60F53"/>
    <w:rsid w:val="00E6236B"/>
    <w:rsid w:val="00E63487"/>
    <w:rsid w:val="00E6716E"/>
    <w:rsid w:val="00E7110E"/>
    <w:rsid w:val="00E7263E"/>
    <w:rsid w:val="00E7375F"/>
    <w:rsid w:val="00E7494E"/>
    <w:rsid w:val="00E76420"/>
    <w:rsid w:val="00E7780E"/>
    <w:rsid w:val="00E835F2"/>
    <w:rsid w:val="00E8625B"/>
    <w:rsid w:val="00E87B76"/>
    <w:rsid w:val="00E9136A"/>
    <w:rsid w:val="00E9142E"/>
    <w:rsid w:val="00E93904"/>
    <w:rsid w:val="00E94B5A"/>
    <w:rsid w:val="00E96E69"/>
    <w:rsid w:val="00E96F0B"/>
    <w:rsid w:val="00EA10E6"/>
    <w:rsid w:val="00EA4264"/>
    <w:rsid w:val="00EA4357"/>
    <w:rsid w:val="00EA4676"/>
    <w:rsid w:val="00EA484D"/>
    <w:rsid w:val="00EB00D6"/>
    <w:rsid w:val="00EB5817"/>
    <w:rsid w:val="00EB6BAA"/>
    <w:rsid w:val="00EC0A4F"/>
    <w:rsid w:val="00EC1B97"/>
    <w:rsid w:val="00EC5328"/>
    <w:rsid w:val="00EC5E2C"/>
    <w:rsid w:val="00EC65C5"/>
    <w:rsid w:val="00EC68BF"/>
    <w:rsid w:val="00ED473A"/>
    <w:rsid w:val="00ED4B0D"/>
    <w:rsid w:val="00ED711A"/>
    <w:rsid w:val="00EE011B"/>
    <w:rsid w:val="00EE4F3F"/>
    <w:rsid w:val="00EF18B8"/>
    <w:rsid w:val="00EF4C1D"/>
    <w:rsid w:val="00EF7CFB"/>
    <w:rsid w:val="00F0174A"/>
    <w:rsid w:val="00F0430E"/>
    <w:rsid w:val="00F04486"/>
    <w:rsid w:val="00F07627"/>
    <w:rsid w:val="00F10C6F"/>
    <w:rsid w:val="00F1657B"/>
    <w:rsid w:val="00F17805"/>
    <w:rsid w:val="00F2249A"/>
    <w:rsid w:val="00F268A0"/>
    <w:rsid w:val="00F32935"/>
    <w:rsid w:val="00F32ED1"/>
    <w:rsid w:val="00F427DB"/>
    <w:rsid w:val="00F47AD4"/>
    <w:rsid w:val="00F52071"/>
    <w:rsid w:val="00F52262"/>
    <w:rsid w:val="00F559C9"/>
    <w:rsid w:val="00F579BE"/>
    <w:rsid w:val="00F619A7"/>
    <w:rsid w:val="00F638C1"/>
    <w:rsid w:val="00F64EAC"/>
    <w:rsid w:val="00F6548A"/>
    <w:rsid w:val="00F70FEE"/>
    <w:rsid w:val="00F757C8"/>
    <w:rsid w:val="00F767F6"/>
    <w:rsid w:val="00F76CB2"/>
    <w:rsid w:val="00F807FD"/>
    <w:rsid w:val="00F83A13"/>
    <w:rsid w:val="00F84EB4"/>
    <w:rsid w:val="00F96AE0"/>
    <w:rsid w:val="00F97FE5"/>
    <w:rsid w:val="00FA010C"/>
    <w:rsid w:val="00FA096A"/>
    <w:rsid w:val="00FA0D07"/>
    <w:rsid w:val="00FA1C0E"/>
    <w:rsid w:val="00FA4F19"/>
    <w:rsid w:val="00FB19F9"/>
    <w:rsid w:val="00FB2600"/>
    <w:rsid w:val="00FB2DAA"/>
    <w:rsid w:val="00FB340F"/>
    <w:rsid w:val="00FB46B9"/>
    <w:rsid w:val="00FB48D2"/>
    <w:rsid w:val="00FB4932"/>
    <w:rsid w:val="00FB49F3"/>
    <w:rsid w:val="00FB7742"/>
    <w:rsid w:val="00FC6A5E"/>
    <w:rsid w:val="00FC7953"/>
    <w:rsid w:val="00FD04C9"/>
    <w:rsid w:val="00FD059E"/>
    <w:rsid w:val="00FD26D7"/>
    <w:rsid w:val="00FD565F"/>
    <w:rsid w:val="00FD5708"/>
    <w:rsid w:val="00FE0378"/>
    <w:rsid w:val="00FE3CB0"/>
    <w:rsid w:val="00FE57F9"/>
    <w:rsid w:val="00FE74BA"/>
    <w:rsid w:val="00FE7E95"/>
    <w:rsid w:val="00FF2E2B"/>
    <w:rsid w:val="00FF5A8E"/>
    <w:rsid w:val="04AC9310"/>
    <w:rsid w:val="3BBD9DF6"/>
    <w:rsid w:val="43EB7AEB"/>
    <w:rsid w:val="4DE22E7F"/>
    <w:rsid w:val="5C302D01"/>
    <w:rsid w:val="62FB4EFB"/>
    <w:rsid w:val="679A38B2"/>
    <w:rsid w:val="6F727C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8BCDD"/>
  <w15:docId w15:val="{DB1D7B85-99EB-4A03-A4C6-4C34A03D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link w:val="Titre1Ca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aliases w:val="Note de bas de page Car1 Car,Note de bas de page Car Car Car Car,Note de bas de page Car Car1 Car,Note de bas de page Car Car2,Note de bas de page Car1,Note de bas de page Car Car Car,Note de bas de page Car Car, Car7 Car, Car7, Car"/>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aliases w:val="exposant 3 point"/>
    <w:basedOn w:val="Policepardfaut"/>
    <w:uiPriority w:val="99"/>
    <w:qFormat/>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aliases w:val="Note de bas de page Car1 Car Car,Note de bas de page Car Car Car Car Car,Note de bas de page Car Car1 Car Car,Note de bas de page Car Car2 Car,Note de bas de page Car1 Car1,Note de bas de page Car Car Car Car1, Car7 Car Car"/>
    <w:basedOn w:val="Policepardfaut"/>
    <w:link w:val="Notedebasdepage"/>
    <w:uiPriority w:val="99"/>
    <w:qFormat/>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AF4A36"/>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DBEDE1" w:themeFill="accent4" w:themeFillTint="33"/>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Paragraphedeliste">
    <w:name w:val="List Paragraph"/>
    <w:basedOn w:val="Normal"/>
    <w:uiPriority w:val="34"/>
    <w:qFormat/>
    <w:rsid w:val="00C505EC"/>
    <w:pPr>
      <w:spacing w:after="160" w:line="259" w:lineRule="auto"/>
      <w:ind w:left="720"/>
      <w:contextualSpacing/>
    </w:pPr>
    <w:rPr>
      <w:rFonts w:asciiTheme="minorHAnsi" w:hAnsiTheme="minorHAnsi"/>
      <w:spacing w:val="0"/>
      <w:kern w:val="2"/>
      <w:sz w:val="22"/>
      <w:szCs w:val="22"/>
      <w:lang w:val="fr-FR"/>
      <w14:ligatures w14:val="standardContextual"/>
    </w:rPr>
  </w:style>
  <w:style w:type="character" w:customStyle="1" w:styleId="Titre1Car">
    <w:name w:val="Titre 1 Car"/>
    <w:basedOn w:val="Policepardfaut"/>
    <w:link w:val="Titre1"/>
    <w:uiPriority w:val="1"/>
    <w:rsid w:val="006A2751"/>
    <w:rPr>
      <w:rFonts w:eastAsiaTheme="majorEastAsia" w:cs="Open Sans SemiCondensed"/>
      <w:b/>
      <w:bCs/>
      <w:color w:val="000000" w:themeColor="text1"/>
      <w:sz w:val="24"/>
      <w:szCs w:val="32"/>
      <w:lang w:val="fr-CH"/>
    </w:rPr>
  </w:style>
  <w:style w:type="paragraph" w:styleId="Rvision">
    <w:name w:val="Revision"/>
    <w:hidden/>
    <w:semiHidden/>
    <w:rsid w:val="009106FE"/>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pastel.hal.science/tel-04684205v1" TargetMode="External"/><Relationship Id="rId26" Type="http://schemas.openxmlformats.org/officeDocument/2006/relationships/hyperlink" Target="https://doi.org/10.7202/1102016ar" TargetMode="External"/><Relationship Id="rId39" Type="http://schemas.openxmlformats.org/officeDocument/2006/relationships/hyperlink" Target="https://unesdoc.unesco.org/ark:/48223/pf0000232649_fre" TargetMode="External"/><Relationship Id="rId21" Type="http://schemas.openxmlformats.org/officeDocument/2006/relationships/hyperlink" Target="https://doi.org/10.51657/ric.v5i1.41068" TargetMode="External"/><Relationship Id="rId34" Type="http://schemas.openxmlformats.org/officeDocument/2006/relationships/hyperlink" Target="https://www.usherbrooke.ca/creas/fileadmin/sites/creas/documents/Publications/Bulletin_du_CREAS/7/04-CREAS_Bulletin_7_Edito-Potvin.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fernagu@cesi.fr" TargetMode="External"/><Relationship Id="rId20" Type="http://schemas.openxmlformats.org/officeDocument/2006/relationships/hyperlink" Target="https://doi.org/10.3917/puf.brgeo.2011.01." TargetMode="External"/><Relationship Id="rId29" Type="http://schemas.openxmlformats.org/officeDocument/2006/relationships/hyperlink" Target="https://doi.org/10.1111/1467-9604.1217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1-07" TargetMode="External"/><Relationship Id="rId24" Type="http://schemas.openxmlformats.org/officeDocument/2006/relationships/hyperlink" Target="https://shs.hal.science/tel-01988063v1" TargetMode="External"/><Relationship Id="rId32" Type="http://schemas.openxmlformats.org/officeDocument/2006/relationships/hyperlink" Target="https://doi.org/10.4000/rechercheseducations.12729" TargetMode="External"/><Relationship Id="rId37" Type="http://schemas.openxmlformats.org/officeDocument/2006/relationships/hyperlink" Target="https://doi.org/10.57161/r2025-01-08" TargetMode="External"/><Relationship Id="rId40" Type="http://schemas.openxmlformats.org/officeDocument/2006/relationships/hyperlink" Target="https://doi.org/10.4000/formationemploi.1606"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transformations.univ-lille.fr/index.php/TF/article/view/481/287" TargetMode="External"/><Relationship Id="rId28" Type="http://schemas.openxmlformats.org/officeDocument/2006/relationships/hyperlink" Target="https://doi.org/10.3917/puf.bourg.2012.01.0201" TargetMode="External"/><Relationship Id="rId36" Type="http://schemas.openxmlformats.org/officeDocument/2006/relationships/hyperlink" Target="https://doi.org/10.4000/rfp.3732" TargetMode="External"/><Relationship Id="rId10" Type="http://schemas.openxmlformats.org/officeDocument/2006/relationships/endnotes" Target="endnotes.xml"/><Relationship Id="rId19" Type="http://schemas.openxmlformats.org/officeDocument/2006/relationships/hyperlink" Target="https://doi.org/10.3917/puf.brgeo.2011.01" TargetMode="External"/><Relationship Id="rId31" Type="http://schemas.openxmlformats.org/officeDocument/2006/relationships/hyperlink" Target="https://doi.org/10.3917/spir.066.000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legifrance.gouv.fr/codes/texte_lc/LEGITEXT000006071191/" TargetMode="External"/><Relationship Id="rId27" Type="http://schemas.openxmlformats.org/officeDocument/2006/relationships/hyperlink" Target="https://doi.org/10.3917/spec.003.0019" TargetMode="External"/><Relationship Id="rId30" Type="http://schemas.openxmlformats.org/officeDocument/2006/relationships/hyperlink" Target="https://hal.science/hal-03195188v1/file/emsha-768.pdf" TargetMode="External"/><Relationship Id="rId35" Type="http://schemas.openxmlformats.org/officeDocument/2006/relationships/hyperlink" Target="https://veille-et-analyses.ens-lyon.fr/DA-Veille/127-janvier-2019.pdf?v=1549982112"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firah.org/upload/notices3/2012/synthese-documentaire-scolarisation-eleves-situation-handicap-en-europe_0.pdf" TargetMode="External"/><Relationship Id="rId25" Type="http://schemas.openxmlformats.org/officeDocument/2006/relationships/hyperlink" Target="https://doi.org/10.3917/ta.023.0040" TargetMode="External"/><Relationship Id="rId33" Type="http://schemas.openxmlformats.org/officeDocument/2006/relationships/hyperlink" Target="https://doi.org/10.3917/ep.024.0009" TargetMode="External"/><Relationship Id="rId38" Type="http://schemas.openxmlformats.org/officeDocument/2006/relationships/hyperlink" Target="https://data.over-blog-kiwi.com/0/73/89/73/201308/ob_bacf0b_2002-b-sarrazy-didactique-pedagogie-et-enseigneme.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ZH%20CSPS\Daten_Allgemein%20-%20General\2_Produkte\52_Revue\RV02_Redaction\Revue_2026\01_Organisations%20scolaires%20inclusives\Layout_R01-202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DC3C79B5-FEAF-421A-94D7-8C850EE10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Layout_R01-2026</Template>
  <TotalTime>0</TotalTime>
  <Pages>8</Pages>
  <Words>3949</Words>
  <Characters>24882</Characters>
  <Application>Microsoft Office Word</Application>
  <DocSecurity>0</DocSecurity>
  <Lines>207</Lines>
  <Paragraphs>57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Title</vt:lpstr>
      <vt:lpstr>Title</vt:lpstr>
    </vt:vector>
  </TitlesOfParts>
  <Company/>
  <LinksUpToDate>false</LinksUpToDate>
  <CharactersWithSpaces>28774</CharactersWithSpaces>
  <SharedDoc>false</SharedDoc>
  <HLinks>
    <vt:vector size="162" baseType="variant">
      <vt:variant>
        <vt:i4>5963841</vt:i4>
      </vt:variant>
      <vt:variant>
        <vt:i4>78</vt:i4>
      </vt:variant>
      <vt:variant>
        <vt:i4>0</vt:i4>
      </vt:variant>
      <vt:variant>
        <vt:i4>5</vt:i4>
      </vt:variant>
      <vt:variant>
        <vt:lpwstr>https://doi.org/10.4000/formationemploi.1606</vt:lpwstr>
      </vt:variant>
      <vt:variant>
        <vt:lpwstr/>
      </vt:variant>
      <vt:variant>
        <vt:i4>7209027</vt:i4>
      </vt:variant>
      <vt:variant>
        <vt:i4>75</vt:i4>
      </vt:variant>
      <vt:variant>
        <vt:i4>0</vt:i4>
      </vt:variant>
      <vt:variant>
        <vt:i4>5</vt:i4>
      </vt:variant>
      <vt:variant>
        <vt:lpwstr>https://unesdoc.unesco.org/ark:/48223/pf0000232649_fre</vt:lpwstr>
      </vt:variant>
      <vt:variant>
        <vt:lpwstr/>
      </vt:variant>
      <vt:variant>
        <vt:i4>2162744</vt:i4>
      </vt:variant>
      <vt:variant>
        <vt:i4>72</vt:i4>
      </vt:variant>
      <vt:variant>
        <vt:i4>0</vt:i4>
      </vt:variant>
      <vt:variant>
        <vt:i4>5</vt:i4>
      </vt:variant>
      <vt:variant>
        <vt:lpwstr>https://data.over-blog-kiwi.com/0/73/89/73/201308/ob_bacf0b_2002-b-sarrazy-didactique-pedagogie-et-enseigneme.pdf</vt:lpwstr>
      </vt:variant>
      <vt:variant>
        <vt:lpwstr/>
      </vt:variant>
      <vt:variant>
        <vt:i4>5898328</vt:i4>
      </vt:variant>
      <vt:variant>
        <vt:i4>69</vt:i4>
      </vt:variant>
      <vt:variant>
        <vt:i4>0</vt:i4>
      </vt:variant>
      <vt:variant>
        <vt:i4>5</vt:i4>
      </vt:variant>
      <vt:variant>
        <vt:lpwstr>https://doi.org/10.57161/r2025-01-08</vt:lpwstr>
      </vt:variant>
      <vt:variant>
        <vt:lpwstr/>
      </vt:variant>
      <vt:variant>
        <vt:i4>5963864</vt:i4>
      </vt:variant>
      <vt:variant>
        <vt:i4>66</vt:i4>
      </vt:variant>
      <vt:variant>
        <vt:i4>0</vt:i4>
      </vt:variant>
      <vt:variant>
        <vt:i4>5</vt:i4>
      </vt:variant>
      <vt:variant>
        <vt:lpwstr>https://doi.org/10.4000/rfp.3732</vt:lpwstr>
      </vt:variant>
      <vt:variant>
        <vt:lpwstr/>
      </vt:variant>
      <vt:variant>
        <vt:i4>2490475</vt:i4>
      </vt:variant>
      <vt:variant>
        <vt:i4>63</vt:i4>
      </vt:variant>
      <vt:variant>
        <vt:i4>0</vt:i4>
      </vt:variant>
      <vt:variant>
        <vt:i4>5</vt:i4>
      </vt:variant>
      <vt:variant>
        <vt:lpwstr>https://doi.org/10.1080/146498805200034266</vt:lpwstr>
      </vt:variant>
      <vt:variant>
        <vt:lpwstr/>
      </vt:variant>
      <vt:variant>
        <vt:i4>4063342</vt:i4>
      </vt:variant>
      <vt:variant>
        <vt:i4>60</vt:i4>
      </vt:variant>
      <vt:variant>
        <vt:i4>0</vt:i4>
      </vt:variant>
      <vt:variant>
        <vt:i4>5</vt:i4>
      </vt:variant>
      <vt:variant>
        <vt:lpwstr>https://veille-et-analyses.ens-lyon.fr/DA-Veille/127-janvier-2019.pdf?v=1549982112</vt:lpwstr>
      </vt:variant>
      <vt:variant>
        <vt:lpwstr/>
      </vt:variant>
      <vt:variant>
        <vt:i4>1704043</vt:i4>
      </vt:variant>
      <vt:variant>
        <vt:i4>57</vt:i4>
      </vt:variant>
      <vt:variant>
        <vt:i4>0</vt:i4>
      </vt:variant>
      <vt:variant>
        <vt:i4>5</vt:i4>
      </vt:variant>
      <vt:variant>
        <vt:lpwstr>https://www.usherbrooke.ca/creas/fileadmin/sites/creas/documents/Publications/Bulletin_du_CREAS/7/04-CREAS_Bulletin_7_Edito-Potvin.pdf</vt:lpwstr>
      </vt:variant>
      <vt:variant>
        <vt:lpwstr/>
      </vt:variant>
      <vt:variant>
        <vt:i4>6553651</vt:i4>
      </vt:variant>
      <vt:variant>
        <vt:i4>54</vt:i4>
      </vt:variant>
      <vt:variant>
        <vt:i4>0</vt:i4>
      </vt:variant>
      <vt:variant>
        <vt:i4>5</vt:i4>
      </vt:variant>
      <vt:variant>
        <vt:lpwstr>https://doi.org/10.3917/ep.024.0009</vt:lpwstr>
      </vt:variant>
      <vt:variant>
        <vt:lpwstr/>
      </vt:variant>
      <vt:variant>
        <vt:i4>2228336</vt:i4>
      </vt:variant>
      <vt:variant>
        <vt:i4>51</vt:i4>
      </vt:variant>
      <vt:variant>
        <vt:i4>0</vt:i4>
      </vt:variant>
      <vt:variant>
        <vt:i4>5</vt:i4>
      </vt:variant>
      <vt:variant>
        <vt:lpwstr>https://doi.org/10.4000/rechercheseducations.12729</vt:lpwstr>
      </vt:variant>
      <vt:variant>
        <vt:lpwstr/>
      </vt:variant>
      <vt:variant>
        <vt:i4>1310792</vt:i4>
      </vt:variant>
      <vt:variant>
        <vt:i4>48</vt:i4>
      </vt:variant>
      <vt:variant>
        <vt:i4>0</vt:i4>
      </vt:variant>
      <vt:variant>
        <vt:i4>5</vt:i4>
      </vt:variant>
      <vt:variant>
        <vt:lpwstr>https://doi.org/10.3917/spir.066.0003</vt:lpwstr>
      </vt:variant>
      <vt:variant>
        <vt:lpwstr/>
      </vt:variant>
      <vt:variant>
        <vt:i4>1769472</vt:i4>
      </vt:variant>
      <vt:variant>
        <vt:i4>45</vt:i4>
      </vt:variant>
      <vt:variant>
        <vt:i4>0</vt:i4>
      </vt:variant>
      <vt:variant>
        <vt:i4>5</vt:i4>
      </vt:variant>
      <vt:variant>
        <vt:lpwstr>https://hal.science/hal-03195188v1/file/emsha-768.pdf</vt:lpwstr>
      </vt:variant>
      <vt:variant>
        <vt:lpwstr/>
      </vt:variant>
      <vt:variant>
        <vt:i4>3342450</vt:i4>
      </vt:variant>
      <vt:variant>
        <vt:i4>42</vt:i4>
      </vt:variant>
      <vt:variant>
        <vt:i4>0</vt:i4>
      </vt:variant>
      <vt:variant>
        <vt:i4>5</vt:i4>
      </vt:variant>
      <vt:variant>
        <vt:lpwstr>https://doi.org/10.1111/1467-9604.12170</vt:lpwstr>
      </vt:variant>
      <vt:variant>
        <vt:lpwstr/>
      </vt:variant>
      <vt:variant>
        <vt:i4>6750254</vt:i4>
      </vt:variant>
      <vt:variant>
        <vt:i4>39</vt:i4>
      </vt:variant>
      <vt:variant>
        <vt:i4>0</vt:i4>
      </vt:variant>
      <vt:variant>
        <vt:i4>5</vt:i4>
      </vt:variant>
      <vt:variant>
        <vt:lpwstr>https://doi.org/10.3917/puf.bourg.2012.01.0201</vt:lpwstr>
      </vt:variant>
      <vt:variant>
        <vt:lpwstr/>
      </vt:variant>
      <vt:variant>
        <vt:i4>65602</vt:i4>
      </vt:variant>
      <vt:variant>
        <vt:i4>36</vt:i4>
      </vt:variant>
      <vt:variant>
        <vt:i4>0</vt:i4>
      </vt:variant>
      <vt:variant>
        <vt:i4>5</vt:i4>
      </vt:variant>
      <vt:variant>
        <vt:lpwstr>https://doi.org/10.3917/spec.003.0019</vt:lpwstr>
      </vt:variant>
      <vt:variant>
        <vt:lpwstr/>
      </vt:variant>
      <vt:variant>
        <vt:i4>4587613</vt:i4>
      </vt:variant>
      <vt:variant>
        <vt:i4>33</vt:i4>
      </vt:variant>
      <vt:variant>
        <vt:i4>0</vt:i4>
      </vt:variant>
      <vt:variant>
        <vt:i4>5</vt:i4>
      </vt:variant>
      <vt:variant>
        <vt:lpwstr>https://doi.org/10.7202/1102016ar</vt:lpwstr>
      </vt:variant>
      <vt:variant>
        <vt:lpwstr/>
      </vt:variant>
      <vt:variant>
        <vt:i4>7733282</vt:i4>
      </vt:variant>
      <vt:variant>
        <vt:i4>30</vt:i4>
      </vt:variant>
      <vt:variant>
        <vt:i4>0</vt:i4>
      </vt:variant>
      <vt:variant>
        <vt:i4>5</vt:i4>
      </vt:variant>
      <vt:variant>
        <vt:lpwstr>https://doi.org/10.3917/ta.023.0040</vt:lpwstr>
      </vt:variant>
      <vt:variant>
        <vt:lpwstr/>
      </vt:variant>
      <vt:variant>
        <vt:i4>2162748</vt:i4>
      </vt:variant>
      <vt:variant>
        <vt:i4>27</vt:i4>
      </vt:variant>
      <vt:variant>
        <vt:i4>0</vt:i4>
      </vt:variant>
      <vt:variant>
        <vt:i4>5</vt:i4>
      </vt:variant>
      <vt:variant>
        <vt:lpwstr>https://shs.hal.science/tel-01988063v1</vt:lpwstr>
      </vt:variant>
      <vt:variant>
        <vt:lpwstr/>
      </vt:variant>
      <vt:variant>
        <vt:i4>6357115</vt:i4>
      </vt:variant>
      <vt:variant>
        <vt:i4>24</vt:i4>
      </vt:variant>
      <vt:variant>
        <vt:i4>0</vt:i4>
      </vt:variant>
      <vt:variant>
        <vt:i4>5</vt:i4>
      </vt:variant>
      <vt:variant>
        <vt:lpwstr>https://transformations.univ-lille.fr/index.php/TF/article/view/481/287</vt:lpwstr>
      </vt:variant>
      <vt:variant>
        <vt:lpwstr/>
      </vt:variant>
      <vt:variant>
        <vt:i4>3211350</vt:i4>
      </vt:variant>
      <vt:variant>
        <vt:i4>21</vt:i4>
      </vt:variant>
      <vt:variant>
        <vt:i4>0</vt:i4>
      </vt:variant>
      <vt:variant>
        <vt:i4>5</vt:i4>
      </vt:variant>
      <vt:variant>
        <vt:lpwstr>https://www.legifrance.gouv.fr/codes/texte_lc/LEGITEXT000006071191/</vt:lpwstr>
      </vt:variant>
      <vt:variant>
        <vt:lpwstr/>
      </vt:variant>
      <vt:variant>
        <vt:i4>3014710</vt:i4>
      </vt:variant>
      <vt:variant>
        <vt:i4>18</vt:i4>
      </vt:variant>
      <vt:variant>
        <vt:i4>0</vt:i4>
      </vt:variant>
      <vt:variant>
        <vt:i4>5</vt:i4>
      </vt:variant>
      <vt:variant>
        <vt:lpwstr>https://doi.org/10.51657/ric.v5i1.41068</vt:lpwstr>
      </vt:variant>
      <vt:variant>
        <vt:lpwstr/>
      </vt:variant>
      <vt:variant>
        <vt:i4>7143476</vt:i4>
      </vt:variant>
      <vt:variant>
        <vt:i4>15</vt:i4>
      </vt:variant>
      <vt:variant>
        <vt:i4>0</vt:i4>
      </vt:variant>
      <vt:variant>
        <vt:i4>5</vt:i4>
      </vt:variant>
      <vt:variant>
        <vt:lpwstr>https://doi.org/10.3917/puf.brgeo.2011.01.</vt:lpwstr>
      </vt:variant>
      <vt:variant>
        <vt:lpwstr/>
      </vt:variant>
      <vt:variant>
        <vt:i4>4390917</vt:i4>
      </vt:variant>
      <vt:variant>
        <vt:i4>12</vt:i4>
      </vt:variant>
      <vt:variant>
        <vt:i4>0</vt:i4>
      </vt:variant>
      <vt:variant>
        <vt:i4>5</vt:i4>
      </vt:variant>
      <vt:variant>
        <vt:lpwstr>https://doi.org/10.3917/puf.brgeo.2011.01</vt:lpwstr>
      </vt:variant>
      <vt:variant>
        <vt:lpwstr/>
      </vt:variant>
      <vt:variant>
        <vt:i4>1114190</vt:i4>
      </vt:variant>
      <vt:variant>
        <vt:i4>9</vt:i4>
      </vt:variant>
      <vt:variant>
        <vt:i4>0</vt:i4>
      </vt:variant>
      <vt:variant>
        <vt:i4>5</vt:i4>
      </vt:variant>
      <vt:variant>
        <vt:lpwstr>https://pastel.hal.science/tel-04684205v1</vt:lpwstr>
      </vt:variant>
      <vt:variant>
        <vt:lpwstr/>
      </vt:variant>
      <vt:variant>
        <vt:i4>5505063</vt:i4>
      </vt:variant>
      <vt:variant>
        <vt:i4>6</vt:i4>
      </vt:variant>
      <vt:variant>
        <vt:i4>0</vt:i4>
      </vt:variant>
      <vt:variant>
        <vt:i4>5</vt:i4>
      </vt:variant>
      <vt:variant>
        <vt:lpwstr>https://www.firah.org/upload/notices3/2012/synthese-documentaire-scolarisation-eleves-situation-handicap-en-europe_0.pdf</vt:lpwstr>
      </vt:variant>
      <vt:variant>
        <vt:lpwstr/>
      </vt:variant>
      <vt:variant>
        <vt:i4>5701748</vt:i4>
      </vt:variant>
      <vt:variant>
        <vt:i4>3</vt:i4>
      </vt:variant>
      <vt:variant>
        <vt:i4>0</vt:i4>
      </vt:variant>
      <vt:variant>
        <vt:i4>5</vt:i4>
      </vt:variant>
      <vt:variant>
        <vt:lpwstr>mailto:sfernagu@cesi.fr</vt:lpwstr>
      </vt:variant>
      <vt:variant>
        <vt:lpwstr/>
      </vt:variant>
      <vt:variant>
        <vt:i4>5636184</vt:i4>
      </vt:variant>
      <vt:variant>
        <vt:i4>0</vt:i4>
      </vt:variant>
      <vt:variant>
        <vt:i4>0</vt:i4>
      </vt:variant>
      <vt:variant>
        <vt:i4>5</vt:i4>
      </vt:variant>
      <vt:variant>
        <vt:lpwstr>https://doi.org/10.57161/r2026-01-07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 des environnements scolaires capacitants</dc:title>
  <dc:subject/>
  <dc:creator>Solveig Fernagu</dc:creator>
  <cp:keywords>conditions d’apprentissage, éducation inclusive, processus d’apprentissage, pratique pédagogique/inklusive Bildung, Lehrbedingungen, Lernprozess, schulische Heilpädagogik</cp:keywords>
  <cp:lastModifiedBy>Ayer, Geraldine</cp:lastModifiedBy>
  <cp:revision>5</cp:revision>
  <cp:lastPrinted>2022-07-03T09:31:00Z</cp:lastPrinted>
  <dcterms:created xsi:type="dcterms:W3CDTF">2026-03-02T09:17:00Z</dcterms:created>
  <dcterms:modified xsi:type="dcterms:W3CDTF">2026-03-02T09:24:00Z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