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99156" w14:textId="6CCA3D26" w:rsidR="00245D3F" w:rsidRPr="00985270" w:rsidRDefault="00245D3F" w:rsidP="003E7E61">
      <w:pPr>
        <w:pStyle w:val="Titre"/>
        <w:rPr>
          <w:rFonts w:eastAsiaTheme="minorEastAsia"/>
          <w:noProof/>
          <w:lang w:val="fr-CH"/>
        </w:rPr>
      </w:pPr>
      <w:r w:rsidRPr="00985270">
        <w:rPr>
          <w:rFonts w:eastAsiaTheme="minorEastAsia"/>
          <w:noProof/>
          <w:lang w:val="fr-CH"/>
        </w:rPr>
        <w:t xml:space="preserve">Concevoir des supports pédagogiques pour favoriser </w:t>
      </w:r>
      <w:r w:rsidR="00EB42F8" w:rsidRPr="00985270">
        <w:rPr>
          <w:rFonts w:eastAsiaTheme="minorEastAsia"/>
          <w:noProof/>
          <w:lang w:val="fr-CH"/>
        </w:rPr>
        <w:br/>
      </w:r>
      <w:r w:rsidRPr="00985270">
        <w:rPr>
          <w:rFonts w:eastAsiaTheme="minorEastAsia"/>
          <w:noProof/>
          <w:lang w:val="fr-CH"/>
        </w:rPr>
        <w:t>l'école inclusive</w:t>
      </w:r>
    </w:p>
    <w:p w14:paraId="761D57E4" w14:textId="74AF2963" w:rsidR="001114E2" w:rsidRPr="00985270" w:rsidRDefault="00576D3B" w:rsidP="00256DBB">
      <w:pPr>
        <w:pStyle w:val="Sous-titre"/>
        <w:rPr>
          <w:rFonts w:eastAsiaTheme="minorEastAsia"/>
          <w:noProof/>
          <w:lang w:val="fr-CH"/>
        </w:rPr>
      </w:pPr>
      <w:r w:rsidRPr="00985270">
        <w:rPr>
          <w:rFonts w:eastAsiaTheme="minorEastAsia"/>
          <w:noProof/>
          <w:lang w:val="fr-CH"/>
        </w:rPr>
        <w:t>Un dispositif combinant conception universelle de l'apprentissage et adaptations pour élèves ayant un déficit visuel</w:t>
      </w:r>
    </w:p>
    <w:p w14:paraId="0C1EA024" w14:textId="77777777" w:rsidR="0004275C" w:rsidRPr="00985270" w:rsidRDefault="0004275C" w:rsidP="00985270">
      <w:pPr>
        <w:pStyle w:val="Author"/>
        <w:rPr>
          <w:i/>
          <w:noProof/>
        </w:rPr>
      </w:pPr>
      <w:r w:rsidRPr="00985270">
        <w:rPr>
          <w:noProof/>
        </w:rPr>
        <w:t>Raphaëlle Bertrand, Marine Schouwey, Valérie Caron et Fabienne Sypowski</w:t>
      </w:r>
    </w:p>
    <w:p w14:paraId="488F6CD5" w14:textId="5D800BC0" w:rsidR="000352CE" w:rsidRPr="00985270" w:rsidRDefault="004C13EB" w:rsidP="00985270">
      <w:pPr>
        <w:pStyle w:val="Abstract"/>
        <w:rPr>
          <w:noProof/>
          <w:lang w:val="fr-CH"/>
        </w:rPr>
      </w:pPr>
      <w:r w:rsidRPr="00985270">
        <w:rPr>
          <w:noProof/>
          <w:lang w:val="fr-CH"/>
        </w:rPr>
        <w:t>Résumé</w:t>
      </w:r>
      <w:r w:rsidR="000352CE" w:rsidRPr="00985270">
        <w:rPr>
          <w:noProof/>
          <w:lang w:val="fr-CH"/>
        </w:rPr>
        <w:br/>
      </w:r>
      <w:r w:rsidR="00BF031C" w:rsidRPr="00985270">
        <w:rPr>
          <w:noProof/>
          <w:lang w:val="fr-CH"/>
        </w:rPr>
        <w:t>L’un des principaux enjeux de l’inclusion des élèves ayant un déficit visuel (DEVI) en classe est l’accès à l’information visuelle, notamment dans les manuels scolaires. En Suisse romande, le Centre technique en adaptation et accessibilité (CTAA) du CPHV, Centre de compétences romand Vision et Inclusion, a la mission d’adapter individuellement les documents utilisés par ces élèves afin qu’ils leur soient accessibles. Dans l’objectif d’assurer sa mission et de soutenir le corps enseignant à rendre l’information accessible, le CPHV a développé une formation à son intention, pour lui enseigner comment produire dès leur conception des documents plus inclusifs, au bénéfice de l’ensemble des élèves.</w:t>
      </w:r>
    </w:p>
    <w:p w14:paraId="21CE441D" w14:textId="1BC241F3" w:rsidR="001A0FBB" w:rsidRPr="001A0FBB" w:rsidRDefault="00985126" w:rsidP="001A0FBB">
      <w:pPr>
        <w:pStyle w:val="Abstract"/>
        <w:rPr>
          <w:noProof/>
        </w:rPr>
      </w:pPr>
      <w:r w:rsidRPr="001A0FBB">
        <w:rPr>
          <w:noProof/>
        </w:rPr>
        <w:t>Zusammenfassung</w:t>
      </w:r>
      <w:r w:rsidR="00E7780E" w:rsidRPr="001A0FBB">
        <w:rPr>
          <w:noProof/>
        </w:rPr>
        <w:br/>
      </w:r>
      <w:r w:rsidR="001A0FBB" w:rsidRPr="001A0FBB">
        <w:rPr>
          <w:noProof/>
        </w:rPr>
        <w:t>Eine der grö</w:t>
      </w:r>
      <w:r w:rsidR="001A0FBB">
        <w:rPr>
          <w:noProof/>
        </w:rPr>
        <w:t>ss</w:t>
      </w:r>
      <w:r w:rsidR="001A0FBB" w:rsidRPr="001A0FBB">
        <w:rPr>
          <w:noProof/>
        </w:rPr>
        <w:t>ten Herausforderungen bei der Inklusion von Schüler</w:t>
      </w:r>
      <w:r w:rsidR="001A0FBB">
        <w:rPr>
          <w:noProof/>
        </w:rPr>
        <w:t>:</w:t>
      </w:r>
      <w:r w:rsidR="001A0FBB" w:rsidRPr="001A0FBB">
        <w:rPr>
          <w:noProof/>
        </w:rPr>
        <w:t>innen mit einer Sehbe</w:t>
      </w:r>
      <w:r w:rsidR="00350092">
        <w:rPr>
          <w:noProof/>
        </w:rPr>
        <w:t>einträchtigung</w:t>
      </w:r>
      <w:r w:rsidR="001A0FBB" w:rsidRPr="001A0FBB">
        <w:rPr>
          <w:noProof/>
        </w:rPr>
        <w:t xml:space="preserve"> im Unterricht ist der Zugang zu visuellen Informationen, insbesondere in Schulbüchern. In der Westschweiz hat das </w:t>
      </w:r>
      <w:r w:rsidR="00607C4B">
        <w:rPr>
          <w:noProof/>
        </w:rPr>
        <w:t>«</w:t>
      </w:r>
      <w:r w:rsidR="001A0FBB" w:rsidRPr="001A0FBB">
        <w:rPr>
          <w:noProof/>
        </w:rPr>
        <w:t>Centre technique en adaptation et accessibilité</w:t>
      </w:r>
      <w:r w:rsidR="00607C4B">
        <w:rPr>
          <w:noProof/>
        </w:rPr>
        <w:t>»</w:t>
      </w:r>
      <w:r w:rsidR="001A0FBB" w:rsidRPr="001A0FBB">
        <w:rPr>
          <w:noProof/>
        </w:rPr>
        <w:t xml:space="preserve"> (CTAA) des CPHV, des Westschweizer Kompetenzzentrums für Vision und Inklusion, die Aufgabe, Dokumente individuell anzupassen, damit sie zugänglich sind. Um </w:t>
      </w:r>
      <w:r w:rsidR="001E6938">
        <w:rPr>
          <w:noProof/>
        </w:rPr>
        <w:t>diesen</w:t>
      </w:r>
      <w:r w:rsidR="001A0FBB" w:rsidRPr="001A0FBB">
        <w:rPr>
          <w:noProof/>
        </w:rPr>
        <w:t xml:space="preserve"> Auftrag zu erfüllen und die Lehrkräfte dabei zu unterstützen, Informationen zugänglich zu machen, hat das CPHV eine Schulung entwickelt</w:t>
      </w:r>
      <w:r w:rsidR="001E6938">
        <w:rPr>
          <w:noProof/>
        </w:rPr>
        <w:t>. Die Lehrpersonen</w:t>
      </w:r>
      <w:r w:rsidR="001A0FBB" w:rsidRPr="001A0FBB">
        <w:rPr>
          <w:noProof/>
        </w:rPr>
        <w:t xml:space="preserve"> lernen, wie sie von Anfang an inklusive Dokumente erstellen können, die allen Schüler</w:t>
      </w:r>
      <w:r w:rsidR="00D95090">
        <w:rPr>
          <w:noProof/>
        </w:rPr>
        <w:t>:inne</w:t>
      </w:r>
      <w:r w:rsidR="001A0FBB" w:rsidRPr="001A0FBB">
        <w:rPr>
          <w:noProof/>
        </w:rPr>
        <w:t>n zugute kommen.</w:t>
      </w:r>
    </w:p>
    <w:p w14:paraId="0DC0C099" w14:textId="746D21DB" w:rsidR="00EA4676" w:rsidRPr="005F1F98" w:rsidRDefault="00EA4676" w:rsidP="00985270">
      <w:pPr>
        <w:pStyle w:val="Corpsdetexte3"/>
        <w:rPr>
          <w:noProof/>
        </w:rPr>
      </w:pPr>
      <w:r w:rsidRPr="005F1F98">
        <w:rPr>
          <w:rStyle w:val="lev"/>
          <w:rFonts w:eastAsiaTheme="minorEastAsia" w:cs="Open Sans SemiCondensed"/>
          <w:noProof/>
        </w:rPr>
        <w:t>Keywords</w:t>
      </w:r>
      <w:r w:rsidRPr="005F1F98">
        <w:rPr>
          <w:noProof/>
        </w:rPr>
        <w:t xml:space="preserve">: </w:t>
      </w:r>
      <w:r w:rsidR="00A937F4" w:rsidRPr="005F1F98">
        <w:rPr>
          <w:noProof/>
        </w:rPr>
        <w:t>accessibilité,</w:t>
      </w:r>
      <w:r w:rsidR="00037AE3" w:rsidRPr="005F1F98">
        <w:rPr>
          <w:noProof/>
        </w:rPr>
        <w:t xml:space="preserve"> </w:t>
      </w:r>
      <w:r w:rsidR="008B7AE0" w:rsidRPr="005F1F98">
        <w:rPr>
          <w:noProof/>
        </w:rPr>
        <w:t xml:space="preserve">conception universelle de l'apprentissage, </w:t>
      </w:r>
      <w:r w:rsidR="00B36315" w:rsidRPr="005F1F98">
        <w:rPr>
          <w:noProof/>
        </w:rPr>
        <w:t xml:space="preserve">déficience visuelle, </w:t>
      </w:r>
      <w:r w:rsidR="00935942" w:rsidRPr="005F1F98">
        <w:rPr>
          <w:noProof/>
        </w:rPr>
        <w:t>formation continue</w:t>
      </w:r>
      <w:r w:rsidR="00833049" w:rsidRPr="005F1F98">
        <w:rPr>
          <w:noProof/>
        </w:rPr>
        <w:t xml:space="preserve"> </w:t>
      </w:r>
      <w:r w:rsidR="00037AE3" w:rsidRPr="005F1F98">
        <w:rPr>
          <w:noProof/>
        </w:rPr>
        <w:t xml:space="preserve">/ </w:t>
      </w:r>
      <w:r w:rsidR="00A937F4" w:rsidRPr="005F1F98">
        <w:rPr>
          <w:noProof/>
        </w:rPr>
        <w:t>Barrierefreiheit,</w:t>
      </w:r>
      <w:r w:rsidR="00037AE3" w:rsidRPr="005F1F98">
        <w:rPr>
          <w:noProof/>
        </w:rPr>
        <w:t xml:space="preserve"> </w:t>
      </w:r>
      <w:r w:rsidR="008B7AE0" w:rsidRPr="005F1F98">
        <w:rPr>
          <w:noProof/>
        </w:rPr>
        <w:t>Universal Design for Learning</w:t>
      </w:r>
      <w:r w:rsidR="00935942" w:rsidRPr="005F1F98">
        <w:rPr>
          <w:noProof/>
        </w:rPr>
        <w:t xml:space="preserve">, </w:t>
      </w:r>
      <w:r w:rsidR="00B36315" w:rsidRPr="005F1F98">
        <w:rPr>
          <w:noProof/>
        </w:rPr>
        <w:t>Seh</w:t>
      </w:r>
      <w:r w:rsidR="005F1F98" w:rsidRPr="005F1F98">
        <w:rPr>
          <w:noProof/>
        </w:rPr>
        <w:t>b</w:t>
      </w:r>
      <w:r w:rsidR="005F1F98" w:rsidRPr="006936DF">
        <w:rPr>
          <w:noProof/>
        </w:rPr>
        <w:t>eeinträchtig</w:t>
      </w:r>
      <w:r w:rsidR="005F1F98">
        <w:rPr>
          <w:noProof/>
        </w:rPr>
        <w:t>ung</w:t>
      </w:r>
      <w:r w:rsidR="00B36315" w:rsidRPr="005F1F98">
        <w:rPr>
          <w:noProof/>
        </w:rPr>
        <w:t xml:space="preserve">, </w:t>
      </w:r>
      <w:r w:rsidR="00935942" w:rsidRPr="005F1F98">
        <w:rPr>
          <w:noProof/>
        </w:rPr>
        <w:t>Weiterbildung</w:t>
      </w:r>
    </w:p>
    <w:p w14:paraId="36A96B53" w14:textId="58B26278" w:rsidR="001D3BFB" w:rsidRPr="00985270" w:rsidRDefault="00EA4676" w:rsidP="00985270">
      <w:pPr>
        <w:pStyle w:val="Corpsdetexte3"/>
        <w:rPr>
          <w:bCs/>
          <w:iCs/>
          <w:noProof/>
          <w:lang w:val="fr-CH"/>
        </w:rPr>
      </w:pPr>
      <w:r w:rsidRPr="00985270">
        <w:rPr>
          <w:rStyle w:val="lev"/>
          <w:rFonts w:eastAsiaTheme="minorEastAsia" w:cs="Open Sans SemiCondensed"/>
          <w:noProof/>
          <w:lang w:val="fr-CH"/>
        </w:rPr>
        <w:t>DOI</w:t>
      </w:r>
      <w:r w:rsidRPr="00985270">
        <w:rPr>
          <w:noProof/>
          <w:lang w:val="fr-CH"/>
        </w:rPr>
        <w:t xml:space="preserve">: </w:t>
      </w:r>
      <w:hyperlink r:id="rId11" w:history="1">
        <w:r w:rsidR="00144640" w:rsidRPr="001A0FBB">
          <w:rPr>
            <w:rStyle w:val="Lienhypertexte"/>
            <w:lang w:val="fr-CH"/>
          </w:rPr>
          <w:t>https://doi.org/10.57161/r2024-03-02</w:t>
        </w:r>
      </w:hyperlink>
    </w:p>
    <w:p w14:paraId="1C871C68" w14:textId="657A1982" w:rsidR="00EA4676" w:rsidRPr="00985270" w:rsidRDefault="00EA4676" w:rsidP="00985270">
      <w:pPr>
        <w:pStyle w:val="Corpsdetexte3"/>
        <w:rPr>
          <w:noProof/>
          <w:lang w:val="fr-CH"/>
        </w:rPr>
      </w:pPr>
      <w:r w:rsidRPr="00985270">
        <w:rPr>
          <w:noProof/>
          <w:lang w:val="fr-CH"/>
        </w:rPr>
        <w:t xml:space="preserve">Revue Suisse de Pédagogie Spécialisée, Vol. </w:t>
      </w:r>
      <w:r w:rsidR="00037AE3" w:rsidRPr="00985270">
        <w:rPr>
          <w:noProof/>
          <w:lang w:val="fr-CH"/>
        </w:rPr>
        <w:t>14</w:t>
      </w:r>
      <w:r w:rsidRPr="00985270">
        <w:rPr>
          <w:noProof/>
          <w:lang w:val="fr-CH"/>
        </w:rPr>
        <w:t xml:space="preserve">, </w:t>
      </w:r>
      <w:r w:rsidR="00037AE3" w:rsidRPr="00985270">
        <w:rPr>
          <w:noProof/>
          <w:lang w:val="fr-CH"/>
        </w:rPr>
        <w:t>0</w:t>
      </w:r>
      <w:r w:rsidR="00BB3CAC" w:rsidRPr="00985270">
        <w:rPr>
          <w:noProof/>
          <w:lang w:val="fr-CH"/>
        </w:rPr>
        <w:t>3</w:t>
      </w:r>
      <w:r w:rsidRPr="00985270">
        <w:rPr>
          <w:noProof/>
          <w:lang w:val="fr-CH"/>
        </w:rPr>
        <w:t>/</w:t>
      </w:r>
      <w:r w:rsidR="00037AE3" w:rsidRPr="00985270">
        <w:rPr>
          <w:noProof/>
          <w:lang w:val="fr-CH"/>
        </w:rPr>
        <w:t>2024</w:t>
      </w:r>
    </w:p>
    <w:p w14:paraId="06597FAD" w14:textId="77777777" w:rsidR="000E6A66" w:rsidRPr="00985270" w:rsidRDefault="000E6A66" w:rsidP="00985270">
      <w:pPr>
        <w:pStyle w:val="Corpsdetexte3"/>
        <w:rPr>
          <w:noProof/>
          <w:lang w:val="fr-CH"/>
        </w:rPr>
      </w:pPr>
      <w:r w:rsidRPr="00985270">
        <w:rPr>
          <w:noProof/>
          <w:lang w:val="fr-CH"/>
        </w:rPr>
        <w:drawing>
          <wp:inline distT="0" distB="0" distL="0" distR="0" wp14:anchorId="2C128E5F" wp14:editId="5EECA89A">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5E451C4C" w14:textId="430B339A" w:rsidR="00E36EF3" w:rsidRPr="00985270" w:rsidRDefault="00E36EF3" w:rsidP="00985270">
      <w:pPr>
        <w:pStyle w:val="Titre1"/>
        <w:rPr>
          <w:rFonts w:eastAsiaTheme="minorEastAsia"/>
          <w:noProof/>
          <w:lang w:val="fr-CH"/>
        </w:rPr>
      </w:pPr>
      <w:r w:rsidRPr="00985270">
        <w:rPr>
          <w:rFonts w:eastAsiaTheme="minorEastAsia"/>
          <w:noProof/>
          <w:lang w:val="fr-CH"/>
        </w:rPr>
        <w:t>Accessibilité universelle et éducation inclusive</w:t>
      </w:r>
    </w:p>
    <w:p w14:paraId="4093B5BD" w14:textId="77777777" w:rsidR="00AD1813" w:rsidRPr="00985270" w:rsidRDefault="00AD1813" w:rsidP="00985270">
      <w:pPr>
        <w:pStyle w:val="Corpsdetexte"/>
        <w:rPr>
          <w:noProof/>
          <w:lang w:val="fr-CH"/>
        </w:rPr>
      </w:pPr>
      <w:r w:rsidRPr="00985270">
        <w:rPr>
          <w:noProof/>
          <w:lang w:val="fr-CH"/>
        </w:rPr>
        <w:t xml:space="preserve">L’architecte Ronald L. Mace (1985) est à l’origine du concept de la Conception Universelle (CU) ou </w:t>
      </w:r>
      <w:r w:rsidRPr="00985270">
        <w:rPr>
          <w:i/>
          <w:iCs/>
          <w:noProof/>
          <w:lang w:val="fr-CH"/>
        </w:rPr>
        <w:t>Universal Design</w:t>
      </w:r>
      <w:r w:rsidRPr="00985270">
        <w:rPr>
          <w:noProof/>
          <w:lang w:val="fr-CH"/>
        </w:rPr>
        <w:t xml:space="preserve"> revendiquant l’accessibilité, l’inclusion et les droits pour toutes et tous dans l’accès au bâti (Winance, 2014). Penser un environnement qui soit inclusif dès sa conception, en imposant des normes d’accessibilité à sa création, permettrait de s’affranchir d’adaptations ou d’aménagements ultérieurs et surtout d’éviter toute forme de discrimination. Dès les années 1990, la CU s’est étendue au domaine de l’éducation à travers la Conception Universelle de l’Apprentissage (CUA) ou </w:t>
      </w:r>
      <w:r w:rsidRPr="00985270">
        <w:rPr>
          <w:i/>
          <w:noProof/>
          <w:lang w:val="fr-CH"/>
        </w:rPr>
        <w:t>Universal Design for Learning</w:t>
      </w:r>
      <w:r w:rsidRPr="00985270">
        <w:rPr>
          <w:noProof/>
          <w:lang w:val="fr-CH"/>
        </w:rPr>
        <w:t xml:space="preserve"> (UDL) en anglais. </w:t>
      </w:r>
    </w:p>
    <w:p w14:paraId="2AA64EB5" w14:textId="222EDD7B" w:rsidR="00A9776C" w:rsidRPr="00985270" w:rsidRDefault="00AD1813" w:rsidP="00985270">
      <w:pPr>
        <w:pStyle w:val="Corpsdetexte"/>
        <w:rPr>
          <w:noProof/>
          <w:lang w:val="fr-CH" w:eastAsia="fr-FR"/>
        </w:rPr>
      </w:pPr>
      <w:r w:rsidRPr="00985270">
        <w:rPr>
          <w:noProof/>
          <w:lang w:val="fr-CH" w:eastAsia="fr-FR"/>
        </w:rPr>
        <w:t>À travers un postulat central d’universalité des apprentissages, la CUA offre un cadre de réflexion et de planification de l’enseignement qui vise à créer des environnements scolaires inclusifs, accessibles et flexibles, qui répond aux besoins de l’ensemble des apprenantes et apprenants</w:t>
      </w:r>
      <w:r w:rsidRPr="00985270">
        <w:rPr>
          <w:noProof/>
          <w:lang w:val="fr-CH"/>
        </w:rPr>
        <w:t xml:space="preserve"> (</w:t>
      </w:r>
      <w:r w:rsidRPr="00985270">
        <w:rPr>
          <w:i/>
          <w:iCs/>
          <w:noProof/>
          <w:lang w:val="fr-CH" w:eastAsia="fr-FR"/>
        </w:rPr>
        <w:t>Center for Applied Special Technology</w:t>
      </w:r>
      <w:r w:rsidRPr="00985270">
        <w:rPr>
          <w:noProof/>
          <w:lang w:val="fr-CH" w:eastAsia="fr-FR"/>
        </w:rPr>
        <w:t>, CAST, 2018). Elle propose de concevoir l’apprentissage au travers de trois grands principes (Bergeron et al., 2011).</w:t>
      </w:r>
    </w:p>
    <w:p w14:paraId="7AF373FF" w14:textId="77777777" w:rsidR="00A9776C" w:rsidRPr="00985270" w:rsidRDefault="00A9776C" w:rsidP="00985270">
      <w:pPr>
        <w:rPr>
          <w:noProof/>
          <w:lang w:val="fr-CH" w:eastAsia="fr-FR"/>
        </w:rPr>
      </w:pPr>
      <w:r w:rsidRPr="00985270">
        <w:rPr>
          <w:noProof/>
          <w:lang w:val="fr-CH" w:eastAsia="fr-FR"/>
        </w:rPr>
        <w:br w:type="page"/>
      </w:r>
    </w:p>
    <w:p w14:paraId="11E934C4" w14:textId="77777777" w:rsidR="00BC7E8E" w:rsidRPr="00985270" w:rsidRDefault="00BC7E8E" w:rsidP="00985270">
      <w:pPr>
        <w:pStyle w:val="Listenumros"/>
        <w:rPr>
          <w:noProof/>
          <w:lang w:eastAsia="fr-FR"/>
        </w:rPr>
      </w:pPr>
      <w:r w:rsidRPr="00985270">
        <w:rPr>
          <w:noProof/>
          <w:lang w:eastAsia="fr-FR"/>
        </w:rPr>
        <w:lastRenderedPageBreak/>
        <w:t>Le QUOI vise à offrir plusieurs moyens de présentation de l’information et des concepts, puisque les individus la perçoivent et la comprennent différemment.</w:t>
      </w:r>
    </w:p>
    <w:p w14:paraId="3A99EC7B" w14:textId="77777777" w:rsidR="00BC7E8E" w:rsidRPr="00985270" w:rsidRDefault="00BC7E8E" w:rsidP="00985270">
      <w:pPr>
        <w:pStyle w:val="Listenumros"/>
        <w:rPr>
          <w:noProof/>
          <w:lang w:eastAsia="fr-FR"/>
        </w:rPr>
      </w:pPr>
      <w:r w:rsidRPr="00985270">
        <w:rPr>
          <w:noProof/>
          <w:lang w:eastAsia="fr-FR"/>
        </w:rPr>
        <w:t>Le COMMENT s’articule autour des moyens d’action et d’expression en variant les méthodes de réaction et d’interaction, en soutenant la planification de l’action et la gestion de l’information.</w:t>
      </w:r>
    </w:p>
    <w:p w14:paraId="3E11F87F" w14:textId="77777777" w:rsidR="00BC7E8E" w:rsidRPr="00985270" w:rsidRDefault="00BC7E8E" w:rsidP="00985270">
      <w:pPr>
        <w:pStyle w:val="Listenumros"/>
        <w:rPr>
          <w:noProof/>
          <w:lang w:eastAsia="fr-FR"/>
        </w:rPr>
      </w:pPr>
      <w:r w:rsidRPr="00985270">
        <w:rPr>
          <w:noProof/>
          <w:lang w:eastAsia="fr-FR"/>
        </w:rPr>
        <w:t xml:space="preserve">Le POURQUOI propose des moyens d’engagement pour la détermination et la motivation à apprendre en soutenant, par exemple, les efforts et la persévérance. </w:t>
      </w:r>
    </w:p>
    <w:p w14:paraId="31B1C958" w14:textId="77777777" w:rsidR="00A535B5" w:rsidRPr="00985270" w:rsidRDefault="00BC7E8E" w:rsidP="00985270">
      <w:pPr>
        <w:rPr>
          <w:noProof/>
          <w:lang w:val="fr-CH"/>
        </w:rPr>
      </w:pPr>
      <w:r w:rsidRPr="00985270">
        <w:rPr>
          <w:noProof/>
          <w:lang w:val="fr-CH"/>
        </w:rPr>
        <w:t xml:space="preserve">Ainsi, l’éducation inclusive à travers la mise en œuvre de la CUA, vise à créer des conditions favorables pour les apprentissages et la participation sociale et culturelle de toutes et tous, sans distinction (Vienneau, 2010). </w:t>
      </w:r>
    </w:p>
    <w:p w14:paraId="5276FF25" w14:textId="7714AF25" w:rsidR="00BC7E8E" w:rsidRPr="00985270" w:rsidRDefault="00BC7E8E" w:rsidP="00985270">
      <w:pPr>
        <w:rPr>
          <w:noProof/>
          <w:lang w:val="fr-CH"/>
        </w:rPr>
      </w:pPr>
      <w:r w:rsidRPr="00985270">
        <w:rPr>
          <w:noProof/>
          <w:lang w:val="fr-CH"/>
        </w:rPr>
        <w:t>Elle apparait comme la clé de vo</w:t>
      </w:r>
      <w:r w:rsidR="00110567">
        <w:rPr>
          <w:noProof/>
          <w:lang w:val="fr-CH"/>
        </w:rPr>
        <w:t>u</w:t>
      </w:r>
      <w:r w:rsidRPr="00985270">
        <w:rPr>
          <w:noProof/>
          <w:lang w:val="fr-CH"/>
        </w:rPr>
        <w:t xml:space="preserve">te de l’inclusion scolaire qui </w:t>
      </w:r>
      <w:r w:rsidRPr="00985270">
        <w:rPr>
          <w:noProof/>
          <w:lang w:val="fr-CH" w:eastAsia="fr-FR"/>
        </w:rPr>
        <w:t xml:space="preserve">est un droit internationalement reconnu et une réalité croissante en Suisse (Centre suisse de pédagogie spécialisée [CSPS], 2021 ; Organisation des Nations Unies [ONU], 2006 ; </w:t>
      </w:r>
      <w:r w:rsidRPr="00985270">
        <w:rPr>
          <w:noProof/>
          <w:lang w:val="fr-CH"/>
        </w:rPr>
        <w:t>Organisation des Nations unies pour l</w:t>
      </w:r>
      <w:r w:rsidR="00A9186C">
        <w:rPr>
          <w:noProof/>
          <w:lang w:val="fr-CH"/>
        </w:rPr>
        <w:t>’</w:t>
      </w:r>
      <w:r w:rsidRPr="00985270">
        <w:rPr>
          <w:noProof/>
          <w:lang w:val="fr-CH"/>
        </w:rPr>
        <w:t>éducation, la science et la culture</w:t>
      </w:r>
      <w:r w:rsidRPr="00985270">
        <w:rPr>
          <w:noProof/>
          <w:lang w:val="fr-CH" w:eastAsia="fr-FR"/>
        </w:rPr>
        <w:t xml:space="preserve"> [UNESCO], 1994).</w:t>
      </w:r>
    </w:p>
    <w:p w14:paraId="7C36CFE0" w14:textId="77777777" w:rsidR="00252776" w:rsidRPr="00985270" w:rsidRDefault="00252776" w:rsidP="00985270">
      <w:pPr>
        <w:pStyle w:val="Titre1"/>
        <w:rPr>
          <w:rFonts w:eastAsiaTheme="minorEastAsia"/>
          <w:noProof/>
          <w:lang w:val="fr-CH"/>
        </w:rPr>
      </w:pPr>
      <w:r w:rsidRPr="00985270">
        <w:rPr>
          <w:rFonts w:eastAsiaTheme="minorEastAsia"/>
          <w:noProof/>
          <w:lang w:val="fr-CH"/>
        </w:rPr>
        <w:t>Des standards pour la DEVI au service de supports d’enseignements plus inclusifs</w:t>
      </w:r>
    </w:p>
    <w:p w14:paraId="5DD1B777" w14:textId="3BD85A88" w:rsidR="00252776" w:rsidRPr="00985270" w:rsidRDefault="00252776" w:rsidP="00985270">
      <w:pPr>
        <w:pStyle w:val="Corpsdetexte"/>
        <w:rPr>
          <w:noProof/>
          <w:lang w:val="fr-CH" w:eastAsia="fr-FR"/>
        </w:rPr>
      </w:pPr>
      <w:r w:rsidRPr="00985270">
        <w:rPr>
          <w:noProof/>
          <w:lang w:val="fr-CH"/>
        </w:rPr>
        <w:t>Conformément au principe du QUOI, la CUA recommande de rendre accessible l’information en la proposant de diverses manières, notamment à travers plusieurs modalités sensorielles (visuelles, auditives, tactile,…). Ainsi, chacun et chacune peut en prendre connaissance par le moyen qui lui convient le mieux. Il peut s’agir de proposer une version informatique, audio, imagée ou simplifiée d’un texte à lire. Les principaux obstacles rencontrés par les élèves DEVI en inclusion sont l</w:t>
      </w:r>
      <w:r w:rsidR="00A9186C">
        <w:rPr>
          <w:noProof/>
          <w:lang w:val="fr-CH"/>
        </w:rPr>
        <w:t>’</w:t>
      </w:r>
      <w:r w:rsidRPr="00985270">
        <w:rPr>
          <w:noProof/>
          <w:lang w:val="fr-CH"/>
        </w:rPr>
        <w:t>accès et le traitement de l</w:t>
      </w:r>
      <w:r w:rsidR="00A9186C">
        <w:rPr>
          <w:noProof/>
          <w:lang w:val="fr-CH"/>
        </w:rPr>
        <w:t>’</w:t>
      </w:r>
      <w:r w:rsidRPr="00985270">
        <w:rPr>
          <w:noProof/>
          <w:lang w:val="fr-CH"/>
        </w:rPr>
        <w:t>information pédagogique, ainsi que l</w:t>
      </w:r>
      <w:r w:rsidR="00A9186C">
        <w:rPr>
          <w:noProof/>
          <w:lang w:val="fr-CH"/>
        </w:rPr>
        <w:t>’</w:t>
      </w:r>
      <w:r w:rsidRPr="00985270">
        <w:rPr>
          <w:noProof/>
          <w:lang w:val="fr-CH"/>
        </w:rPr>
        <w:t>interaction avec les contenus (Castillan et al., 2018). L</w:t>
      </w:r>
      <w:r w:rsidRPr="00985270">
        <w:rPr>
          <w:noProof/>
          <w:lang w:val="fr-CH" w:eastAsia="fr-FR"/>
        </w:rPr>
        <w:t xml:space="preserve">e </w:t>
      </w:r>
      <w:r w:rsidRPr="00985270">
        <w:rPr>
          <w:noProof/>
          <w:lang w:val="fr-CH"/>
        </w:rPr>
        <w:t xml:space="preserve">CTAA du CPHV adapte donc les supports d’enseignement, notamment les manuels scolaires, pour ces élèves. Comme </w:t>
      </w:r>
      <w:r w:rsidRPr="00985270">
        <w:rPr>
          <w:noProof/>
          <w:lang w:val="fr-CH" w:eastAsia="fr-FR"/>
        </w:rPr>
        <w:t xml:space="preserve">ni les maisons d’édition, ni le corps enseignant ne disposaient de standards éprouvés de conception inclusive, c’est-à-dire de préconisations, de règles et d’attributs (par exemple, police, styles utilisés) à appliquer à un document pour le rendre inclusif, le CTAA les a développés. Pour cela, il s’est appuyé sur les préconisations de la CUA dans le domaine de la présentation (principe du QUOI) et les a combinés aux standards liés à la production du Braille (Commission Évolution du Braille Français, 2008) ainsi qu’aux </w:t>
      </w:r>
      <w:hyperlink r:id="rId14" w:history="1">
        <w:r w:rsidRPr="001A0FBB">
          <w:rPr>
            <w:rStyle w:val="Lienhypertexte"/>
            <w:lang w:val="fr-CH"/>
          </w:rPr>
          <w:t>règles pour l’accessibilité des contenus Web (WCAG) version 2.1.</w:t>
        </w:r>
      </w:hyperlink>
      <w:r w:rsidRPr="00985270">
        <w:rPr>
          <w:noProof/>
          <w:lang w:val="fr-CH" w:eastAsia="fr-FR"/>
        </w:rPr>
        <w:t xml:space="preserve"> Sur ces bases, les principes généraux suivants ont été retenus : </w:t>
      </w:r>
    </w:p>
    <w:p w14:paraId="51782A12" w14:textId="77777777" w:rsidR="00252776" w:rsidRPr="00985270" w:rsidRDefault="00252776" w:rsidP="00985270">
      <w:pPr>
        <w:pStyle w:val="Liste"/>
        <w:rPr>
          <w:noProof/>
          <w:lang w:val="fr-CH" w:eastAsia="fr-FR"/>
        </w:rPr>
      </w:pPr>
      <w:r w:rsidRPr="00985270">
        <w:rPr>
          <w:noProof/>
          <w:lang w:val="fr-CH" w:eastAsia="fr-FR"/>
        </w:rPr>
        <w:t>mettre à disposition un document modifiable avec une structure claire pour faciliter la navigation (niveau de titres, pagination…) ;</w:t>
      </w:r>
    </w:p>
    <w:p w14:paraId="09F2C637" w14:textId="056BAECF" w:rsidR="00252776" w:rsidRPr="00985270" w:rsidRDefault="00252776" w:rsidP="00985270">
      <w:pPr>
        <w:pStyle w:val="Liste"/>
        <w:rPr>
          <w:noProof/>
          <w:lang w:val="fr-CH" w:eastAsia="fr-FR"/>
        </w:rPr>
      </w:pPr>
      <w:r w:rsidRPr="00985270">
        <w:rPr>
          <w:noProof/>
          <w:lang w:val="fr-CH" w:eastAsia="fr-FR"/>
        </w:rPr>
        <w:t>présenter l’information de manière à maintenir l</w:t>
      </w:r>
      <w:r w:rsidR="00A9186C">
        <w:rPr>
          <w:noProof/>
          <w:lang w:val="fr-CH" w:eastAsia="fr-FR"/>
        </w:rPr>
        <w:t>’</w:t>
      </w:r>
      <w:r w:rsidRPr="00985270">
        <w:rPr>
          <w:noProof/>
          <w:lang w:val="fr-CH" w:eastAsia="fr-FR"/>
        </w:rPr>
        <w:t>intégrité des unités de sens, par exemple en plaçant les consignes et les exercices sur la même page ;</w:t>
      </w:r>
    </w:p>
    <w:p w14:paraId="41AADF02" w14:textId="2C69F08F" w:rsidR="00252776" w:rsidRPr="00985270" w:rsidRDefault="00252776" w:rsidP="00985270">
      <w:pPr>
        <w:pStyle w:val="Liste"/>
        <w:rPr>
          <w:noProof/>
          <w:lang w:val="fr-CH" w:eastAsia="fr-FR"/>
        </w:rPr>
      </w:pPr>
      <w:r w:rsidRPr="00985270">
        <w:rPr>
          <w:noProof/>
          <w:lang w:val="fr-CH" w:eastAsia="fr-FR"/>
        </w:rPr>
        <w:t>rendre l</w:t>
      </w:r>
      <w:r w:rsidR="00A9186C">
        <w:rPr>
          <w:noProof/>
          <w:lang w:val="fr-CH" w:eastAsia="fr-FR"/>
        </w:rPr>
        <w:t>’</w:t>
      </w:r>
      <w:r w:rsidRPr="00985270">
        <w:rPr>
          <w:noProof/>
          <w:lang w:val="fr-CH" w:eastAsia="fr-FR"/>
        </w:rPr>
        <w:t>information visuelle accessible, en adaptant les caractéristiques des éléments du document, telles que les styles et la police, le contraste et l’alignement à gauche ;</w:t>
      </w:r>
    </w:p>
    <w:p w14:paraId="533A1DF3" w14:textId="77777777" w:rsidR="00252776" w:rsidRPr="00985270" w:rsidRDefault="00252776" w:rsidP="00985270">
      <w:pPr>
        <w:pStyle w:val="Liste"/>
        <w:rPr>
          <w:noProof/>
          <w:lang w:val="fr-CH" w:eastAsia="fr-FR"/>
        </w:rPr>
      </w:pPr>
      <w:r w:rsidRPr="00985270">
        <w:rPr>
          <w:noProof/>
          <w:lang w:val="fr-CH" w:eastAsia="fr-FR"/>
        </w:rPr>
        <w:t>conserver uniquement les images pédagogiquement pertinentes ou de très bonne qualité, en leur ajoutant un texte alternatif.</w:t>
      </w:r>
    </w:p>
    <w:p w14:paraId="779BE564" w14:textId="77777777" w:rsidR="00252776" w:rsidRPr="00985270" w:rsidRDefault="00252776" w:rsidP="00985270">
      <w:pPr>
        <w:pStyle w:val="Corpsdetexte"/>
        <w:rPr>
          <w:noProof/>
          <w:lang w:val="fr-CH" w:eastAsia="fr-FR"/>
        </w:rPr>
      </w:pPr>
      <w:r w:rsidRPr="00985270">
        <w:rPr>
          <w:noProof/>
          <w:lang w:val="fr-CH" w:eastAsia="fr-FR"/>
        </w:rPr>
        <w:t xml:space="preserve">Le CTAA a ainsi appliqué ces standards à certains ouvrages scolaires et les a mis à disposition des élèves à besoins éducatifs particuliers de Suisse romande via la </w:t>
      </w:r>
      <w:hyperlink r:id="rId15" w:history="1">
        <w:r w:rsidRPr="001A0FBB">
          <w:rPr>
            <w:rStyle w:val="Lienhypertexte"/>
            <w:lang w:val="fr-CH"/>
          </w:rPr>
          <w:t xml:space="preserve">plateforme </w:t>
        </w:r>
        <w:proofErr w:type="spellStart"/>
        <w:r w:rsidRPr="001A0FBB">
          <w:rPr>
            <w:rStyle w:val="Lienhypertexte"/>
            <w:lang w:val="fr-CH"/>
          </w:rPr>
          <w:t>Booxaa</w:t>
        </w:r>
        <w:proofErr w:type="spellEnd"/>
      </w:hyperlink>
      <w:r w:rsidRPr="00985270">
        <w:rPr>
          <w:noProof/>
          <w:lang w:val="fr-CH" w:eastAsia="fr-FR"/>
        </w:rPr>
        <w:t xml:space="preserve">©. Ces documents ne sont pas partageables du fait de la loi sur les droits d’auteurs. De plus, les manuels scolaires ne sont qu’une partie des documents pédagogiques utilisés dans les classes, le corps enseignant en produisant au quotidien pour son usage propre. Le CPHV a donc cherché à diffuser son expertise en accessibilité à plus large échelle en proposant au corps enseignant de l’école régulière une formation pour apprendre à concevoir des documents plus inclusifs pour le bénéfice de l’ensemble des élèves. </w:t>
      </w:r>
    </w:p>
    <w:p w14:paraId="50EF8FB6" w14:textId="77777777" w:rsidR="00A9776C" w:rsidRPr="00985270" w:rsidRDefault="00A9776C" w:rsidP="00985270">
      <w:pPr>
        <w:rPr>
          <w:noProof/>
          <w:szCs w:val="32"/>
          <w:lang w:val="fr-CH"/>
        </w:rPr>
      </w:pPr>
      <w:r w:rsidRPr="00985270">
        <w:rPr>
          <w:noProof/>
          <w:lang w:val="fr-CH"/>
        </w:rPr>
        <w:br w:type="page"/>
      </w:r>
    </w:p>
    <w:p w14:paraId="32BC1FAB" w14:textId="2C9E5354" w:rsidR="00252776" w:rsidRPr="00985270" w:rsidRDefault="00252776" w:rsidP="00985270">
      <w:pPr>
        <w:pStyle w:val="Titre1"/>
        <w:rPr>
          <w:rFonts w:eastAsiaTheme="minorEastAsia"/>
          <w:noProof/>
          <w:lang w:val="fr-CH"/>
        </w:rPr>
      </w:pPr>
      <w:r w:rsidRPr="00985270">
        <w:rPr>
          <w:rFonts w:eastAsiaTheme="minorEastAsia"/>
          <w:noProof/>
          <w:lang w:val="fr-CH"/>
        </w:rPr>
        <w:lastRenderedPageBreak/>
        <w:t>Contexte de la recherche</w:t>
      </w:r>
    </w:p>
    <w:p w14:paraId="7617C426" w14:textId="23D4A047" w:rsidR="00252776" w:rsidRPr="00985270" w:rsidRDefault="00252776" w:rsidP="00985270">
      <w:pPr>
        <w:pStyle w:val="Corpsdetexte"/>
        <w:rPr>
          <w:noProof/>
          <w:lang w:val="fr-CH"/>
        </w:rPr>
      </w:pPr>
      <w:r w:rsidRPr="00985270">
        <w:rPr>
          <w:noProof/>
          <w:lang w:val="fr-CH" w:eastAsia="fr-FR"/>
        </w:rPr>
        <w:t xml:space="preserve">En référence à la Loi fédérale sur l’égalité pour les personnes handicapées (LHand, 2022), la Loi sur la pédagogie spécialisée (LPS, 2020) et l’article 98 de la Loi sur l’enseignement obligatoire (LEO, 2011), le concept 360° du canton de Vaud (2019) </w:t>
      </w:r>
      <w:r w:rsidRPr="00985270">
        <w:rPr>
          <w:noProof/>
          <w:lang w:val="fr-CH"/>
        </w:rPr>
        <w:t>mobilise les centres de compétences (CC) pour soutenir l’école régulière dans sa transition vers l’inclusion. Jouant son rôle de CC, le CPHV a proposé un dispositif de formation et d’accompagnement à un collège pilote du canton de Neuchâtel. Après l’acquisition d’apports théoriques en e-learning, les apprenantes ont rapidement été à même de créer leurs propres documents selon les standards évoqués. Des outils (modèles Microsoft Word® intégrant</w:t>
      </w:r>
      <w:r w:rsidR="00A9186C">
        <w:rPr>
          <w:noProof/>
          <w:lang w:val="fr-CH"/>
        </w:rPr>
        <w:t>s</w:t>
      </w:r>
      <w:r w:rsidRPr="00985270">
        <w:rPr>
          <w:noProof/>
          <w:lang w:val="fr-CH"/>
        </w:rPr>
        <w:t xml:space="preserve"> des macros) créés par le CTAA et facilitant</w:t>
      </w:r>
      <w:r w:rsidR="00A9186C">
        <w:rPr>
          <w:noProof/>
          <w:lang w:val="fr-CH"/>
        </w:rPr>
        <w:t>s</w:t>
      </w:r>
      <w:r w:rsidRPr="00985270">
        <w:rPr>
          <w:noProof/>
          <w:lang w:val="fr-CH"/>
        </w:rPr>
        <w:t xml:space="preserve"> la conception de documents inclusifs ont été fournis et leur utilisation entrainée lors d’ateliers en présentiel. Enfin, un accompagnement personnalisé a été assuré sur site durant le reste de l’année scolaire. Une analyse des documents distribués en classe avant et après cette période de formation a permis d’évaluer l’efficacité du dispositif sur le niveau d’accessibilité des documents produits par le corps enseignant formé. La suite de cet article présente la méthode d’analyse des documents ainsi que les résultats obtenus. </w:t>
      </w:r>
    </w:p>
    <w:p w14:paraId="08CCEEA1" w14:textId="77777777" w:rsidR="00252776" w:rsidRPr="00985270" w:rsidRDefault="00252776" w:rsidP="00985270">
      <w:pPr>
        <w:pStyle w:val="Titre1"/>
        <w:rPr>
          <w:rFonts w:eastAsiaTheme="minorEastAsia"/>
          <w:noProof/>
          <w:lang w:val="fr-CH"/>
        </w:rPr>
      </w:pPr>
      <w:r w:rsidRPr="00985270">
        <w:rPr>
          <w:rFonts w:eastAsiaTheme="minorEastAsia"/>
          <w:noProof/>
          <w:lang w:val="fr-CH"/>
        </w:rPr>
        <w:t xml:space="preserve">Méthode </w:t>
      </w:r>
    </w:p>
    <w:p w14:paraId="38EB3DAD" w14:textId="77777777" w:rsidR="00252776" w:rsidRPr="00985270" w:rsidRDefault="00252776" w:rsidP="00985270">
      <w:pPr>
        <w:pStyle w:val="Corpsdetexte"/>
        <w:rPr>
          <w:noProof/>
          <w:lang w:val="fr-CH" w:eastAsia="fr-FR"/>
        </w:rPr>
      </w:pPr>
      <w:r w:rsidRPr="00985270">
        <w:rPr>
          <w:noProof/>
          <w:u w:val="single"/>
          <w:lang w:val="fr-CH" w:eastAsia="fr-FR"/>
        </w:rPr>
        <w:t>Participantes </w:t>
      </w:r>
      <w:r w:rsidRPr="00985270">
        <w:rPr>
          <w:noProof/>
          <w:lang w:val="fr-CH" w:eastAsia="fr-FR"/>
        </w:rPr>
        <w:t xml:space="preserve">: </w:t>
      </w:r>
      <w:r w:rsidRPr="00985270">
        <w:rPr>
          <w:noProof/>
          <w:lang w:val="fr-CH"/>
        </w:rPr>
        <w:t>8 enseignantes de 3H à 8H d’un collège du canton de Neuchâtel ont participé à la formation et</w:t>
      </w:r>
      <w:r w:rsidRPr="00985270">
        <w:rPr>
          <w:noProof/>
          <w:lang w:val="fr-CH" w:eastAsia="fr-FR"/>
        </w:rPr>
        <w:t xml:space="preserve"> au projet de recherche. </w:t>
      </w:r>
    </w:p>
    <w:p w14:paraId="33A9EF9D" w14:textId="77777777" w:rsidR="00252776" w:rsidRPr="00985270" w:rsidRDefault="00252776" w:rsidP="00985270">
      <w:pPr>
        <w:pStyle w:val="Corpsdetexte"/>
        <w:rPr>
          <w:noProof/>
          <w:lang w:val="fr-CH"/>
        </w:rPr>
      </w:pPr>
      <w:r w:rsidRPr="00985270">
        <w:rPr>
          <w:noProof/>
          <w:u w:val="single"/>
          <w:lang w:val="fr-CH"/>
        </w:rPr>
        <w:t>Collecte de données</w:t>
      </w:r>
      <w:r w:rsidRPr="00985270">
        <w:rPr>
          <w:noProof/>
          <w:lang w:val="fr-CH"/>
        </w:rPr>
        <w:t xml:space="preserve"> : l’étude consistait en la récolte, la cotation et l’analyse du niveau d’accessibilité de documents fournis aux élèves dans les classes avant la formation et l’accompagnement dispensé par le CPHV (Temps 1, du 11 au 15 octobre 2021) et après (Temps 2, du 20 au 24 juin 2022). </w:t>
      </w:r>
      <w:r w:rsidRPr="00985270">
        <w:rPr>
          <w:noProof/>
          <w:lang w:val="fr-CH" w:eastAsia="fr-FR"/>
        </w:rPr>
        <w:t xml:space="preserve">Les 8 participantes ont accepté de partager leurs données avec une personne tierce (étudiante de Bachelor en pédagogie spécialisée). </w:t>
      </w:r>
      <w:r w:rsidRPr="00985270">
        <w:rPr>
          <w:noProof/>
          <w:lang w:val="fr-CH"/>
        </w:rPr>
        <w:t xml:space="preserve">Elles ont fourni 54 documents pour analyse (38 documents de 8 enseignantes au T1 ; 16 documents de 4 enseignantes au T2) dont 1 document créé personnellement par chacune. </w:t>
      </w:r>
    </w:p>
    <w:p w14:paraId="195A24BE" w14:textId="77777777" w:rsidR="00252776" w:rsidRPr="00985270" w:rsidRDefault="00252776" w:rsidP="00985270">
      <w:pPr>
        <w:pStyle w:val="Corpsdetexte"/>
        <w:rPr>
          <w:noProof/>
          <w:lang w:val="fr-CH"/>
        </w:rPr>
      </w:pPr>
      <w:r w:rsidRPr="00985270">
        <w:rPr>
          <w:noProof/>
          <w:u w:val="single"/>
          <w:lang w:val="fr-CH" w:eastAsia="fr-FR"/>
        </w:rPr>
        <w:t>Contenu de la formation</w:t>
      </w:r>
      <w:r w:rsidRPr="00985270">
        <w:rPr>
          <w:noProof/>
          <w:lang w:val="fr-CH" w:eastAsia="fr-FR"/>
        </w:rPr>
        <w:t xml:space="preserve"> : les participantes ont suivi un module de </w:t>
      </w:r>
      <w:r w:rsidRPr="00985270">
        <w:rPr>
          <w:i/>
          <w:iCs/>
          <w:noProof/>
          <w:lang w:val="fr-CH" w:eastAsia="fr-FR"/>
        </w:rPr>
        <w:t>e-learning</w:t>
      </w:r>
      <w:r w:rsidRPr="00985270">
        <w:rPr>
          <w:noProof/>
          <w:lang w:val="fr-CH" w:eastAsia="fr-FR"/>
        </w:rPr>
        <w:t xml:space="preserve"> d’une heure environ sur l’accessibilité des documents en lien avec la CUA. Elles ont ensuite participé à deux modules en présentiel, respectivement de 2h30 et de 2h00, sur l’utilisation du modèle Word et des macros du CTAA. </w:t>
      </w:r>
      <w:r w:rsidRPr="00985270">
        <w:rPr>
          <w:noProof/>
          <w:lang w:val="fr-CH"/>
        </w:rPr>
        <w:t>La formation a été dispensée par un transcripteur-adaptateur, c’est-à-dire un technicien spécialisé en adaptation de documents à destination des élèves DEVI, et une enseignante spécialisée en déficit visuel, référente accessibilité du CPHV.</w:t>
      </w:r>
    </w:p>
    <w:p w14:paraId="3240442C" w14:textId="773E6BCC" w:rsidR="00252776" w:rsidRPr="00985270" w:rsidRDefault="00252776" w:rsidP="00985270">
      <w:pPr>
        <w:pStyle w:val="Corpsdetexte"/>
        <w:rPr>
          <w:noProof/>
          <w:lang w:val="fr-CH"/>
        </w:rPr>
      </w:pPr>
      <w:r w:rsidRPr="00985270">
        <w:rPr>
          <w:noProof/>
          <w:u w:val="single"/>
          <w:lang w:val="fr-CH"/>
        </w:rPr>
        <w:t>Instrument d’évaluation</w:t>
      </w:r>
      <w:r w:rsidRPr="00985270">
        <w:rPr>
          <w:noProof/>
          <w:lang w:val="fr-CH"/>
        </w:rPr>
        <w:t xml:space="preserve"> : une grille d’évaluation, nommée « Les 10 critères d’accessibilité des documents</w:t>
      </w:r>
      <w:r w:rsidR="00903452" w:rsidRPr="00985270">
        <w:rPr>
          <w:noProof/>
          <w:lang w:val="fr-CH"/>
        </w:rPr>
        <w:t xml:space="preserve"> </w:t>
      </w:r>
      <w:r w:rsidRPr="00985270">
        <w:rPr>
          <w:noProof/>
          <w:lang w:val="fr-CH"/>
        </w:rPr>
        <w:t xml:space="preserve">», a été préalablement créée par le CTAA selon les standards cités précédemment. Elle consiste à évaluer pour chaque document les éléments suivants : (1) le format, (2) les titres, (3) la police, (4) le contraste, (5) l’alignement, (6) le sens de lecture, (7) les éléments flottants, (8) les unités de sens, (9) les images dénuées de sens et (10) les images porteuses de sens. Chaque critère est évalué sur 2 points (valeur attribuée de 0, 1 ou 2 points) hormis les critères concernant la police, les titres et le format évalués respectivement sur 3, 4 et 5 points pour un total maximum de 26 points par document (Bertrand et al., 2023). </w:t>
      </w:r>
    </w:p>
    <w:p w14:paraId="46647D39" w14:textId="30BA66C0" w:rsidR="006C6D49" w:rsidRPr="00985270" w:rsidRDefault="005F13BD" w:rsidP="002308C5">
      <w:pPr>
        <w:pStyle w:val="WichtigBox"/>
        <w:ind w:right="2665"/>
        <w:jc w:val="left"/>
        <w:rPr>
          <w:noProof/>
        </w:rPr>
      </w:pPr>
      <w:r w:rsidRPr="00985270">
        <w:rPr>
          <w:noProof/>
        </w:rPr>
        <w:drawing>
          <wp:anchor distT="0" distB="0" distL="114300" distR="114300" simplePos="0" relativeHeight="251658240" behindDoc="0" locked="0" layoutInCell="1" allowOverlap="1" wp14:anchorId="20127E94" wp14:editId="62A89BDE">
            <wp:simplePos x="0" y="0"/>
            <wp:positionH relativeFrom="column">
              <wp:posOffset>3535045</wp:posOffset>
            </wp:positionH>
            <wp:positionV relativeFrom="paragraph">
              <wp:posOffset>104775</wp:posOffset>
            </wp:positionV>
            <wp:extent cx="570015" cy="570015"/>
            <wp:effectExtent l="0" t="0" r="1905" b="1905"/>
            <wp:wrapNone/>
            <wp:docPr id="2136977746"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977746" name="Imag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0015" cy="570015"/>
                    </a:xfrm>
                    <a:prstGeom prst="rect">
                      <a:avLst/>
                    </a:prstGeom>
                  </pic:spPr>
                </pic:pic>
              </a:graphicData>
            </a:graphic>
            <wp14:sizeRelH relativeFrom="margin">
              <wp14:pctWidth>0</wp14:pctWidth>
            </wp14:sizeRelH>
            <wp14:sizeRelV relativeFrom="margin">
              <wp14:pctHeight>0</wp14:pctHeight>
            </wp14:sizeRelV>
          </wp:anchor>
        </w:drawing>
      </w:r>
      <w:r w:rsidR="00A535B5" w:rsidRPr="00985270">
        <w:rPr>
          <w:noProof/>
        </w:rPr>
        <w:t xml:space="preserve">La </w:t>
      </w:r>
      <w:hyperlink r:id="rId17" w:history="1">
        <w:r w:rsidR="00A535B5" w:rsidRPr="00985270">
          <w:rPr>
            <w:rStyle w:val="Lienhypertexte"/>
          </w:rPr>
          <w:t>grille</w:t>
        </w:r>
        <w:r w:rsidR="006C6D49" w:rsidRPr="00985270">
          <w:rPr>
            <w:rStyle w:val="Lienhypertexte"/>
          </w:rPr>
          <w:t xml:space="preserve"> d’évaluation « Les 10 critères d’accessibilité des documents</w:t>
        </w:r>
        <w:r w:rsidR="00903452" w:rsidRPr="00985270">
          <w:rPr>
            <w:rStyle w:val="Lienhypertexte"/>
          </w:rPr>
          <w:t xml:space="preserve"> </w:t>
        </w:r>
        <w:r w:rsidR="006C6D49" w:rsidRPr="00985270">
          <w:rPr>
            <w:rStyle w:val="Lienhypertexte"/>
          </w:rPr>
          <w:t>»</w:t>
        </w:r>
        <w:r w:rsidR="006C6D49" w:rsidRPr="002724F0">
          <w:rPr>
            <w:rStyle w:val="Lienhypertexte"/>
            <w:color w:val="auto"/>
          </w:rPr>
          <w:t>,</w:t>
        </w:r>
      </w:hyperlink>
      <w:r w:rsidRPr="00985270">
        <w:rPr>
          <w:noProof/>
        </w:rPr>
        <w:br/>
      </w:r>
      <w:r w:rsidR="00A535B5" w:rsidRPr="00985270">
        <w:rPr>
          <w:noProof/>
        </w:rPr>
        <w:t xml:space="preserve">est téléchargeable </w:t>
      </w:r>
      <w:r w:rsidR="00AF2160" w:rsidRPr="00985270">
        <w:rPr>
          <w:noProof/>
        </w:rPr>
        <w:t>en suivant le lien</w:t>
      </w:r>
      <w:r w:rsidR="002F3C35" w:rsidRPr="00985270">
        <w:rPr>
          <w:noProof/>
        </w:rPr>
        <w:t xml:space="preserve"> précédent</w:t>
      </w:r>
      <w:r w:rsidR="00AF2160" w:rsidRPr="00985270">
        <w:rPr>
          <w:noProof/>
        </w:rPr>
        <w:t xml:space="preserve"> vers le Google Doc </w:t>
      </w:r>
      <w:r w:rsidR="002F3C35" w:rsidRPr="00985270">
        <w:rPr>
          <w:noProof/>
        </w:rPr>
        <w:br/>
      </w:r>
      <w:r w:rsidR="00AF2160" w:rsidRPr="00985270">
        <w:rPr>
          <w:noProof/>
        </w:rPr>
        <w:t>du CPHV ou en scannant le QR code</w:t>
      </w:r>
      <w:r w:rsidRPr="00985270">
        <w:rPr>
          <w:noProof/>
        </w:rPr>
        <w:t xml:space="preserve"> ci-contre</w:t>
      </w:r>
    </w:p>
    <w:p w14:paraId="605E294A" w14:textId="77777777" w:rsidR="00B61EA9" w:rsidRPr="00985270" w:rsidRDefault="00B61EA9" w:rsidP="00985270">
      <w:pPr>
        <w:pStyle w:val="Corpsdetexte"/>
        <w:rPr>
          <w:noProof/>
          <w:lang w:val="fr-CH"/>
        </w:rPr>
      </w:pPr>
      <w:r w:rsidRPr="00985270">
        <w:rPr>
          <w:noProof/>
          <w:u w:val="single"/>
          <w:lang w:val="fr-CH"/>
        </w:rPr>
        <w:t>Niveau d’accessibilité</w:t>
      </w:r>
      <w:r w:rsidRPr="00985270">
        <w:rPr>
          <w:noProof/>
          <w:lang w:val="fr-CH"/>
        </w:rPr>
        <w:t> : à l’issue du processus d’évaluation, chaque document évalué obtenait un score global d’accessibilité sur 26 points, ainsi qu’un score pour chaque critère. Chaque score a été converti en pourcentages pour faciliter les comparaisons.</w:t>
      </w:r>
    </w:p>
    <w:p w14:paraId="1762D8B9" w14:textId="77777777" w:rsidR="00B61EA9" w:rsidRPr="00985270" w:rsidRDefault="00B61EA9" w:rsidP="00985270">
      <w:pPr>
        <w:pStyle w:val="Corpsdetexte"/>
        <w:rPr>
          <w:noProof/>
          <w:lang w:val="fr-CH"/>
        </w:rPr>
      </w:pPr>
      <w:r w:rsidRPr="00985270">
        <w:rPr>
          <w:noProof/>
          <w:u w:val="single"/>
          <w:lang w:val="fr-CH"/>
        </w:rPr>
        <w:t>Catégorie d’accessibilité</w:t>
      </w:r>
      <w:r w:rsidRPr="00985270">
        <w:rPr>
          <w:noProof/>
          <w:lang w:val="fr-CH"/>
        </w:rPr>
        <w:t xml:space="preserve"> : le score sur 26 a été catégorisé sur une échelle d’accessibilité la qualifiant de « mauvaise » (1 à 7 points), « passable » (8 à 13 points), « bonne » (14 à 19 points) ou « très bonne » (20 à 26 points).  </w:t>
      </w:r>
    </w:p>
    <w:p w14:paraId="4620E6B5" w14:textId="77777777" w:rsidR="00B61EA9" w:rsidRPr="00985270" w:rsidRDefault="00B61EA9" w:rsidP="00985270">
      <w:pPr>
        <w:pStyle w:val="Corpsdetexte"/>
        <w:rPr>
          <w:noProof/>
          <w:lang w:val="fr-CH"/>
        </w:rPr>
      </w:pPr>
      <w:r w:rsidRPr="00985270">
        <w:rPr>
          <w:noProof/>
          <w:u w:val="single"/>
          <w:lang w:val="fr-CH"/>
        </w:rPr>
        <w:lastRenderedPageBreak/>
        <w:t>Niveau d’amélioration</w:t>
      </w:r>
      <w:r w:rsidRPr="00985270">
        <w:rPr>
          <w:noProof/>
          <w:lang w:val="fr-CH"/>
        </w:rPr>
        <w:t> : pour quantifier les améliorations, des catégorisées ont été créées : « pas d’amélioration », « amélioration faible (0-5 %) », « amélioration modérée (5 à 10 %) » et « amélioration forte (10 % et plus) ».</w:t>
      </w:r>
    </w:p>
    <w:p w14:paraId="773F7BC0" w14:textId="7A048E1E" w:rsidR="00B61EA9" w:rsidRPr="00985270" w:rsidRDefault="00B61EA9" w:rsidP="00985270">
      <w:pPr>
        <w:pStyle w:val="Corpsdetexte"/>
        <w:rPr>
          <w:noProof/>
          <w:lang w:val="fr-CH"/>
        </w:rPr>
      </w:pPr>
      <w:r w:rsidRPr="00985270">
        <w:rPr>
          <w:noProof/>
          <w:u w:val="single"/>
          <w:lang w:val="fr-CH"/>
        </w:rPr>
        <w:t>Validation de la cotation</w:t>
      </w:r>
      <w:r w:rsidRPr="00985270">
        <w:rPr>
          <w:noProof/>
          <w:lang w:val="fr-CH"/>
        </w:rPr>
        <w:t xml:space="preserve"> : un transcripteur-adaptateur du CTAA a supervisé l’utilisation de la grille. Pour s’assurer de la fidélité de la cotation, un accord interjuges a été effectué entre l’expert et une tierce personne (étudiante de Bachelor en pédagogie spécialisée). La comparaison des scores d’accessibilité sur 6 documents a obtenu un pourcentage moyen d’accord de 71,6 %. Après discussion et objectivation des critères, la comparaison sur 4 nouveaux documents a obtenu un score de 82 % d’accord. L’étudiante a ainsi continué seule la cotation. </w:t>
      </w:r>
    </w:p>
    <w:p w14:paraId="0161EC14" w14:textId="77777777" w:rsidR="00B31B7D" w:rsidRPr="00985270" w:rsidRDefault="00B31B7D" w:rsidP="00985270">
      <w:pPr>
        <w:pStyle w:val="Titre1"/>
        <w:rPr>
          <w:rFonts w:eastAsiaTheme="minorEastAsia"/>
          <w:noProof/>
          <w:szCs w:val="20"/>
          <w:lang w:val="fr-CH"/>
        </w:rPr>
      </w:pPr>
      <w:r w:rsidRPr="00985270">
        <w:rPr>
          <w:rFonts w:eastAsiaTheme="minorEastAsia"/>
          <w:noProof/>
          <w:lang w:val="fr-CH"/>
        </w:rPr>
        <w:t>Résultats et discussion</w:t>
      </w:r>
    </w:p>
    <w:p w14:paraId="24AA6D8B" w14:textId="77777777" w:rsidR="00B31B7D" w:rsidRPr="00985270" w:rsidRDefault="00B31B7D" w:rsidP="00985270">
      <w:pPr>
        <w:pStyle w:val="Titre2"/>
        <w:rPr>
          <w:rFonts w:eastAsiaTheme="minorEastAsia"/>
          <w:noProof/>
          <w:lang w:val="fr-CH"/>
        </w:rPr>
      </w:pPr>
      <w:r w:rsidRPr="00985270">
        <w:rPr>
          <w:rFonts w:eastAsiaTheme="minorEastAsia"/>
          <w:noProof/>
          <w:lang w:val="fr-CH"/>
        </w:rPr>
        <w:t>Analyse portant sur les critères d’accessibilité</w:t>
      </w:r>
    </w:p>
    <w:p w14:paraId="393942C4" w14:textId="1BCD01D9" w:rsidR="00B31B7D" w:rsidRPr="00985270" w:rsidRDefault="00B31B7D" w:rsidP="00985270">
      <w:pPr>
        <w:pStyle w:val="Corpsdetexte"/>
        <w:rPr>
          <w:b/>
          <w:noProof/>
          <w:szCs w:val="24"/>
          <w:lang w:val="fr-CH"/>
        </w:rPr>
      </w:pPr>
      <w:r w:rsidRPr="00985270">
        <w:rPr>
          <w:noProof/>
          <w:lang w:val="fr-CH"/>
        </w:rPr>
        <w:t xml:space="preserve">Le score global moyen d’accessibilité s’est amélioré de 13,14 % entre le T1 et le T2. Le Tableau 1 présente les résultats obtenus avant (T1) et après la formation (T2) pour chaque critère. L’accessibilité des documents a donc globalement augmenté entre le T1 et le T2. </w:t>
      </w:r>
    </w:p>
    <w:p w14:paraId="6D4145DF" w14:textId="03C15797" w:rsidR="00530D5E" w:rsidRPr="00985270" w:rsidRDefault="00530D5E" w:rsidP="00985270">
      <w:pPr>
        <w:pStyle w:val="LegendeTabelle"/>
        <w:rPr>
          <w:noProof/>
          <w:lang w:val="fr-CH"/>
        </w:rPr>
      </w:pPr>
      <w:r w:rsidRPr="00985270">
        <w:rPr>
          <w:noProof/>
          <w:lang w:val="fr-CH"/>
        </w:rPr>
        <w:t xml:space="preserve">Tableau </w:t>
      </w:r>
      <w:r w:rsidRPr="00985270">
        <w:rPr>
          <w:noProof/>
          <w:lang w:val="fr-CH"/>
        </w:rPr>
        <w:fldChar w:fldCharType="begin"/>
      </w:r>
      <w:r w:rsidRPr="00985270">
        <w:rPr>
          <w:noProof/>
          <w:lang w:val="fr-CH"/>
        </w:rPr>
        <w:instrText xml:space="preserve"> SEQ Tableau \* ARABIC </w:instrText>
      </w:r>
      <w:r w:rsidRPr="00985270">
        <w:rPr>
          <w:noProof/>
          <w:lang w:val="fr-CH"/>
        </w:rPr>
        <w:fldChar w:fldCharType="separate"/>
      </w:r>
      <w:r w:rsidR="009D34A7">
        <w:rPr>
          <w:noProof/>
          <w:lang w:val="fr-CH"/>
        </w:rPr>
        <w:t>1</w:t>
      </w:r>
      <w:r w:rsidRPr="00985270">
        <w:rPr>
          <w:noProof/>
          <w:lang w:val="fr-CH"/>
        </w:rPr>
        <w:fldChar w:fldCharType="end"/>
      </w:r>
      <w:r w:rsidR="007B4245" w:rsidRPr="00985270">
        <w:rPr>
          <w:noProof/>
          <w:lang w:val="fr-CH"/>
        </w:rPr>
        <w:t xml:space="preserve"> : Comparaison des scores moyens en pourcentage pour chaque critère au T1 et T2</w:t>
      </w:r>
    </w:p>
    <w:tbl>
      <w:tblPr>
        <w:tblStyle w:val="TableauGrille4-Accentuation5"/>
        <w:tblW w:w="5113" w:type="pct"/>
        <w:tblLook w:val="04A0" w:firstRow="1" w:lastRow="0" w:firstColumn="1" w:lastColumn="0" w:noHBand="0" w:noVBand="1"/>
      </w:tblPr>
      <w:tblGrid>
        <w:gridCol w:w="1663"/>
        <w:gridCol w:w="548"/>
        <w:gridCol w:w="549"/>
        <w:gridCol w:w="1192"/>
        <w:gridCol w:w="1318"/>
        <w:gridCol w:w="1332"/>
        <w:gridCol w:w="1332"/>
        <w:gridCol w:w="1332"/>
      </w:tblGrid>
      <w:tr w:rsidR="007B51BF" w:rsidRPr="00985270" w14:paraId="09CCBF6E" w14:textId="77777777" w:rsidTr="00301A63">
        <w:trPr>
          <w:cnfStyle w:val="100000000000" w:firstRow="1" w:lastRow="0" w:firstColumn="0" w:lastColumn="0" w:oddVBand="0" w:evenVBand="0" w:oddHBand="0"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898" w:type="pct"/>
          </w:tcPr>
          <w:p w14:paraId="50D169E8" w14:textId="657FEFD2" w:rsidR="009B7692" w:rsidRPr="00985270" w:rsidRDefault="009B7692" w:rsidP="00985270">
            <w:pPr>
              <w:rPr>
                <w:noProof/>
                <w:lang w:val="fr-CH"/>
              </w:rPr>
            </w:pPr>
            <w:r w:rsidRPr="00985270">
              <w:rPr>
                <w:noProof/>
                <w:lang w:val="fr-CH"/>
              </w:rPr>
              <w:t>Critères</w:t>
            </w:r>
          </w:p>
        </w:tc>
        <w:tc>
          <w:tcPr>
            <w:tcW w:w="296" w:type="pct"/>
          </w:tcPr>
          <w:p w14:paraId="0CD8CA3E" w14:textId="0554081F" w:rsidR="009B7692" w:rsidRPr="00985270" w:rsidRDefault="009B7692" w:rsidP="00985270">
            <w:pPr>
              <w:cnfStyle w:val="100000000000" w:firstRow="1" w:lastRow="0" w:firstColumn="0" w:lastColumn="0" w:oddVBand="0" w:evenVBand="0" w:oddHBand="0" w:evenHBand="0" w:firstRowFirstColumn="0" w:firstRowLastColumn="0" w:lastRowFirstColumn="0" w:lastRowLastColumn="0"/>
              <w:rPr>
                <w:noProof/>
                <w:lang w:val="fr-CH"/>
              </w:rPr>
            </w:pPr>
            <w:r w:rsidRPr="00985270">
              <w:rPr>
                <w:noProof/>
                <w:lang w:val="fr-CH"/>
              </w:rPr>
              <w:t>T1</w:t>
            </w:r>
          </w:p>
        </w:tc>
        <w:tc>
          <w:tcPr>
            <w:tcW w:w="296" w:type="pct"/>
          </w:tcPr>
          <w:p w14:paraId="73D361A5" w14:textId="31F000C9" w:rsidR="009B7692" w:rsidRPr="00985270" w:rsidRDefault="009B7692" w:rsidP="00985270">
            <w:pPr>
              <w:cnfStyle w:val="100000000000" w:firstRow="1" w:lastRow="0" w:firstColumn="0" w:lastColumn="0" w:oddVBand="0" w:evenVBand="0" w:oddHBand="0" w:evenHBand="0" w:firstRowFirstColumn="0" w:firstRowLastColumn="0" w:lastRowFirstColumn="0" w:lastRowLastColumn="0"/>
              <w:rPr>
                <w:noProof/>
                <w:lang w:val="fr-CH"/>
              </w:rPr>
            </w:pPr>
            <w:r w:rsidRPr="00985270">
              <w:rPr>
                <w:noProof/>
                <w:lang w:val="fr-CH"/>
              </w:rPr>
              <w:t>T2</w:t>
            </w:r>
          </w:p>
        </w:tc>
        <w:tc>
          <w:tcPr>
            <w:tcW w:w="643" w:type="pct"/>
          </w:tcPr>
          <w:p w14:paraId="0F55EED4" w14:textId="5F760F6F" w:rsidR="009B7692" w:rsidRPr="00985270" w:rsidRDefault="00E5610F" w:rsidP="00985270">
            <w:pPr>
              <w:cnfStyle w:val="100000000000" w:firstRow="1" w:lastRow="0" w:firstColumn="0" w:lastColumn="0" w:oddVBand="0" w:evenVBand="0" w:oddHBand="0" w:evenHBand="0" w:firstRowFirstColumn="0" w:firstRowLastColumn="0" w:lastRowFirstColumn="0" w:lastRowLastColumn="0"/>
              <w:rPr>
                <w:noProof/>
                <w:lang w:val="fr-CH"/>
              </w:rPr>
            </w:pPr>
            <w:r w:rsidRPr="00985270">
              <w:rPr>
                <w:noProof/>
                <w:lang w:val="fr-CH"/>
              </w:rPr>
              <w:t xml:space="preserve">Léger recul </w:t>
            </w:r>
            <w:r w:rsidR="00F947C7" w:rsidRPr="00985270">
              <w:rPr>
                <w:noProof/>
                <w:lang w:val="fr-CH"/>
              </w:rPr>
              <w:br/>
            </w:r>
            <w:r w:rsidR="00CF2C4F" w:rsidRPr="00985270">
              <w:rPr>
                <w:noProof/>
                <w:lang w:val="fr-CH"/>
              </w:rPr>
              <w:t>(</w:t>
            </w:r>
            <w:r w:rsidR="003524BF">
              <w:rPr>
                <w:noProof/>
                <w:lang w:val="fr-CH"/>
              </w:rPr>
              <w:t>&lt;</w:t>
            </w:r>
            <w:r w:rsidR="00A1183F" w:rsidRPr="00985270">
              <w:rPr>
                <w:noProof/>
                <w:lang w:val="fr-CH"/>
              </w:rPr>
              <w:t xml:space="preserve"> </w:t>
            </w:r>
            <w:r w:rsidR="007C4EEC" w:rsidRPr="00985270">
              <w:rPr>
                <w:noProof/>
                <w:lang w:val="fr-CH"/>
              </w:rPr>
              <w:t>0</w:t>
            </w:r>
            <w:r w:rsidRPr="00985270">
              <w:rPr>
                <w:noProof/>
                <w:lang w:val="fr-CH"/>
              </w:rPr>
              <w:t xml:space="preserve"> à </w:t>
            </w:r>
            <w:r w:rsidR="00B96F36" w:rsidRPr="00985270">
              <w:rPr>
                <w:noProof/>
                <w:lang w:val="fr-CH"/>
              </w:rPr>
              <w:t>-</w:t>
            </w:r>
            <w:r w:rsidRPr="00985270">
              <w:rPr>
                <w:noProof/>
                <w:lang w:val="fr-CH"/>
              </w:rPr>
              <w:t>5 %</w:t>
            </w:r>
            <w:r w:rsidR="00CF2C4F" w:rsidRPr="00985270">
              <w:rPr>
                <w:noProof/>
                <w:lang w:val="fr-CH"/>
              </w:rPr>
              <w:t>)</w:t>
            </w:r>
          </w:p>
        </w:tc>
        <w:tc>
          <w:tcPr>
            <w:tcW w:w="711" w:type="pct"/>
          </w:tcPr>
          <w:p w14:paraId="6EB80677" w14:textId="469A1BBE" w:rsidR="009B7692" w:rsidRPr="00985270" w:rsidRDefault="00E25628" w:rsidP="00985270">
            <w:pPr>
              <w:cnfStyle w:val="100000000000" w:firstRow="1" w:lastRow="0" w:firstColumn="0" w:lastColumn="0" w:oddVBand="0" w:evenVBand="0" w:oddHBand="0" w:evenHBand="0" w:firstRowFirstColumn="0" w:firstRowLastColumn="0" w:lastRowFirstColumn="0" w:lastRowLastColumn="0"/>
              <w:rPr>
                <w:noProof/>
                <w:lang w:val="fr-CH"/>
              </w:rPr>
            </w:pPr>
            <w:r w:rsidRPr="00985270">
              <w:rPr>
                <w:noProof/>
                <w:lang w:val="fr-CH"/>
              </w:rPr>
              <w:t>Aucune amélioration</w:t>
            </w:r>
          </w:p>
        </w:tc>
        <w:tc>
          <w:tcPr>
            <w:tcW w:w="719" w:type="pct"/>
          </w:tcPr>
          <w:p w14:paraId="24DD0010" w14:textId="79A7193A" w:rsidR="009B7692" w:rsidRPr="00985270" w:rsidRDefault="00A31264" w:rsidP="00985270">
            <w:pPr>
              <w:cnfStyle w:val="100000000000" w:firstRow="1" w:lastRow="0" w:firstColumn="0" w:lastColumn="0" w:oddVBand="0" w:evenVBand="0" w:oddHBand="0" w:evenHBand="0" w:firstRowFirstColumn="0" w:firstRowLastColumn="0" w:lastRowFirstColumn="0" w:lastRowLastColumn="0"/>
              <w:rPr>
                <w:noProof/>
                <w:lang w:val="fr-CH"/>
              </w:rPr>
            </w:pPr>
            <w:r w:rsidRPr="00985270">
              <w:rPr>
                <w:noProof/>
                <w:lang w:val="fr-CH"/>
              </w:rPr>
              <w:t xml:space="preserve">Amélioration faible </w:t>
            </w:r>
            <w:r w:rsidR="00CF2C4F" w:rsidRPr="00985270">
              <w:rPr>
                <w:noProof/>
                <w:lang w:val="fr-CH"/>
              </w:rPr>
              <w:br/>
            </w:r>
            <w:r w:rsidRPr="00985270">
              <w:rPr>
                <w:noProof/>
                <w:lang w:val="fr-CH"/>
              </w:rPr>
              <w:t>(</w:t>
            </w:r>
            <w:r w:rsidR="003F462C" w:rsidRPr="00985270">
              <w:rPr>
                <w:noProof/>
                <w:lang w:val="fr-CH"/>
              </w:rPr>
              <w:t>&gt;</w:t>
            </w:r>
            <w:r w:rsidRPr="00985270">
              <w:rPr>
                <w:noProof/>
                <w:lang w:val="fr-CH"/>
              </w:rPr>
              <w:t>0</w:t>
            </w:r>
            <w:r w:rsidR="003F462C" w:rsidRPr="00985270">
              <w:rPr>
                <w:noProof/>
                <w:lang w:val="fr-CH"/>
              </w:rPr>
              <w:t xml:space="preserve"> à 5</w:t>
            </w:r>
            <w:r w:rsidRPr="00985270">
              <w:rPr>
                <w:noProof/>
                <w:lang w:val="fr-CH"/>
              </w:rPr>
              <w:t xml:space="preserve"> %)</w:t>
            </w:r>
          </w:p>
        </w:tc>
        <w:tc>
          <w:tcPr>
            <w:tcW w:w="719" w:type="pct"/>
          </w:tcPr>
          <w:p w14:paraId="4D5830F7" w14:textId="1FA0DF66" w:rsidR="009B7692" w:rsidRPr="00985270" w:rsidRDefault="00DD5C3E" w:rsidP="00985270">
            <w:pPr>
              <w:cnfStyle w:val="100000000000" w:firstRow="1" w:lastRow="0" w:firstColumn="0" w:lastColumn="0" w:oddVBand="0" w:evenVBand="0" w:oddHBand="0" w:evenHBand="0" w:firstRowFirstColumn="0" w:firstRowLastColumn="0" w:lastRowFirstColumn="0" w:lastRowLastColumn="0"/>
              <w:rPr>
                <w:noProof/>
                <w:lang w:val="fr-CH"/>
              </w:rPr>
            </w:pPr>
            <w:r w:rsidRPr="00985270">
              <w:rPr>
                <w:noProof/>
                <w:lang w:val="fr-CH"/>
              </w:rPr>
              <w:t xml:space="preserve">Amélioration modérée </w:t>
            </w:r>
            <w:r w:rsidR="00CF2C4F" w:rsidRPr="00985270">
              <w:rPr>
                <w:noProof/>
                <w:lang w:val="fr-CH"/>
              </w:rPr>
              <w:br/>
            </w:r>
            <w:r w:rsidRPr="00985270">
              <w:rPr>
                <w:noProof/>
                <w:lang w:val="fr-CH"/>
              </w:rPr>
              <w:t>(5-10 %)</w:t>
            </w:r>
          </w:p>
        </w:tc>
        <w:tc>
          <w:tcPr>
            <w:tcW w:w="719" w:type="pct"/>
          </w:tcPr>
          <w:p w14:paraId="4B5B54B0" w14:textId="1A7FC9B9" w:rsidR="009B7692" w:rsidRPr="00985270" w:rsidRDefault="00C10449" w:rsidP="00985270">
            <w:pPr>
              <w:cnfStyle w:val="100000000000" w:firstRow="1" w:lastRow="0" w:firstColumn="0" w:lastColumn="0" w:oddVBand="0" w:evenVBand="0" w:oddHBand="0" w:evenHBand="0" w:firstRowFirstColumn="0" w:firstRowLastColumn="0" w:lastRowFirstColumn="0" w:lastRowLastColumn="0"/>
              <w:rPr>
                <w:noProof/>
                <w:lang w:val="fr-CH"/>
              </w:rPr>
            </w:pPr>
            <w:r w:rsidRPr="00985270">
              <w:rPr>
                <w:noProof/>
                <w:lang w:val="fr-CH"/>
              </w:rPr>
              <w:t xml:space="preserve">Amélioration forte </w:t>
            </w:r>
            <w:r w:rsidR="00CF2C4F" w:rsidRPr="00985270">
              <w:rPr>
                <w:noProof/>
                <w:lang w:val="fr-CH"/>
              </w:rPr>
              <w:br/>
            </w:r>
            <w:r w:rsidRPr="00985270">
              <w:rPr>
                <w:noProof/>
                <w:lang w:val="fr-CH"/>
              </w:rPr>
              <w:t>(&gt; à 10 %)</w:t>
            </w:r>
          </w:p>
        </w:tc>
      </w:tr>
      <w:tr w:rsidR="007B51BF" w:rsidRPr="00985270" w14:paraId="5CF9E78D" w14:textId="77777777" w:rsidTr="00301A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8" w:type="pct"/>
            <w:vAlign w:val="center"/>
          </w:tcPr>
          <w:p w14:paraId="0ED88A1F" w14:textId="6E0CA6ED" w:rsidR="00F947C7" w:rsidRPr="00985270" w:rsidRDefault="00F947C7" w:rsidP="00985270">
            <w:pPr>
              <w:rPr>
                <w:noProof/>
                <w:lang w:val="fr-CH"/>
              </w:rPr>
            </w:pPr>
            <w:r w:rsidRPr="00985270">
              <w:rPr>
                <w:noProof/>
                <w:lang w:val="fr-CH"/>
              </w:rPr>
              <w:t>C1. Format</w:t>
            </w:r>
          </w:p>
        </w:tc>
        <w:tc>
          <w:tcPr>
            <w:tcW w:w="296" w:type="pct"/>
            <w:vAlign w:val="center"/>
          </w:tcPr>
          <w:p w14:paraId="243792B7" w14:textId="421B0C3E"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r w:rsidRPr="00985270">
              <w:rPr>
                <w:noProof/>
                <w:lang w:val="fr-CH"/>
              </w:rPr>
              <w:t>44,8</w:t>
            </w:r>
          </w:p>
        </w:tc>
        <w:tc>
          <w:tcPr>
            <w:tcW w:w="296" w:type="pct"/>
            <w:vAlign w:val="center"/>
          </w:tcPr>
          <w:p w14:paraId="03044CF4" w14:textId="3FA79B08"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r w:rsidRPr="00985270">
              <w:rPr>
                <w:noProof/>
                <w:lang w:val="fr-CH"/>
              </w:rPr>
              <w:t>81,2</w:t>
            </w:r>
          </w:p>
        </w:tc>
        <w:tc>
          <w:tcPr>
            <w:tcW w:w="643" w:type="pct"/>
            <w:vAlign w:val="center"/>
          </w:tcPr>
          <w:p w14:paraId="5708D148"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c>
          <w:tcPr>
            <w:tcW w:w="711" w:type="pct"/>
            <w:vAlign w:val="center"/>
          </w:tcPr>
          <w:p w14:paraId="08518A2F"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c>
          <w:tcPr>
            <w:tcW w:w="719" w:type="pct"/>
            <w:vAlign w:val="center"/>
          </w:tcPr>
          <w:p w14:paraId="3B2EDB15"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c>
          <w:tcPr>
            <w:tcW w:w="719" w:type="pct"/>
            <w:vAlign w:val="center"/>
          </w:tcPr>
          <w:p w14:paraId="0F977C57"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c>
          <w:tcPr>
            <w:tcW w:w="719" w:type="pct"/>
            <w:vAlign w:val="center"/>
          </w:tcPr>
          <w:p w14:paraId="4189C290" w14:textId="43E50F18" w:rsidR="00F947C7" w:rsidRPr="00985270" w:rsidRDefault="00CF2C4F" w:rsidP="00985270">
            <w:pPr>
              <w:cnfStyle w:val="000000100000" w:firstRow="0" w:lastRow="0" w:firstColumn="0" w:lastColumn="0" w:oddVBand="0" w:evenVBand="0" w:oddHBand="1" w:evenHBand="0" w:firstRowFirstColumn="0" w:firstRowLastColumn="0" w:lastRowFirstColumn="0" w:lastRowLastColumn="0"/>
              <w:rPr>
                <w:noProof/>
                <w:lang w:val="fr-CH"/>
              </w:rPr>
            </w:pPr>
            <w:r w:rsidRPr="00985270">
              <w:rPr>
                <w:noProof/>
                <w:lang w:val="fr-CH"/>
              </w:rPr>
              <w:t>x</w:t>
            </w:r>
          </w:p>
        </w:tc>
      </w:tr>
      <w:tr w:rsidR="007B2B05" w:rsidRPr="00985270" w14:paraId="181F3413" w14:textId="77777777" w:rsidTr="00301A63">
        <w:trPr>
          <w:trHeight w:val="567"/>
        </w:trPr>
        <w:tc>
          <w:tcPr>
            <w:cnfStyle w:val="001000000000" w:firstRow="0" w:lastRow="0" w:firstColumn="1" w:lastColumn="0" w:oddVBand="0" w:evenVBand="0" w:oddHBand="0" w:evenHBand="0" w:firstRowFirstColumn="0" w:firstRowLastColumn="0" w:lastRowFirstColumn="0" w:lastRowLastColumn="0"/>
            <w:tcW w:w="898" w:type="pct"/>
            <w:vAlign w:val="center"/>
          </w:tcPr>
          <w:p w14:paraId="7A34F2DF" w14:textId="766CBCCB" w:rsidR="00F947C7" w:rsidRPr="00985270" w:rsidRDefault="00F947C7" w:rsidP="00985270">
            <w:pPr>
              <w:rPr>
                <w:noProof/>
                <w:lang w:val="fr-CH"/>
              </w:rPr>
            </w:pPr>
            <w:r w:rsidRPr="00985270">
              <w:rPr>
                <w:noProof/>
                <w:lang w:val="fr-CH"/>
              </w:rPr>
              <w:t>C2. Titres</w:t>
            </w:r>
          </w:p>
        </w:tc>
        <w:tc>
          <w:tcPr>
            <w:tcW w:w="296" w:type="pct"/>
            <w:vAlign w:val="center"/>
          </w:tcPr>
          <w:p w14:paraId="5C564F5E" w14:textId="22B179C5"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r w:rsidRPr="00985270">
              <w:rPr>
                <w:noProof/>
                <w:lang w:val="fr-CH"/>
              </w:rPr>
              <w:t>0</w:t>
            </w:r>
          </w:p>
        </w:tc>
        <w:tc>
          <w:tcPr>
            <w:tcW w:w="296" w:type="pct"/>
            <w:vAlign w:val="center"/>
          </w:tcPr>
          <w:p w14:paraId="762FBAD0" w14:textId="1BF3578D"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r w:rsidRPr="00985270">
              <w:rPr>
                <w:noProof/>
                <w:lang w:val="fr-CH"/>
              </w:rPr>
              <w:t>0</w:t>
            </w:r>
          </w:p>
        </w:tc>
        <w:tc>
          <w:tcPr>
            <w:tcW w:w="643" w:type="pct"/>
            <w:vAlign w:val="center"/>
          </w:tcPr>
          <w:p w14:paraId="201EAC75" w14:textId="77777777"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p>
        </w:tc>
        <w:tc>
          <w:tcPr>
            <w:tcW w:w="711" w:type="pct"/>
            <w:vAlign w:val="center"/>
          </w:tcPr>
          <w:p w14:paraId="53CAD7C0" w14:textId="5B5E5B05" w:rsidR="00F947C7" w:rsidRPr="00985270" w:rsidRDefault="00CF2C4F" w:rsidP="00985270">
            <w:pPr>
              <w:cnfStyle w:val="000000000000" w:firstRow="0" w:lastRow="0" w:firstColumn="0" w:lastColumn="0" w:oddVBand="0" w:evenVBand="0" w:oddHBand="0" w:evenHBand="0" w:firstRowFirstColumn="0" w:firstRowLastColumn="0" w:lastRowFirstColumn="0" w:lastRowLastColumn="0"/>
              <w:rPr>
                <w:noProof/>
                <w:lang w:val="fr-CH"/>
              </w:rPr>
            </w:pPr>
            <w:r w:rsidRPr="00985270">
              <w:rPr>
                <w:noProof/>
                <w:lang w:val="fr-CH"/>
              </w:rPr>
              <w:t>x</w:t>
            </w:r>
          </w:p>
        </w:tc>
        <w:tc>
          <w:tcPr>
            <w:tcW w:w="719" w:type="pct"/>
            <w:vAlign w:val="center"/>
          </w:tcPr>
          <w:p w14:paraId="27C3B306" w14:textId="77777777"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p>
        </w:tc>
        <w:tc>
          <w:tcPr>
            <w:tcW w:w="719" w:type="pct"/>
            <w:vAlign w:val="center"/>
          </w:tcPr>
          <w:p w14:paraId="19B7B198" w14:textId="77777777"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p>
        </w:tc>
        <w:tc>
          <w:tcPr>
            <w:tcW w:w="719" w:type="pct"/>
            <w:vAlign w:val="center"/>
          </w:tcPr>
          <w:p w14:paraId="3724C17A" w14:textId="77777777"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p>
        </w:tc>
      </w:tr>
      <w:tr w:rsidR="007B51BF" w:rsidRPr="00985270" w14:paraId="2056AD0D" w14:textId="77777777" w:rsidTr="00301A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8" w:type="pct"/>
            <w:vAlign w:val="center"/>
          </w:tcPr>
          <w:p w14:paraId="001D6CB6" w14:textId="4493AAC3" w:rsidR="00F947C7" w:rsidRPr="00985270" w:rsidRDefault="00F947C7" w:rsidP="00985270">
            <w:pPr>
              <w:rPr>
                <w:noProof/>
                <w:lang w:val="fr-CH"/>
              </w:rPr>
            </w:pPr>
            <w:r w:rsidRPr="00985270">
              <w:rPr>
                <w:noProof/>
                <w:lang w:val="fr-CH"/>
              </w:rPr>
              <w:t>C3. Police</w:t>
            </w:r>
          </w:p>
        </w:tc>
        <w:tc>
          <w:tcPr>
            <w:tcW w:w="296" w:type="pct"/>
            <w:vAlign w:val="center"/>
          </w:tcPr>
          <w:p w14:paraId="03E03140" w14:textId="0D994CD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r w:rsidRPr="00985270">
              <w:rPr>
                <w:noProof/>
                <w:lang w:val="fr-CH"/>
              </w:rPr>
              <w:t>50</w:t>
            </w:r>
          </w:p>
        </w:tc>
        <w:tc>
          <w:tcPr>
            <w:tcW w:w="296" w:type="pct"/>
            <w:vAlign w:val="center"/>
          </w:tcPr>
          <w:p w14:paraId="4ACE2165" w14:textId="6172874D"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r w:rsidRPr="00985270">
              <w:rPr>
                <w:noProof/>
                <w:lang w:val="fr-CH"/>
              </w:rPr>
              <w:t>48</w:t>
            </w:r>
          </w:p>
        </w:tc>
        <w:tc>
          <w:tcPr>
            <w:tcW w:w="643" w:type="pct"/>
            <w:vAlign w:val="center"/>
          </w:tcPr>
          <w:p w14:paraId="60E3E9EE" w14:textId="4DD6C8E0" w:rsidR="00F947C7" w:rsidRPr="00985270" w:rsidRDefault="00CF2C4F" w:rsidP="00985270">
            <w:pPr>
              <w:cnfStyle w:val="000000100000" w:firstRow="0" w:lastRow="0" w:firstColumn="0" w:lastColumn="0" w:oddVBand="0" w:evenVBand="0" w:oddHBand="1" w:evenHBand="0" w:firstRowFirstColumn="0" w:firstRowLastColumn="0" w:lastRowFirstColumn="0" w:lastRowLastColumn="0"/>
              <w:rPr>
                <w:noProof/>
                <w:lang w:val="fr-CH"/>
              </w:rPr>
            </w:pPr>
            <w:r w:rsidRPr="00985270">
              <w:rPr>
                <w:noProof/>
                <w:lang w:val="fr-CH"/>
              </w:rPr>
              <w:t>x</w:t>
            </w:r>
          </w:p>
        </w:tc>
        <w:tc>
          <w:tcPr>
            <w:tcW w:w="711" w:type="pct"/>
            <w:vAlign w:val="center"/>
          </w:tcPr>
          <w:p w14:paraId="22923909"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c>
          <w:tcPr>
            <w:tcW w:w="719" w:type="pct"/>
            <w:vAlign w:val="center"/>
          </w:tcPr>
          <w:p w14:paraId="5EA2E57C"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c>
          <w:tcPr>
            <w:tcW w:w="719" w:type="pct"/>
            <w:vAlign w:val="center"/>
          </w:tcPr>
          <w:p w14:paraId="2A4AB05F" w14:textId="7BC87E11"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c>
          <w:tcPr>
            <w:tcW w:w="719" w:type="pct"/>
            <w:vAlign w:val="center"/>
          </w:tcPr>
          <w:p w14:paraId="0E5CFCB0"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r>
      <w:tr w:rsidR="007B2B05" w:rsidRPr="00985270" w14:paraId="6862856C" w14:textId="77777777" w:rsidTr="00301A63">
        <w:trPr>
          <w:trHeight w:val="567"/>
        </w:trPr>
        <w:tc>
          <w:tcPr>
            <w:cnfStyle w:val="001000000000" w:firstRow="0" w:lastRow="0" w:firstColumn="1" w:lastColumn="0" w:oddVBand="0" w:evenVBand="0" w:oddHBand="0" w:evenHBand="0" w:firstRowFirstColumn="0" w:firstRowLastColumn="0" w:lastRowFirstColumn="0" w:lastRowLastColumn="0"/>
            <w:tcW w:w="898" w:type="pct"/>
            <w:vAlign w:val="center"/>
          </w:tcPr>
          <w:p w14:paraId="38399FA5" w14:textId="700ACDC8" w:rsidR="00F947C7" w:rsidRPr="00985270" w:rsidRDefault="00F947C7" w:rsidP="00985270">
            <w:pPr>
              <w:rPr>
                <w:noProof/>
                <w:lang w:val="fr-CH"/>
              </w:rPr>
            </w:pPr>
            <w:r w:rsidRPr="00985270">
              <w:rPr>
                <w:noProof/>
                <w:lang w:val="fr-CH"/>
              </w:rPr>
              <w:t>C4. Contrastes</w:t>
            </w:r>
          </w:p>
        </w:tc>
        <w:tc>
          <w:tcPr>
            <w:tcW w:w="296" w:type="pct"/>
            <w:vAlign w:val="center"/>
          </w:tcPr>
          <w:p w14:paraId="15AE4134" w14:textId="4D259884"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r w:rsidRPr="00985270">
              <w:rPr>
                <w:noProof/>
                <w:lang w:val="fr-CH"/>
              </w:rPr>
              <w:t>77,5</w:t>
            </w:r>
          </w:p>
        </w:tc>
        <w:tc>
          <w:tcPr>
            <w:tcW w:w="296" w:type="pct"/>
            <w:vAlign w:val="center"/>
          </w:tcPr>
          <w:p w14:paraId="59082D93" w14:textId="01BD6EF7"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r w:rsidRPr="00985270">
              <w:rPr>
                <w:noProof/>
                <w:lang w:val="fr-CH"/>
              </w:rPr>
              <w:t>87,5</w:t>
            </w:r>
          </w:p>
        </w:tc>
        <w:tc>
          <w:tcPr>
            <w:tcW w:w="643" w:type="pct"/>
            <w:vAlign w:val="center"/>
          </w:tcPr>
          <w:p w14:paraId="29C93765" w14:textId="77777777"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p>
        </w:tc>
        <w:tc>
          <w:tcPr>
            <w:tcW w:w="711" w:type="pct"/>
            <w:vAlign w:val="center"/>
          </w:tcPr>
          <w:p w14:paraId="275EF31D" w14:textId="77777777"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p>
        </w:tc>
        <w:tc>
          <w:tcPr>
            <w:tcW w:w="719" w:type="pct"/>
            <w:vAlign w:val="center"/>
          </w:tcPr>
          <w:p w14:paraId="00A155B6" w14:textId="77777777"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p>
        </w:tc>
        <w:tc>
          <w:tcPr>
            <w:tcW w:w="719" w:type="pct"/>
            <w:vAlign w:val="center"/>
          </w:tcPr>
          <w:p w14:paraId="4861E71B" w14:textId="55995885" w:rsidR="00F947C7" w:rsidRPr="00985270" w:rsidRDefault="00CF2C4F" w:rsidP="00985270">
            <w:pPr>
              <w:cnfStyle w:val="000000000000" w:firstRow="0" w:lastRow="0" w:firstColumn="0" w:lastColumn="0" w:oddVBand="0" w:evenVBand="0" w:oddHBand="0" w:evenHBand="0" w:firstRowFirstColumn="0" w:firstRowLastColumn="0" w:lastRowFirstColumn="0" w:lastRowLastColumn="0"/>
              <w:rPr>
                <w:noProof/>
                <w:lang w:val="fr-CH"/>
              </w:rPr>
            </w:pPr>
            <w:r w:rsidRPr="00985270">
              <w:rPr>
                <w:noProof/>
                <w:lang w:val="fr-CH"/>
              </w:rPr>
              <w:t>x</w:t>
            </w:r>
          </w:p>
        </w:tc>
        <w:tc>
          <w:tcPr>
            <w:tcW w:w="719" w:type="pct"/>
            <w:vAlign w:val="center"/>
          </w:tcPr>
          <w:p w14:paraId="6EEBD54B" w14:textId="77777777"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p>
        </w:tc>
      </w:tr>
      <w:tr w:rsidR="007B51BF" w:rsidRPr="00985270" w14:paraId="442319D7" w14:textId="77777777" w:rsidTr="00301A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8" w:type="pct"/>
            <w:vAlign w:val="center"/>
          </w:tcPr>
          <w:p w14:paraId="26A55EB9" w14:textId="698574C7" w:rsidR="00F947C7" w:rsidRPr="00985270" w:rsidRDefault="00F947C7" w:rsidP="00985270">
            <w:pPr>
              <w:rPr>
                <w:noProof/>
                <w:lang w:val="fr-CH"/>
              </w:rPr>
            </w:pPr>
            <w:r w:rsidRPr="00985270">
              <w:rPr>
                <w:noProof/>
                <w:lang w:val="fr-CH"/>
              </w:rPr>
              <w:t>C5. Alignement</w:t>
            </w:r>
          </w:p>
        </w:tc>
        <w:tc>
          <w:tcPr>
            <w:tcW w:w="296" w:type="pct"/>
            <w:vAlign w:val="center"/>
          </w:tcPr>
          <w:p w14:paraId="312F948F" w14:textId="3658D393"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r w:rsidRPr="00985270">
              <w:rPr>
                <w:noProof/>
                <w:lang w:val="fr-CH"/>
              </w:rPr>
              <w:t>50</w:t>
            </w:r>
          </w:p>
        </w:tc>
        <w:tc>
          <w:tcPr>
            <w:tcW w:w="296" w:type="pct"/>
            <w:vAlign w:val="center"/>
          </w:tcPr>
          <w:p w14:paraId="0962F204" w14:textId="5B56B2F9"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r w:rsidRPr="00985270">
              <w:rPr>
                <w:noProof/>
                <w:lang w:val="fr-CH"/>
              </w:rPr>
              <w:t>87,5</w:t>
            </w:r>
          </w:p>
        </w:tc>
        <w:tc>
          <w:tcPr>
            <w:tcW w:w="643" w:type="pct"/>
            <w:vAlign w:val="center"/>
          </w:tcPr>
          <w:p w14:paraId="33EB428B"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c>
          <w:tcPr>
            <w:tcW w:w="711" w:type="pct"/>
            <w:vAlign w:val="center"/>
          </w:tcPr>
          <w:p w14:paraId="6364A616"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c>
          <w:tcPr>
            <w:tcW w:w="719" w:type="pct"/>
            <w:vAlign w:val="center"/>
          </w:tcPr>
          <w:p w14:paraId="274480CC"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c>
          <w:tcPr>
            <w:tcW w:w="719" w:type="pct"/>
            <w:vAlign w:val="center"/>
          </w:tcPr>
          <w:p w14:paraId="0A0DCDAE"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c>
          <w:tcPr>
            <w:tcW w:w="719" w:type="pct"/>
            <w:vAlign w:val="center"/>
          </w:tcPr>
          <w:p w14:paraId="4E984F32" w14:textId="76E5DA61" w:rsidR="00F947C7" w:rsidRPr="00985270" w:rsidRDefault="00CF2C4F" w:rsidP="00985270">
            <w:pPr>
              <w:cnfStyle w:val="000000100000" w:firstRow="0" w:lastRow="0" w:firstColumn="0" w:lastColumn="0" w:oddVBand="0" w:evenVBand="0" w:oddHBand="1" w:evenHBand="0" w:firstRowFirstColumn="0" w:firstRowLastColumn="0" w:lastRowFirstColumn="0" w:lastRowLastColumn="0"/>
              <w:rPr>
                <w:noProof/>
                <w:lang w:val="fr-CH"/>
              </w:rPr>
            </w:pPr>
            <w:r w:rsidRPr="00985270">
              <w:rPr>
                <w:noProof/>
                <w:lang w:val="fr-CH"/>
              </w:rPr>
              <w:t>x</w:t>
            </w:r>
          </w:p>
        </w:tc>
      </w:tr>
      <w:tr w:rsidR="007B2B05" w:rsidRPr="00985270" w14:paraId="708E894C" w14:textId="77777777" w:rsidTr="00301A63">
        <w:trPr>
          <w:trHeight w:val="567"/>
        </w:trPr>
        <w:tc>
          <w:tcPr>
            <w:cnfStyle w:val="001000000000" w:firstRow="0" w:lastRow="0" w:firstColumn="1" w:lastColumn="0" w:oddVBand="0" w:evenVBand="0" w:oddHBand="0" w:evenHBand="0" w:firstRowFirstColumn="0" w:firstRowLastColumn="0" w:lastRowFirstColumn="0" w:lastRowLastColumn="0"/>
            <w:tcW w:w="898" w:type="pct"/>
            <w:vAlign w:val="center"/>
          </w:tcPr>
          <w:p w14:paraId="11A31D6F" w14:textId="3FDDF1B3" w:rsidR="00F947C7" w:rsidRPr="00985270" w:rsidRDefault="00F947C7" w:rsidP="00985270">
            <w:pPr>
              <w:rPr>
                <w:noProof/>
                <w:lang w:val="fr-CH"/>
              </w:rPr>
            </w:pPr>
            <w:r w:rsidRPr="00985270">
              <w:rPr>
                <w:noProof/>
                <w:lang w:val="fr-CH"/>
              </w:rPr>
              <w:t>C6. Sens de lecture</w:t>
            </w:r>
          </w:p>
        </w:tc>
        <w:tc>
          <w:tcPr>
            <w:tcW w:w="296" w:type="pct"/>
            <w:vAlign w:val="center"/>
          </w:tcPr>
          <w:p w14:paraId="39ACD403" w14:textId="08B97D28"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r w:rsidRPr="00985270">
              <w:rPr>
                <w:noProof/>
                <w:lang w:val="fr-CH"/>
              </w:rPr>
              <w:t>92</w:t>
            </w:r>
          </w:p>
        </w:tc>
        <w:tc>
          <w:tcPr>
            <w:tcW w:w="296" w:type="pct"/>
            <w:vAlign w:val="center"/>
          </w:tcPr>
          <w:p w14:paraId="364E42C5" w14:textId="281CF1F9"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r w:rsidRPr="00985270">
              <w:rPr>
                <w:noProof/>
                <w:lang w:val="fr-CH"/>
              </w:rPr>
              <w:t>100</w:t>
            </w:r>
          </w:p>
        </w:tc>
        <w:tc>
          <w:tcPr>
            <w:tcW w:w="643" w:type="pct"/>
            <w:vAlign w:val="center"/>
          </w:tcPr>
          <w:p w14:paraId="73644493" w14:textId="77777777"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p>
        </w:tc>
        <w:tc>
          <w:tcPr>
            <w:tcW w:w="711" w:type="pct"/>
            <w:vAlign w:val="center"/>
          </w:tcPr>
          <w:p w14:paraId="68A7A067" w14:textId="77777777"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p>
        </w:tc>
        <w:tc>
          <w:tcPr>
            <w:tcW w:w="719" w:type="pct"/>
            <w:vAlign w:val="center"/>
          </w:tcPr>
          <w:p w14:paraId="01C189EE" w14:textId="77777777"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p>
        </w:tc>
        <w:tc>
          <w:tcPr>
            <w:tcW w:w="719" w:type="pct"/>
            <w:vAlign w:val="center"/>
          </w:tcPr>
          <w:p w14:paraId="78D52242" w14:textId="6AF7A2F0" w:rsidR="00F947C7" w:rsidRPr="00985270" w:rsidRDefault="00CF2C4F" w:rsidP="00985270">
            <w:pPr>
              <w:cnfStyle w:val="000000000000" w:firstRow="0" w:lastRow="0" w:firstColumn="0" w:lastColumn="0" w:oddVBand="0" w:evenVBand="0" w:oddHBand="0" w:evenHBand="0" w:firstRowFirstColumn="0" w:firstRowLastColumn="0" w:lastRowFirstColumn="0" w:lastRowLastColumn="0"/>
              <w:rPr>
                <w:noProof/>
                <w:lang w:val="fr-CH"/>
              </w:rPr>
            </w:pPr>
            <w:r w:rsidRPr="00985270">
              <w:rPr>
                <w:noProof/>
                <w:lang w:val="fr-CH"/>
              </w:rPr>
              <w:t>x</w:t>
            </w:r>
          </w:p>
        </w:tc>
        <w:tc>
          <w:tcPr>
            <w:tcW w:w="719" w:type="pct"/>
            <w:vAlign w:val="center"/>
          </w:tcPr>
          <w:p w14:paraId="23904407" w14:textId="77777777"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p>
        </w:tc>
      </w:tr>
      <w:tr w:rsidR="007B51BF" w:rsidRPr="00985270" w14:paraId="337D23FB" w14:textId="77777777" w:rsidTr="00301A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8" w:type="pct"/>
            <w:vAlign w:val="center"/>
          </w:tcPr>
          <w:p w14:paraId="273610C3" w14:textId="06266304" w:rsidR="00F947C7" w:rsidRPr="00985270" w:rsidRDefault="00F947C7" w:rsidP="00985270">
            <w:pPr>
              <w:rPr>
                <w:noProof/>
                <w:lang w:val="fr-CH"/>
              </w:rPr>
            </w:pPr>
            <w:r w:rsidRPr="00985270">
              <w:rPr>
                <w:noProof/>
                <w:lang w:val="fr-CH"/>
              </w:rPr>
              <w:t xml:space="preserve">C7. Éléments </w:t>
            </w:r>
            <w:r w:rsidR="00CE0BA2" w:rsidRPr="00985270">
              <w:rPr>
                <w:noProof/>
                <w:lang w:val="fr-CH"/>
              </w:rPr>
              <w:br/>
            </w:r>
            <w:r w:rsidRPr="00985270">
              <w:rPr>
                <w:noProof/>
                <w:lang w:val="fr-CH"/>
              </w:rPr>
              <w:t>flottants</w:t>
            </w:r>
          </w:p>
        </w:tc>
        <w:tc>
          <w:tcPr>
            <w:tcW w:w="296" w:type="pct"/>
            <w:vAlign w:val="center"/>
          </w:tcPr>
          <w:p w14:paraId="602DCEE5" w14:textId="4F031756"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r w:rsidRPr="00985270">
              <w:rPr>
                <w:noProof/>
                <w:lang w:val="fr-CH"/>
              </w:rPr>
              <w:t>35,5</w:t>
            </w:r>
          </w:p>
        </w:tc>
        <w:tc>
          <w:tcPr>
            <w:tcW w:w="296" w:type="pct"/>
            <w:vAlign w:val="center"/>
          </w:tcPr>
          <w:p w14:paraId="58672106" w14:textId="797B9D11"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r w:rsidRPr="00985270">
              <w:rPr>
                <w:noProof/>
                <w:lang w:val="fr-CH"/>
              </w:rPr>
              <w:t>53</w:t>
            </w:r>
          </w:p>
        </w:tc>
        <w:tc>
          <w:tcPr>
            <w:tcW w:w="643" w:type="pct"/>
            <w:vAlign w:val="center"/>
          </w:tcPr>
          <w:p w14:paraId="076ACA5C"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c>
          <w:tcPr>
            <w:tcW w:w="711" w:type="pct"/>
            <w:vAlign w:val="center"/>
          </w:tcPr>
          <w:p w14:paraId="26E1E378"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c>
          <w:tcPr>
            <w:tcW w:w="719" w:type="pct"/>
            <w:vAlign w:val="center"/>
          </w:tcPr>
          <w:p w14:paraId="42E04756"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c>
          <w:tcPr>
            <w:tcW w:w="719" w:type="pct"/>
            <w:vAlign w:val="center"/>
          </w:tcPr>
          <w:p w14:paraId="311D98CB"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c>
          <w:tcPr>
            <w:tcW w:w="719" w:type="pct"/>
            <w:vAlign w:val="center"/>
          </w:tcPr>
          <w:p w14:paraId="577B6276" w14:textId="3932BA03" w:rsidR="00F947C7" w:rsidRPr="00985270" w:rsidRDefault="00CF2C4F" w:rsidP="00985270">
            <w:pPr>
              <w:cnfStyle w:val="000000100000" w:firstRow="0" w:lastRow="0" w:firstColumn="0" w:lastColumn="0" w:oddVBand="0" w:evenVBand="0" w:oddHBand="1" w:evenHBand="0" w:firstRowFirstColumn="0" w:firstRowLastColumn="0" w:lastRowFirstColumn="0" w:lastRowLastColumn="0"/>
              <w:rPr>
                <w:noProof/>
                <w:lang w:val="fr-CH"/>
              </w:rPr>
            </w:pPr>
            <w:r w:rsidRPr="00985270">
              <w:rPr>
                <w:noProof/>
                <w:lang w:val="fr-CH"/>
              </w:rPr>
              <w:t>x</w:t>
            </w:r>
          </w:p>
        </w:tc>
      </w:tr>
      <w:tr w:rsidR="007B2B05" w:rsidRPr="00985270" w14:paraId="52F35323" w14:textId="77777777" w:rsidTr="00301A63">
        <w:trPr>
          <w:trHeight w:val="567"/>
        </w:trPr>
        <w:tc>
          <w:tcPr>
            <w:cnfStyle w:val="001000000000" w:firstRow="0" w:lastRow="0" w:firstColumn="1" w:lastColumn="0" w:oddVBand="0" w:evenVBand="0" w:oddHBand="0" w:evenHBand="0" w:firstRowFirstColumn="0" w:firstRowLastColumn="0" w:lastRowFirstColumn="0" w:lastRowLastColumn="0"/>
            <w:tcW w:w="898" w:type="pct"/>
            <w:vAlign w:val="center"/>
          </w:tcPr>
          <w:p w14:paraId="62DA293A" w14:textId="2C3D6096" w:rsidR="00F947C7" w:rsidRPr="00985270" w:rsidRDefault="00F947C7" w:rsidP="00985270">
            <w:pPr>
              <w:rPr>
                <w:noProof/>
                <w:lang w:val="fr-CH"/>
              </w:rPr>
            </w:pPr>
            <w:r w:rsidRPr="00985270">
              <w:rPr>
                <w:noProof/>
                <w:lang w:val="fr-CH"/>
              </w:rPr>
              <w:t>C8. Unités de sens</w:t>
            </w:r>
          </w:p>
        </w:tc>
        <w:tc>
          <w:tcPr>
            <w:tcW w:w="296" w:type="pct"/>
            <w:vAlign w:val="center"/>
          </w:tcPr>
          <w:p w14:paraId="666C7620" w14:textId="44A313BC"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r w:rsidRPr="00985270">
              <w:rPr>
                <w:noProof/>
                <w:lang w:val="fr-CH"/>
              </w:rPr>
              <w:t>97,5</w:t>
            </w:r>
          </w:p>
        </w:tc>
        <w:tc>
          <w:tcPr>
            <w:tcW w:w="296" w:type="pct"/>
            <w:vAlign w:val="center"/>
          </w:tcPr>
          <w:p w14:paraId="69FCA495" w14:textId="16459D8C"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r w:rsidRPr="00985270">
              <w:rPr>
                <w:noProof/>
                <w:lang w:val="fr-CH"/>
              </w:rPr>
              <w:t>97</w:t>
            </w:r>
          </w:p>
        </w:tc>
        <w:tc>
          <w:tcPr>
            <w:tcW w:w="643" w:type="pct"/>
            <w:vAlign w:val="center"/>
          </w:tcPr>
          <w:p w14:paraId="1C42C4BE" w14:textId="6A16E36C" w:rsidR="00F947C7" w:rsidRPr="00985270" w:rsidRDefault="00CF2C4F" w:rsidP="00985270">
            <w:pPr>
              <w:cnfStyle w:val="000000000000" w:firstRow="0" w:lastRow="0" w:firstColumn="0" w:lastColumn="0" w:oddVBand="0" w:evenVBand="0" w:oddHBand="0" w:evenHBand="0" w:firstRowFirstColumn="0" w:firstRowLastColumn="0" w:lastRowFirstColumn="0" w:lastRowLastColumn="0"/>
              <w:rPr>
                <w:noProof/>
                <w:lang w:val="fr-CH"/>
              </w:rPr>
            </w:pPr>
            <w:r w:rsidRPr="00985270">
              <w:rPr>
                <w:noProof/>
                <w:lang w:val="fr-CH"/>
              </w:rPr>
              <w:t>x</w:t>
            </w:r>
          </w:p>
        </w:tc>
        <w:tc>
          <w:tcPr>
            <w:tcW w:w="711" w:type="pct"/>
            <w:vAlign w:val="center"/>
          </w:tcPr>
          <w:p w14:paraId="488273FB" w14:textId="77777777"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p>
        </w:tc>
        <w:tc>
          <w:tcPr>
            <w:tcW w:w="719" w:type="pct"/>
            <w:vAlign w:val="center"/>
          </w:tcPr>
          <w:p w14:paraId="4FA83E8C" w14:textId="77777777"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p>
        </w:tc>
        <w:tc>
          <w:tcPr>
            <w:tcW w:w="719" w:type="pct"/>
            <w:vAlign w:val="center"/>
          </w:tcPr>
          <w:p w14:paraId="04745CF3" w14:textId="77777777"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p>
        </w:tc>
        <w:tc>
          <w:tcPr>
            <w:tcW w:w="719" w:type="pct"/>
            <w:vAlign w:val="center"/>
          </w:tcPr>
          <w:p w14:paraId="7F1E92D1" w14:textId="77777777"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p>
        </w:tc>
      </w:tr>
      <w:tr w:rsidR="007B51BF" w:rsidRPr="00985270" w14:paraId="3AB2C952" w14:textId="77777777" w:rsidTr="00301A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8" w:type="pct"/>
            <w:vAlign w:val="center"/>
          </w:tcPr>
          <w:p w14:paraId="5BC93F41" w14:textId="09B1347F" w:rsidR="00F947C7" w:rsidRPr="00985270" w:rsidRDefault="00F947C7" w:rsidP="00985270">
            <w:pPr>
              <w:rPr>
                <w:noProof/>
                <w:lang w:val="fr-CH"/>
              </w:rPr>
            </w:pPr>
            <w:r w:rsidRPr="00985270">
              <w:rPr>
                <w:noProof/>
                <w:lang w:val="fr-CH"/>
              </w:rPr>
              <w:t xml:space="preserve">C9. Images </w:t>
            </w:r>
            <w:r w:rsidR="00CE0BA2" w:rsidRPr="00985270">
              <w:rPr>
                <w:noProof/>
                <w:lang w:val="fr-CH"/>
              </w:rPr>
              <w:br/>
            </w:r>
            <w:r w:rsidRPr="00985270">
              <w:rPr>
                <w:noProof/>
                <w:lang w:val="fr-CH"/>
              </w:rPr>
              <w:t>dénudées de sens</w:t>
            </w:r>
          </w:p>
        </w:tc>
        <w:tc>
          <w:tcPr>
            <w:tcW w:w="296" w:type="pct"/>
            <w:vAlign w:val="center"/>
          </w:tcPr>
          <w:p w14:paraId="528C7CC6" w14:textId="3F38F6CD"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r w:rsidRPr="00985270">
              <w:rPr>
                <w:noProof/>
                <w:lang w:val="fr-CH"/>
              </w:rPr>
              <w:t>71</w:t>
            </w:r>
          </w:p>
        </w:tc>
        <w:tc>
          <w:tcPr>
            <w:tcW w:w="296" w:type="pct"/>
            <w:vAlign w:val="center"/>
          </w:tcPr>
          <w:p w14:paraId="729BA1CD" w14:textId="07B9CDD1"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r w:rsidRPr="00985270">
              <w:rPr>
                <w:noProof/>
                <w:lang w:val="fr-CH"/>
              </w:rPr>
              <w:t>67</w:t>
            </w:r>
          </w:p>
        </w:tc>
        <w:tc>
          <w:tcPr>
            <w:tcW w:w="643" w:type="pct"/>
            <w:vAlign w:val="center"/>
          </w:tcPr>
          <w:p w14:paraId="579B2890" w14:textId="0B1F9A60" w:rsidR="00F947C7" w:rsidRPr="00985270" w:rsidRDefault="00CF2C4F" w:rsidP="00985270">
            <w:pPr>
              <w:cnfStyle w:val="000000100000" w:firstRow="0" w:lastRow="0" w:firstColumn="0" w:lastColumn="0" w:oddVBand="0" w:evenVBand="0" w:oddHBand="1" w:evenHBand="0" w:firstRowFirstColumn="0" w:firstRowLastColumn="0" w:lastRowFirstColumn="0" w:lastRowLastColumn="0"/>
              <w:rPr>
                <w:noProof/>
                <w:lang w:val="fr-CH"/>
              </w:rPr>
            </w:pPr>
            <w:r w:rsidRPr="00985270">
              <w:rPr>
                <w:noProof/>
                <w:lang w:val="fr-CH"/>
              </w:rPr>
              <w:t>x</w:t>
            </w:r>
          </w:p>
        </w:tc>
        <w:tc>
          <w:tcPr>
            <w:tcW w:w="711" w:type="pct"/>
            <w:vAlign w:val="center"/>
          </w:tcPr>
          <w:p w14:paraId="766FF626"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c>
          <w:tcPr>
            <w:tcW w:w="719" w:type="pct"/>
            <w:vAlign w:val="center"/>
          </w:tcPr>
          <w:p w14:paraId="404307D7"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c>
          <w:tcPr>
            <w:tcW w:w="719" w:type="pct"/>
            <w:vAlign w:val="center"/>
          </w:tcPr>
          <w:p w14:paraId="66909CA5"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c>
          <w:tcPr>
            <w:tcW w:w="719" w:type="pct"/>
            <w:vAlign w:val="center"/>
          </w:tcPr>
          <w:p w14:paraId="54D6421A"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r>
      <w:tr w:rsidR="007B2B05" w:rsidRPr="00985270" w14:paraId="1B3F7536" w14:textId="77777777" w:rsidTr="00301A63">
        <w:trPr>
          <w:trHeight w:val="567"/>
        </w:trPr>
        <w:tc>
          <w:tcPr>
            <w:cnfStyle w:val="001000000000" w:firstRow="0" w:lastRow="0" w:firstColumn="1" w:lastColumn="0" w:oddVBand="0" w:evenVBand="0" w:oddHBand="0" w:evenHBand="0" w:firstRowFirstColumn="0" w:firstRowLastColumn="0" w:lastRowFirstColumn="0" w:lastRowLastColumn="0"/>
            <w:tcW w:w="898" w:type="pct"/>
            <w:vAlign w:val="center"/>
          </w:tcPr>
          <w:p w14:paraId="77E21B83" w14:textId="6E37ADC5" w:rsidR="00F947C7" w:rsidRPr="00985270" w:rsidRDefault="00F947C7" w:rsidP="00985270">
            <w:pPr>
              <w:rPr>
                <w:noProof/>
                <w:lang w:val="fr-CH"/>
              </w:rPr>
            </w:pPr>
            <w:r w:rsidRPr="00985270">
              <w:rPr>
                <w:noProof/>
                <w:lang w:val="fr-CH"/>
              </w:rPr>
              <w:t xml:space="preserve">C10. Images </w:t>
            </w:r>
            <w:r w:rsidR="00CE0BA2" w:rsidRPr="00985270">
              <w:rPr>
                <w:noProof/>
                <w:lang w:val="fr-CH"/>
              </w:rPr>
              <w:br/>
            </w:r>
            <w:r w:rsidRPr="00985270">
              <w:rPr>
                <w:noProof/>
                <w:lang w:val="fr-CH"/>
              </w:rPr>
              <w:t>porteuses de sens</w:t>
            </w:r>
          </w:p>
        </w:tc>
        <w:tc>
          <w:tcPr>
            <w:tcW w:w="296" w:type="pct"/>
            <w:vAlign w:val="center"/>
          </w:tcPr>
          <w:p w14:paraId="384670CB" w14:textId="0760F8B5"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r w:rsidRPr="00985270">
              <w:rPr>
                <w:noProof/>
                <w:lang w:val="fr-CH"/>
              </w:rPr>
              <w:t>13</w:t>
            </w:r>
          </w:p>
        </w:tc>
        <w:tc>
          <w:tcPr>
            <w:tcW w:w="296" w:type="pct"/>
            <w:vAlign w:val="center"/>
          </w:tcPr>
          <w:p w14:paraId="0161ED7F" w14:textId="3FC0B452"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r w:rsidRPr="00985270">
              <w:rPr>
                <w:noProof/>
                <w:lang w:val="fr-CH"/>
              </w:rPr>
              <w:t>41</w:t>
            </w:r>
            <w:r w:rsidR="008B4ED5" w:rsidRPr="00985270">
              <w:rPr>
                <w:noProof/>
                <w:lang w:val="fr-CH"/>
              </w:rPr>
              <w:t>,</w:t>
            </w:r>
            <w:r w:rsidRPr="00985270">
              <w:rPr>
                <w:noProof/>
                <w:lang w:val="fr-CH"/>
              </w:rPr>
              <w:t>5</w:t>
            </w:r>
          </w:p>
        </w:tc>
        <w:tc>
          <w:tcPr>
            <w:tcW w:w="643" w:type="pct"/>
            <w:vAlign w:val="center"/>
          </w:tcPr>
          <w:p w14:paraId="24E0DB22" w14:textId="77777777"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p>
        </w:tc>
        <w:tc>
          <w:tcPr>
            <w:tcW w:w="711" w:type="pct"/>
            <w:vAlign w:val="center"/>
          </w:tcPr>
          <w:p w14:paraId="61437175" w14:textId="77777777"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p>
        </w:tc>
        <w:tc>
          <w:tcPr>
            <w:tcW w:w="719" w:type="pct"/>
            <w:vAlign w:val="center"/>
          </w:tcPr>
          <w:p w14:paraId="73646D21" w14:textId="77777777"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p>
        </w:tc>
        <w:tc>
          <w:tcPr>
            <w:tcW w:w="719" w:type="pct"/>
            <w:vAlign w:val="center"/>
          </w:tcPr>
          <w:p w14:paraId="6EBB886A" w14:textId="77777777" w:rsidR="00F947C7" w:rsidRPr="00985270" w:rsidRDefault="00F947C7" w:rsidP="00985270">
            <w:pPr>
              <w:cnfStyle w:val="000000000000" w:firstRow="0" w:lastRow="0" w:firstColumn="0" w:lastColumn="0" w:oddVBand="0" w:evenVBand="0" w:oddHBand="0" w:evenHBand="0" w:firstRowFirstColumn="0" w:firstRowLastColumn="0" w:lastRowFirstColumn="0" w:lastRowLastColumn="0"/>
              <w:rPr>
                <w:noProof/>
                <w:lang w:val="fr-CH"/>
              </w:rPr>
            </w:pPr>
          </w:p>
        </w:tc>
        <w:tc>
          <w:tcPr>
            <w:tcW w:w="719" w:type="pct"/>
            <w:vAlign w:val="center"/>
          </w:tcPr>
          <w:p w14:paraId="2B6D4D69" w14:textId="56721D2E" w:rsidR="00F947C7" w:rsidRPr="00985270" w:rsidRDefault="00CF2C4F" w:rsidP="00985270">
            <w:pPr>
              <w:cnfStyle w:val="000000000000" w:firstRow="0" w:lastRow="0" w:firstColumn="0" w:lastColumn="0" w:oddVBand="0" w:evenVBand="0" w:oddHBand="0" w:evenHBand="0" w:firstRowFirstColumn="0" w:firstRowLastColumn="0" w:lastRowFirstColumn="0" w:lastRowLastColumn="0"/>
              <w:rPr>
                <w:noProof/>
                <w:lang w:val="fr-CH"/>
              </w:rPr>
            </w:pPr>
            <w:r w:rsidRPr="00985270">
              <w:rPr>
                <w:noProof/>
                <w:lang w:val="fr-CH"/>
              </w:rPr>
              <w:t>x</w:t>
            </w:r>
          </w:p>
        </w:tc>
      </w:tr>
      <w:tr w:rsidR="007B51BF" w:rsidRPr="00985270" w14:paraId="029AC257" w14:textId="77777777" w:rsidTr="00301A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8" w:type="pct"/>
            <w:vAlign w:val="center"/>
          </w:tcPr>
          <w:p w14:paraId="6C8057B4" w14:textId="2E9FB291" w:rsidR="00F947C7" w:rsidRPr="00985270" w:rsidRDefault="00F947C7" w:rsidP="00985270">
            <w:pPr>
              <w:rPr>
                <w:noProof/>
                <w:lang w:val="fr-CH"/>
              </w:rPr>
            </w:pPr>
            <w:r w:rsidRPr="00985270">
              <w:rPr>
                <w:noProof/>
                <w:lang w:val="fr-CH"/>
              </w:rPr>
              <w:t>Score global moyen</w:t>
            </w:r>
          </w:p>
        </w:tc>
        <w:tc>
          <w:tcPr>
            <w:tcW w:w="296" w:type="pct"/>
            <w:vAlign w:val="center"/>
          </w:tcPr>
          <w:p w14:paraId="12B19259" w14:textId="566921AA"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r w:rsidRPr="00985270">
              <w:rPr>
                <w:noProof/>
                <w:lang w:val="fr-CH"/>
              </w:rPr>
              <w:t>53,1</w:t>
            </w:r>
          </w:p>
        </w:tc>
        <w:tc>
          <w:tcPr>
            <w:tcW w:w="296" w:type="pct"/>
            <w:vAlign w:val="center"/>
          </w:tcPr>
          <w:p w14:paraId="414820D8" w14:textId="5E9B502D"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r w:rsidRPr="00985270">
              <w:rPr>
                <w:noProof/>
                <w:lang w:val="fr-CH"/>
              </w:rPr>
              <w:t>66,3</w:t>
            </w:r>
          </w:p>
        </w:tc>
        <w:tc>
          <w:tcPr>
            <w:tcW w:w="643" w:type="pct"/>
            <w:vAlign w:val="center"/>
          </w:tcPr>
          <w:p w14:paraId="0720E75F"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c>
          <w:tcPr>
            <w:tcW w:w="711" w:type="pct"/>
            <w:vAlign w:val="center"/>
          </w:tcPr>
          <w:p w14:paraId="1458E661"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c>
          <w:tcPr>
            <w:tcW w:w="719" w:type="pct"/>
            <w:vAlign w:val="center"/>
          </w:tcPr>
          <w:p w14:paraId="318AD9ED"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c>
          <w:tcPr>
            <w:tcW w:w="719" w:type="pct"/>
            <w:vAlign w:val="center"/>
          </w:tcPr>
          <w:p w14:paraId="36D725E6"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c>
          <w:tcPr>
            <w:tcW w:w="719" w:type="pct"/>
            <w:vAlign w:val="center"/>
          </w:tcPr>
          <w:p w14:paraId="76D5C95C" w14:textId="77777777" w:rsidR="00F947C7" w:rsidRPr="00985270" w:rsidRDefault="00F947C7" w:rsidP="00985270">
            <w:pPr>
              <w:cnfStyle w:val="000000100000" w:firstRow="0" w:lastRow="0" w:firstColumn="0" w:lastColumn="0" w:oddVBand="0" w:evenVBand="0" w:oddHBand="1" w:evenHBand="0" w:firstRowFirstColumn="0" w:firstRowLastColumn="0" w:lastRowFirstColumn="0" w:lastRowLastColumn="0"/>
              <w:rPr>
                <w:noProof/>
                <w:lang w:val="fr-CH"/>
              </w:rPr>
            </w:pPr>
          </w:p>
        </w:tc>
      </w:tr>
    </w:tbl>
    <w:p w14:paraId="22FF4584" w14:textId="22CC9982" w:rsidR="00F075E6" w:rsidRPr="00985270" w:rsidRDefault="00F075E6" w:rsidP="00985270">
      <w:pPr>
        <w:pStyle w:val="Corpsdetexte"/>
        <w:rPr>
          <w:noProof/>
          <w:lang w:val="fr-CH"/>
        </w:rPr>
      </w:pPr>
      <w:r w:rsidRPr="00985270">
        <w:rPr>
          <w:noProof/>
          <w:lang w:val="fr-CH"/>
        </w:rPr>
        <w:t xml:space="preserve">Entre les deux temps de mesure, trois critères ont subi un léger recul (&lt; à 5 %) : C3. Police de caractères (- 2 %), C8. Unités de sens (- 0.5 %) et C10. Images dénuées de sens pédagogique (- 4 %). Le critère C2. Titres n’a pas été plus </w:t>
      </w:r>
      <w:r w:rsidRPr="00985270">
        <w:rPr>
          <w:noProof/>
          <w:lang w:val="fr-CH"/>
        </w:rPr>
        <w:lastRenderedPageBreak/>
        <w:t>respecté avant qu’après (0 %). Deux critères ont obtenu un score moyen modérément plus élevé (entre 5 et 10 %) : C4. Contrastes (10 %) et C6. Sens de lecture (8 %). Quatre critères ont fortement augmenté (plus de 10 %) : C1. Format (36,4 %), C5. Alignement (37.5 %), c7. Éléments flottants (17,5 %) et C10. Images porteuses de sens (18,5 %).</w:t>
      </w:r>
    </w:p>
    <w:p w14:paraId="361A9BA4" w14:textId="142E174F" w:rsidR="00F075E6" w:rsidRPr="00985270" w:rsidRDefault="00F075E6" w:rsidP="00985270">
      <w:pPr>
        <w:pStyle w:val="Corpsdetexte"/>
        <w:rPr>
          <w:noProof/>
          <w:lang w:val="fr-CH"/>
        </w:rPr>
      </w:pPr>
      <w:r w:rsidRPr="00985270">
        <w:rPr>
          <w:noProof/>
          <w:lang w:val="fr-CH"/>
        </w:rPr>
        <w:t>Les résultats concernant le critère C1 (Format) suggèrent que les enseignantes ont bien intégré l’importance du format numérique pour pouvoir agir sur les autres critères en vue d’améliorer l’accessibilité des documents. Comme le soulignent Gabriel et Ollier (2016), «</w:t>
      </w:r>
      <w:r w:rsidRPr="00985270">
        <w:rPr>
          <w:rFonts w:ascii="Times New Roman" w:hAnsi="Times New Roman" w:cs="Times New Roman"/>
          <w:noProof/>
          <w:lang w:val="fr-CH"/>
        </w:rPr>
        <w:t> </w:t>
      </w:r>
      <w:r w:rsidRPr="00985270">
        <w:rPr>
          <w:noProof/>
          <w:lang w:val="fr-CH"/>
        </w:rPr>
        <w:t xml:space="preserve">la forme numérique des documents qu’il [l’outil informatique] produit génère une possibilité d’adaptation individualisée que n’offre pas le support papier… ». Les enseignantes ont également appliqué les recommandations concernant l’alignement, la suppression des éléments flottants et la qualité des images porteuses de sens, et, dans une moindre mesure, ont été attentives au contraste ou encore au sens de lecture. Le critère C2. Titres était peu pertinent dans cette étude, car la moitié des documents (27) ne comptait qu’une seule page et un seul exercice. Ils ne nécessitaient donc pas l’utilisation de niveaux de titres. </w:t>
      </w:r>
    </w:p>
    <w:p w14:paraId="35D1AF61" w14:textId="77777777" w:rsidR="00F075E6" w:rsidRPr="00985270" w:rsidRDefault="00F075E6" w:rsidP="00985270">
      <w:pPr>
        <w:pStyle w:val="Titre2"/>
        <w:rPr>
          <w:rFonts w:eastAsiaTheme="minorEastAsia"/>
          <w:noProof/>
          <w:lang w:val="fr-CH"/>
        </w:rPr>
      </w:pPr>
      <w:r w:rsidRPr="00985270">
        <w:rPr>
          <w:rFonts w:eastAsiaTheme="minorEastAsia"/>
          <w:noProof/>
          <w:lang w:val="fr-CH"/>
        </w:rPr>
        <w:t>Catégorie d’accessibilité</w:t>
      </w:r>
    </w:p>
    <w:p w14:paraId="4841FD0C" w14:textId="42204DC5" w:rsidR="00F075E6" w:rsidRPr="00985270" w:rsidRDefault="00F075E6" w:rsidP="00985270">
      <w:pPr>
        <w:pStyle w:val="Corpsdetexte"/>
        <w:rPr>
          <w:noProof/>
          <w:lang w:val="fr-CH"/>
        </w:rPr>
      </w:pPr>
      <w:r w:rsidRPr="00985270">
        <w:rPr>
          <w:noProof/>
          <w:lang w:val="fr-CH"/>
        </w:rPr>
        <w:t>Au T1, 15,8 % des documents ont une « mauvaise » accessibilité contre aucun au T2. 39,5 % des documents sont catégorisés comme « passables » au T 1 et seulement 18,8 % au T2. Enfin 44,7 % des documents ont d’une « bonne » accessibilité au T1 contre 81,3 % au T2. Le tableau 2 présente les données relatives au niveau d’accessibilité des documents.</w:t>
      </w:r>
    </w:p>
    <w:p w14:paraId="36943816" w14:textId="772B5455" w:rsidR="00D622EB" w:rsidRPr="00985270" w:rsidRDefault="00D622EB" w:rsidP="00985270">
      <w:pPr>
        <w:pStyle w:val="LegendeTabelle"/>
        <w:rPr>
          <w:noProof/>
          <w:lang w:val="fr-CH"/>
        </w:rPr>
      </w:pPr>
      <w:r w:rsidRPr="00985270">
        <w:rPr>
          <w:noProof/>
          <w:lang w:val="fr-CH"/>
        </w:rPr>
        <w:t xml:space="preserve">Tableau </w:t>
      </w:r>
      <w:r w:rsidRPr="00985270">
        <w:rPr>
          <w:noProof/>
          <w:lang w:val="fr-CH"/>
        </w:rPr>
        <w:fldChar w:fldCharType="begin"/>
      </w:r>
      <w:r w:rsidRPr="00985270">
        <w:rPr>
          <w:noProof/>
          <w:lang w:val="fr-CH"/>
        </w:rPr>
        <w:instrText xml:space="preserve"> SEQ Tableau \* ARABIC </w:instrText>
      </w:r>
      <w:r w:rsidRPr="00985270">
        <w:rPr>
          <w:noProof/>
          <w:lang w:val="fr-CH"/>
        </w:rPr>
        <w:fldChar w:fldCharType="separate"/>
      </w:r>
      <w:r w:rsidR="009D34A7">
        <w:rPr>
          <w:noProof/>
          <w:lang w:val="fr-CH"/>
        </w:rPr>
        <w:t>2</w:t>
      </w:r>
      <w:r w:rsidRPr="00985270">
        <w:rPr>
          <w:noProof/>
          <w:lang w:val="fr-CH"/>
        </w:rPr>
        <w:fldChar w:fldCharType="end"/>
      </w:r>
      <w:r w:rsidR="001F3EF5" w:rsidRPr="00985270">
        <w:rPr>
          <w:noProof/>
          <w:lang w:val="fr-CH"/>
        </w:rPr>
        <w:t>: Les catégories d’accessibilité aux temps T1 et T2 (en pourcentage)</w:t>
      </w:r>
    </w:p>
    <w:tbl>
      <w:tblPr>
        <w:tblStyle w:val="TableauGrille4-Accentuation5"/>
        <w:tblW w:w="0" w:type="auto"/>
        <w:tblLook w:val="04A0" w:firstRow="1" w:lastRow="0" w:firstColumn="1" w:lastColumn="0" w:noHBand="0" w:noVBand="1"/>
      </w:tblPr>
      <w:tblGrid>
        <w:gridCol w:w="1900"/>
        <w:gridCol w:w="1879"/>
        <w:gridCol w:w="1845"/>
        <w:gridCol w:w="1627"/>
        <w:gridCol w:w="1810"/>
      </w:tblGrid>
      <w:tr w:rsidR="007B51BF" w:rsidRPr="00985270" w14:paraId="15D0A40E" w14:textId="77777777" w:rsidTr="006834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0" w:type="dxa"/>
          </w:tcPr>
          <w:p w14:paraId="1A1D89C2" w14:textId="77777777" w:rsidR="007B51BF" w:rsidRPr="00985270" w:rsidRDefault="007B51BF" w:rsidP="00985270">
            <w:pPr>
              <w:rPr>
                <w:rFonts w:eastAsiaTheme="minorEastAsia" w:cs="Open Sans SemiCondensed"/>
                <w:noProof/>
                <w:lang w:val="fr-CH"/>
              </w:rPr>
            </w:pPr>
            <w:r w:rsidRPr="00985270">
              <w:rPr>
                <w:rFonts w:eastAsiaTheme="minorEastAsia" w:cs="Open Sans SemiCondensed"/>
                <w:noProof/>
                <w:lang w:val="fr-CH"/>
              </w:rPr>
              <w:t>Catégorie</w:t>
            </w:r>
          </w:p>
        </w:tc>
        <w:tc>
          <w:tcPr>
            <w:tcW w:w="1879" w:type="dxa"/>
          </w:tcPr>
          <w:p w14:paraId="7A3A9F1B" w14:textId="77777777" w:rsidR="007B51BF" w:rsidRPr="00985270" w:rsidRDefault="007B51BF" w:rsidP="00985270">
            <w:pPr>
              <w:cnfStyle w:val="100000000000" w:firstRow="1"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5270">
              <w:rPr>
                <w:rFonts w:eastAsiaTheme="minorEastAsia" w:cs="Open Sans SemiCondensed"/>
                <w:noProof/>
                <w:lang w:val="fr-CH"/>
              </w:rPr>
              <w:t>Mauvaise</w:t>
            </w:r>
          </w:p>
        </w:tc>
        <w:tc>
          <w:tcPr>
            <w:tcW w:w="1845" w:type="dxa"/>
          </w:tcPr>
          <w:p w14:paraId="35F6C186" w14:textId="77777777" w:rsidR="007B51BF" w:rsidRPr="00985270" w:rsidRDefault="007B51BF" w:rsidP="00985270">
            <w:pPr>
              <w:cnfStyle w:val="100000000000" w:firstRow="1"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5270">
              <w:rPr>
                <w:rFonts w:eastAsiaTheme="minorEastAsia" w:cs="Open Sans SemiCondensed"/>
                <w:noProof/>
                <w:lang w:val="fr-CH"/>
              </w:rPr>
              <w:t>Passable</w:t>
            </w:r>
          </w:p>
        </w:tc>
        <w:tc>
          <w:tcPr>
            <w:tcW w:w="1627" w:type="dxa"/>
          </w:tcPr>
          <w:p w14:paraId="566B0F1D" w14:textId="77777777" w:rsidR="007B51BF" w:rsidRPr="00985270" w:rsidRDefault="007B51BF" w:rsidP="00985270">
            <w:pPr>
              <w:cnfStyle w:val="100000000000" w:firstRow="1"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5270">
              <w:rPr>
                <w:rFonts w:eastAsiaTheme="minorEastAsia" w:cs="Open Sans SemiCondensed"/>
                <w:noProof/>
                <w:lang w:val="fr-CH"/>
              </w:rPr>
              <w:t>Bonne</w:t>
            </w:r>
          </w:p>
        </w:tc>
        <w:tc>
          <w:tcPr>
            <w:tcW w:w="1810" w:type="dxa"/>
          </w:tcPr>
          <w:p w14:paraId="642FB8C7" w14:textId="77777777" w:rsidR="007B51BF" w:rsidRPr="00985270" w:rsidRDefault="007B51BF" w:rsidP="00985270">
            <w:pPr>
              <w:cnfStyle w:val="100000000000" w:firstRow="1"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5270">
              <w:rPr>
                <w:rFonts w:eastAsiaTheme="minorEastAsia" w:cs="Open Sans SemiCondensed"/>
                <w:noProof/>
                <w:lang w:val="fr-CH"/>
              </w:rPr>
              <w:t>Très bonne</w:t>
            </w:r>
          </w:p>
        </w:tc>
      </w:tr>
      <w:tr w:rsidR="007B51BF" w:rsidRPr="00985270" w14:paraId="7B8CBC5E" w14:textId="77777777" w:rsidTr="00683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0" w:type="dxa"/>
          </w:tcPr>
          <w:p w14:paraId="003266EF" w14:textId="77777777" w:rsidR="007B51BF" w:rsidRPr="00985270" w:rsidRDefault="007B51BF" w:rsidP="00985270">
            <w:pPr>
              <w:rPr>
                <w:rFonts w:eastAsiaTheme="minorEastAsia" w:cs="Open Sans SemiCondensed"/>
                <w:noProof/>
                <w:lang w:val="fr-CH"/>
              </w:rPr>
            </w:pPr>
            <w:r w:rsidRPr="00985270">
              <w:rPr>
                <w:rFonts w:eastAsiaTheme="minorEastAsia" w:cs="Open Sans SemiCondensed"/>
                <w:noProof/>
                <w:lang w:val="fr-CH"/>
              </w:rPr>
              <w:t>T1</w:t>
            </w:r>
          </w:p>
        </w:tc>
        <w:tc>
          <w:tcPr>
            <w:tcW w:w="1879" w:type="dxa"/>
          </w:tcPr>
          <w:p w14:paraId="28A39AFE" w14:textId="77777777" w:rsidR="007B51BF" w:rsidRPr="00985270" w:rsidRDefault="007B51BF" w:rsidP="00985270">
            <w:pPr>
              <w:cnfStyle w:val="000000100000" w:firstRow="0" w:lastRow="0" w:firstColumn="0" w:lastColumn="0" w:oddVBand="0" w:evenVBand="0" w:oddHBand="1" w:evenHBand="0" w:firstRowFirstColumn="0" w:firstRowLastColumn="0" w:lastRowFirstColumn="0" w:lastRowLastColumn="0"/>
              <w:rPr>
                <w:rFonts w:eastAsiaTheme="minorEastAsia" w:cs="Open Sans SemiCondensed"/>
                <w:noProof/>
                <w:lang w:val="fr-CH"/>
              </w:rPr>
            </w:pPr>
            <w:r w:rsidRPr="00985270">
              <w:rPr>
                <w:rFonts w:eastAsiaTheme="minorEastAsia" w:cs="Open Sans SemiCondensed"/>
                <w:noProof/>
                <w:lang w:val="fr-CH"/>
              </w:rPr>
              <w:t>15,8</w:t>
            </w:r>
          </w:p>
        </w:tc>
        <w:tc>
          <w:tcPr>
            <w:tcW w:w="1845" w:type="dxa"/>
          </w:tcPr>
          <w:p w14:paraId="277DD6A5" w14:textId="77777777" w:rsidR="007B51BF" w:rsidRPr="00985270" w:rsidRDefault="007B51BF" w:rsidP="00985270">
            <w:pPr>
              <w:cnfStyle w:val="000000100000" w:firstRow="0" w:lastRow="0" w:firstColumn="0" w:lastColumn="0" w:oddVBand="0" w:evenVBand="0" w:oddHBand="1" w:evenHBand="0" w:firstRowFirstColumn="0" w:firstRowLastColumn="0" w:lastRowFirstColumn="0" w:lastRowLastColumn="0"/>
              <w:rPr>
                <w:rFonts w:eastAsiaTheme="minorEastAsia" w:cs="Open Sans SemiCondensed"/>
                <w:noProof/>
                <w:lang w:val="fr-CH"/>
              </w:rPr>
            </w:pPr>
            <w:r w:rsidRPr="00985270">
              <w:rPr>
                <w:rFonts w:eastAsiaTheme="minorEastAsia" w:cs="Open Sans SemiCondensed"/>
                <w:noProof/>
                <w:lang w:val="fr-CH"/>
              </w:rPr>
              <w:t>39,5</w:t>
            </w:r>
          </w:p>
        </w:tc>
        <w:tc>
          <w:tcPr>
            <w:tcW w:w="1627" w:type="dxa"/>
          </w:tcPr>
          <w:p w14:paraId="21A04E09" w14:textId="77777777" w:rsidR="007B51BF" w:rsidRPr="00985270" w:rsidRDefault="007B51BF" w:rsidP="00985270">
            <w:pPr>
              <w:cnfStyle w:val="000000100000" w:firstRow="0" w:lastRow="0" w:firstColumn="0" w:lastColumn="0" w:oddVBand="0" w:evenVBand="0" w:oddHBand="1" w:evenHBand="0" w:firstRowFirstColumn="0" w:firstRowLastColumn="0" w:lastRowFirstColumn="0" w:lastRowLastColumn="0"/>
              <w:rPr>
                <w:rFonts w:eastAsiaTheme="minorEastAsia" w:cs="Open Sans SemiCondensed"/>
                <w:noProof/>
                <w:lang w:val="fr-CH"/>
              </w:rPr>
            </w:pPr>
            <w:r w:rsidRPr="00985270">
              <w:rPr>
                <w:rFonts w:eastAsiaTheme="minorEastAsia" w:cs="Open Sans SemiCondensed"/>
                <w:noProof/>
                <w:lang w:val="fr-CH"/>
              </w:rPr>
              <w:t>44,7</w:t>
            </w:r>
          </w:p>
        </w:tc>
        <w:tc>
          <w:tcPr>
            <w:tcW w:w="1810" w:type="dxa"/>
          </w:tcPr>
          <w:p w14:paraId="1DDE7DCC" w14:textId="77777777" w:rsidR="007B51BF" w:rsidRPr="00985270" w:rsidRDefault="007B51BF" w:rsidP="00985270">
            <w:pPr>
              <w:cnfStyle w:val="000000100000" w:firstRow="0" w:lastRow="0" w:firstColumn="0" w:lastColumn="0" w:oddVBand="0" w:evenVBand="0" w:oddHBand="1" w:evenHBand="0" w:firstRowFirstColumn="0" w:firstRowLastColumn="0" w:lastRowFirstColumn="0" w:lastRowLastColumn="0"/>
              <w:rPr>
                <w:rFonts w:eastAsiaTheme="minorEastAsia" w:cs="Open Sans SemiCondensed"/>
                <w:noProof/>
                <w:lang w:val="fr-CH"/>
              </w:rPr>
            </w:pPr>
            <w:r w:rsidRPr="00985270">
              <w:rPr>
                <w:rFonts w:eastAsiaTheme="minorEastAsia" w:cs="Open Sans SemiCondensed"/>
                <w:noProof/>
                <w:lang w:val="fr-CH"/>
              </w:rPr>
              <w:t>0</w:t>
            </w:r>
          </w:p>
        </w:tc>
      </w:tr>
      <w:tr w:rsidR="007B51BF" w:rsidRPr="00985270" w14:paraId="4A869FEC" w14:textId="77777777" w:rsidTr="006834E9">
        <w:tc>
          <w:tcPr>
            <w:cnfStyle w:val="001000000000" w:firstRow="0" w:lastRow="0" w:firstColumn="1" w:lastColumn="0" w:oddVBand="0" w:evenVBand="0" w:oddHBand="0" w:evenHBand="0" w:firstRowFirstColumn="0" w:firstRowLastColumn="0" w:lastRowFirstColumn="0" w:lastRowLastColumn="0"/>
            <w:tcW w:w="1900" w:type="dxa"/>
          </w:tcPr>
          <w:p w14:paraId="61236A5E" w14:textId="77777777" w:rsidR="007B51BF" w:rsidRPr="00985270" w:rsidRDefault="007B51BF" w:rsidP="00985270">
            <w:pPr>
              <w:rPr>
                <w:rFonts w:eastAsiaTheme="minorEastAsia" w:cs="Open Sans SemiCondensed"/>
                <w:noProof/>
                <w:lang w:val="fr-CH"/>
              </w:rPr>
            </w:pPr>
            <w:r w:rsidRPr="00985270">
              <w:rPr>
                <w:rFonts w:eastAsiaTheme="minorEastAsia" w:cs="Open Sans SemiCondensed"/>
                <w:noProof/>
                <w:lang w:val="fr-CH"/>
              </w:rPr>
              <w:t>T2</w:t>
            </w:r>
          </w:p>
        </w:tc>
        <w:tc>
          <w:tcPr>
            <w:tcW w:w="1879" w:type="dxa"/>
          </w:tcPr>
          <w:p w14:paraId="26B47AAE" w14:textId="77777777" w:rsidR="007B51BF" w:rsidRPr="00985270" w:rsidRDefault="007B51BF" w:rsidP="00985270">
            <w:pPr>
              <w:cnfStyle w:val="000000000000" w:firstRow="0"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5270">
              <w:rPr>
                <w:rFonts w:eastAsiaTheme="minorEastAsia" w:cs="Open Sans SemiCondensed"/>
                <w:noProof/>
                <w:lang w:val="fr-CH"/>
              </w:rPr>
              <w:t>0</w:t>
            </w:r>
          </w:p>
        </w:tc>
        <w:tc>
          <w:tcPr>
            <w:tcW w:w="1845" w:type="dxa"/>
          </w:tcPr>
          <w:p w14:paraId="74D33994" w14:textId="77777777" w:rsidR="007B51BF" w:rsidRPr="00985270" w:rsidRDefault="007B51BF" w:rsidP="00985270">
            <w:pPr>
              <w:cnfStyle w:val="000000000000" w:firstRow="0"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5270">
              <w:rPr>
                <w:rFonts w:eastAsiaTheme="minorEastAsia" w:cs="Open Sans SemiCondensed"/>
                <w:noProof/>
                <w:lang w:val="fr-CH"/>
              </w:rPr>
              <w:t>18,8</w:t>
            </w:r>
          </w:p>
        </w:tc>
        <w:tc>
          <w:tcPr>
            <w:tcW w:w="1627" w:type="dxa"/>
          </w:tcPr>
          <w:p w14:paraId="6654D0D5" w14:textId="77777777" w:rsidR="007B51BF" w:rsidRPr="00985270" w:rsidRDefault="007B51BF" w:rsidP="00985270">
            <w:pPr>
              <w:cnfStyle w:val="000000000000" w:firstRow="0"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5270">
              <w:rPr>
                <w:rFonts w:eastAsiaTheme="minorEastAsia" w:cs="Open Sans SemiCondensed"/>
                <w:noProof/>
                <w:lang w:val="fr-CH"/>
              </w:rPr>
              <w:t>81,3</w:t>
            </w:r>
          </w:p>
        </w:tc>
        <w:tc>
          <w:tcPr>
            <w:tcW w:w="1810" w:type="dxa"/>
          </w:tcPr>
          <w:p w14:paraId="5EDC7523" w14:textId="77777777" w:rsidR="007B51BF" w:rsidRPr="00985270" w:rsidRDefault="007B51BF" w:rsidP="00985270">
            <w:pPr>
              <w:cnfStyle w:val="000000000000" w:firstRow="0"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5270">
              <w:rPr>
                <w:rFonts w:eastAsiaTheme="minorEastAsia" w:cs="Open Sans SemiCondensed"/>
                <w:noProof/>
                <w:lang w:val="fr-CH"/>
              </w:rPr>
              <w:t>0</w:t>
            </w:r>
          </w:p>
        </w:tc>
      </w:tr>
    </w:tbl>
    <w:p w14:paraId="0DABBE24" w14:textId="20D30160" w:rsidR="00EA1B6C" w:rsidRPr="00985270" w:rsidRDefault="00EA1B6C" w:rsidP="00985270">
      <w:pPr>
        <w:pStyle w:val="Corpsdetexte"/>
        <w:rPr>
          <w:noProof/>
          <w:lang w:val="fr-CH"/>
        </w:rPr>
      </w:pPr>
      <w:r w:rsidRPr="00985270">
        <w:rPr>
          <w:noProof/>
          <w:lang w:val="fr-CH"/>
        </w:rPr>
        <w:t>La comparaison des scores entre le T1 et le T2 met en lumière une nette évolution du niveau d’accessibilité des documents même si on note qu’aucun support n’a atteint la catégorie « très bonne » accessibilité. En améliorant le niveau d’accessibilité, les enseignantes ont facilité l’accès à l’information véhiculée et ont ainsi agi sur le premier principe de la CUA (le Quoi). En privilégiant, pour la grande majorité des documents, un format numérique après la formation, les enseignantes permettent aux élèves d’accéder au contenu autrement que par l’écrit papier et agissent donc également sur le deuxième principe (le Comment).</w:t>
      </w:r>
    </w:p>
    <w:p w14:paraId="10AA26CD" w14:textId="67EA196B" w:rsidR="00EA1B6C" w:rsidRPr="00985270" w:rsidRDefault="00E56258" w:rsidP="00985270">
      <w:pPr>
        <w:pStyle w:val="Corpsdetexte"/>
        <w:rPr>
          <w:noProof/>
          <w:lang w:val="fr-CH"/>
        </w:rPr>
      </w:pPr>
      <w:r w:rsidRPr="00985270">
        <w:rPr>
          <w:noProof/>
          <w:lang w:val="fr-CH"/>
        </w:rPr>
        <mc:AlternateContent>
          <mc:Choice Requires="wps">
            <w:drawing>
              <wp:anchor distT="45720" distB="45720" distL="46990" distR="46990" simplePos="0" relativeHeight="251658241" behindDoc="0" locked="0" layoutInCell="1" allowOverlap="0" wp14:anchorId="43D1963B" wp14:editId="6BB70D80">
                <wp:simplePos x="0" y="0"/>
                <wp:positionH relativeFrom="page">
                  <wp:align>left</wp:align>
                </wp:positionH>
                <wp:positionV relativeFrom="paragraph">
                  <wp:posOffset>841623</wp:posOffset>
                </wp:positionV>
                <wp:extent cx="5076190" cy="854710"/>
                <wp:effectExtent l="0" t="0" r="0" b="254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190" cy="855023"/>
                        </a:xfrm>
                        <a:prstGeom prst="rect">
                          <a:avLst/>
                        </a:prstGeom>
                        <a:noFill/>
                        <a:ln w="9525">
                          <a:noFill/>
                          <a:miter lim="800000"/>
                          <a:headEnd/>
                          <a:tailEnd/>
                        </a:ln>
                      </wps:spPr>
                      <wps:txbx>
                        <w:txbxContent>
                          <w:p w14:paraId="3A775DB3" w14:textId="3318B1BA" w:rsidR="00E56258" w:rsidRPr="00AD25A6" w:rsidRDefault="00E56258" w:rsidP="002724F0">
                            <w:pPr>
                              <w:pStyle w:val="Hervorhebung1"/>
                              <w:jc w:val="both"/>
                              <w:rPr>
                                <w:lang w:val="fr-CH"/>
                              </w:rPr>
                            </w:pPr>
                            <w:r w:rsidRPr="00344A8F">
                              <w:rPr>
                                <w:noProof/>
                                <w:lang w:val="fr-CH"/>
                              </w:rPr>
                              <w:t>En privilégiant, pour la grande majorité des documents, un format numérique après la formation, les enseignantes permettent aux élèves d’accéder au contenu autrement que par l’écrit papier et agissent donc également sur le deuxième principe (le Comment).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1963B" id="_x0000_t202" coordsize="21600,21600" o:spt="202" path="m,l,21600r21600,l21600,xe">
                <v:stroke joinstyle="miter"/>
                <v:path gradientshapeok="t" o:connecttype="rect"/>
              </v:shapetype>
              <v:shape id="Zone de texte 2" o:spid="_x0000_s1026" type="#_x0000_t202" alt="&quot;&quot;" style="position:absolute;left:0;text-align:left;margin-left:0;margin-top:66.25pt;width:399.7pt;height:67.3pt;z-index:251658241;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" o:allowoverlap="f" filled="f" stroked="f">
                <v:textbox inset="29mm,,2.5mm">
                  <w:txbxContent>
                    <w:p w14:paraId="3A775DB3" w14:textId="3318B1BA" w:rsidR="00E56258" w:rsidRPr="00AD25A6" w:rsidRDefault="00E56258" w:rsidP="002724F0">
                      <w:pPr>
                        <w:pStyle w:val="Hervorhebung1"/>
                        <w:jc w:val="both"/>
                        <w:rPr>
                          <w:lang w:val="fr-CH"/>
                        </w:rPr>
                      </w:pPr>
                      <w:r w:rsidRPr="00344A8F">
                        <w:rPr>
                          <w:noProof/>
                          <w:lang w:val="fr-CH"/>
                        </w:rPr>
                        <w:t>En privilégiant, pour la grande majorité des documents, un format numérique après la formation, les enseignantes permettent aux élèves d’accéder au contenu autrement que par l’écrit papier et agissent donc également sur le deuxième principe (le Comment).</w:t>
                      </w:r>
                    </w:p>
                  </w:txbxContent>
                </v:textbox>
                <w10:wrap type="topAndBottom" anchorx="page"/>
              </v:shape>
            </w:pict>
          </mc:Fallback>
        </mc:AlternateContent>
      </w:r>
      <w:r w:rsidR="00EA1B6C" w:rsidRPr="00985270">
        <w:rPr>
          <w:noProof/>
          <w:lang w:val="fr-CH"/>
        </w:rPr>
        <w:t>Bien que les résultats soient encourageants, ceux-ci doivent être modérés. D’abord, les documents récoltés après la formation étaient moins nombreux et ne provenaient que de la moitié des enseignantes formées. Ensuite, la tenue de cette formation sur un temps non balisé institutionnellement a probablement limité l’engagement de certaines participantes.</w:t>
      </w:r>
    </w:p>
    <w:p w14:paraId="6A9F3108" w14:textId="12665477" w:rsidR="00EA1B6C" w:rsidRPr="00985270" w:rsidRDefault="00EA1B6C" w:rsidP="00985270">
      <w:pPr>
        <w:pStyle w:val="Titre1"/>
        <w:rPr>
          <w:rFonts w:eastAsiaTheme="minorEastAsia"/>
          <w:noProof/>
          <w:lang w:val="fr-CH"/>
        </w:rPr>
      </w:pPr>
      <w:r w:rsidRPr="00985270">
        <w:rPr>
          <w:rFonts w:eastAsiaTheme="minorEastAsia"/>
          <w:noProof/>
          <w:lang w:val="fr-CH"/>
        </w:rPr>
        <w:t>Conclusion et perspectives</w:t>
      </w:r>
    </w:p>
    <w:p w14:paraId="7828E056" w14:textId="6578108C" w:rsidR="00A9776C" w:rsidRPr="00985270" w:rsidRDefault="00EA1B6C" w:rsidP="00985270">
      <w:pPr>
        <w:pStyle w:val="Corpsdetexte"/>
        <w:rPr>
          <w:noProof/>
          <w:lang w:val="fr-CH"/>
        </w:rPr>
      </w:pPr>
      <w:r w:rsidRPr="00985270">
        <w:rPr>
          <w:noProof/>
          <w:lang w:val="fr-CH"/>
        </w:rPr>
        <w:t>Cette étude, qui a décrit l’évolution du niveau d’accessibilité des documents produits par des enseignantes et distribués en classe avant et après une formation dispensée par le CPHV, montre des résultats encourageants. En mettant en lien directement les apports théoriques et des exercices pratiques soutenus par des outils efficients, le niveau d’accessibilité des documents s’est amélioré en quelques mois tant sur le respect des critères que sur l’accessibilité globale. À noter ainsi que la grande majorité des documents après la formation était en format numérique.</w:t>
      </w:r>
    </w:p>
    <w:p w14:paraId="5C8BBE4C" w14:textId="53333AAD" w:rsidR="00F075E6" w:rsidRPr="00985270" w:rsidRDefault="00EA1B6C" w:rsidP="00985270">
      <w:pPr>
        <w:pStyle w:val="Corpsdetexte"/>
        <w:rPr>
          <w:noProof/>
          <w:lang w:val="fr-CH"/>
        </w:rPr>
      </w:pPr>
      <w:r w:rsidRPr="00985270">
        <w:rPr>
          <w:noProof/>
          <w:lang w:val="fr-CH"/>
        </w:rPr>
        <w:lastRenderedPageBreak/>
        <w:t>Pour permettre une diffusion plus large et un engagement facilité pour le corps enseignant, la formation a été proposée au catalogue de formation continue de la Haute École Pédagogique BEJUNE. Après une première session comble en 2023, celle de fin 2024 fera l’objet d’une évaluation formelle complète afin de confirmer ou d’infirmer nos premiers résultats</w:t>
      </w:r>
    </w:p>
    <w:p w14:paraId="24C50CA2" w14:textId="2BAEA02F" w:rsidR="00EE6AB8" w:rsidRPr="00985270" w:rsidRDefault="00332123" w:rsidP="00985270">
      <w:pPr>
        <w:pStyle w:val="WichtigBox"/>
        <w:rPr>
          <w:noProof/>
        </w:rPr>
      </w:pPr>
      <w:r w:rsidRPr="00985270">
        <w:rPr>
          <w:b/>
          <w:bCs/>
          <w:noProof/>
        </w:rPr>
        <w:t xml:space="preserve">Remerciements : </w:t>
      </w:r>
      <w:r w:rsidRPr="00985270">
        <w:rPr>
          <w:noProof/>
        </w:rPr>
        <w:t xml:space="preserve">Les autrices remercient Alessia Personeni, Alexis Fruet, Filippo Gonteri et Isabelle Fleury pour leur implication dans ce projet, ainsi que Lydie, Florence, Deborah, Karin, Jennifer, Mélissa et Noémie, enseignantes du canton de Neuchâtel ayant participé à la formation donnée par le CPHV et fourni les documents indispensables à la réalisation de ce travail. </w:t>
      </w:r>
    </w:p>
    <w:p w14:paraId="0BF12391" w14:textId="77777777" w:rsidR="0092390B" w:rsidRPr="00985270" w:rsidRDefault="0092390B" w:rsidP="00985270">
      <w:pPr>
        <w:pStyle w:val="Titre1"/>
        <w:rPr>
          <w:rFonts w:eastAsiaTheme="minorEastAsia"/>
          <w:noProof/>
          <w:lang w:val="fr-CH"/>
        </w:rPr>
      </w:pPr>
      <w:r w:rsidRPr="00985270">
        <w:rPr>
          <w:rFonts w:eastAsiaTheme="minorEastAsia"/>
          <w:noProof/>
          <w:lang w:val="fr-CH"/>
        </w:rPr>
        <w:t>Autrices et auteurs</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272CCA" w:rsidRPr="00985270" w14:paraId="68B063A0" w14:textId="77777777" w:rsidTr="00272CCA">
        <w:tc>
          <w:tcPr>
            <w:tcW w:w="2500" w:type="pct"/>
            <w:vAlign w:val="center"/>
          </w:tcPr>
          <w:p w14:paraId="3CEE218E" w14:textId="77777777" w:rsidR="00272CCA" w:rsidRPr="00985270" w:rsidRDefault="00272CCA" w:rsidP="00985270">
            <w:pPr>
              <w:pStyle w:val="Corpsdetexte3"/>
              <w:rPr>
                <w:noProof/>
                <w:lang w:val="fr-CH"/>
              </w:rPr>
            </w:pPr>
            <w:r w:rsidRPr="00985270">
              <w:rPr>
                <w:noProof/>
                <w:lang w:val="fr-CH"/>
              </w:rPr>
              <w:drawing>
                <wp:inline distT="0" distB="0" distL="0" distR="0" wp14:anchorId="65DB94C6" wp14:editId="37B594C3">
                  <wp:extent cx="1036320" cy="1036320"/>
                  <wp:effectExtent l="0" t="0" r="0" b="0"/>
                  <wp:docPr id="624240285" name="Graphique 624240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40285" name="Graphique 62424028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2500" w:type="pct"/>
            <w:vAlign w:val="center"/>
          </w:tcPr>
          <w:p w14:paraId="168A210D" w14:textId="77777777" w:rsidR="00272CCA" w:rsidRPr="00985270" w:rsidRDefault="00272CCA" w:rsidP="00985270">
            <w:pPr>
              <w:pStyle w:val="Corpsdetexte3"/>
              <w:rPr>
                <w:noProof/>
                <w:lang w:val="fr-CH"/>
              </w:rPr>
            </w:pPr>
            <w:r w:rsidRPr="00985270">
              <w:rPr>
                <w:noProof/>
                <w:lang w:val="fr-CH"/>
              </w:rPr>
              <w:drawing>
                <wp:inline distT="0" distB="0" distL="0" distR="0" wp14:anchorId="4C506D5E" wp14:editId="411AAEED">
                  <wp:extent cx="1036320" cy="1036320"/>
                  <wp:effectExtent l="0" t="0" r="0" b="0"/>
                  <wp:docPr id="480583214" name="Graphique 4805832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83214" name="Graphique 48058321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272CCA" w:rsidRPr="001A0FBB" w14:paraId="0BE80434" w14:textId="77777777" w:rsidTr="00272CCA">
        <w:trPr>
          <w:trHeight w:val="960"/>
        </w:trPr>
        <w:tc>
          <w:tcPr>
            <w:tcW w:w="2500" w:type="pct"/>
          </w:tcPr>
          <w:p w14:paraId="6AA351A3" w14:textId="5596635E" w:rsidR="00272CCA" w:rsidRPr="00985270" w:rsidRDefault="001B562D" w:rsidP="00985270">
            <w:pPr>
              <w:pStyle w:val="Corpsdetexte3"/>
              <w:rPr>
                <w:noProof/>
                <w:lang w:val="fr-CH"/>
              </w:rPr>
            </w:pPr>
            <w:r w:rsidRPr="00985270">
              <w:rPr>
                <w:noProof/>
                <w:lang w:val="fr-CH"/>
              </w:rPr>
              <w:t xml:space="preserve">Raphaëlle Bertrand, PhD </w:t>
            </w:r>
            <w:r w:rsidRPr="00985270">
              <w:rPr>
                <w:noProof/>
                <w:lang w:val="fr-CH"/>
              </w:rPr>
              <w:br/>
              <w:t>Responsable Formation Innovation</w:t>
            </w:r>
            <w:r w:rsidRPr="00985270">
              <w:rPr>
                <w:noProof/>
                <w:lang w:val="fr-CH"/>
              </w:rPr>
              <w:br/>
              <w:t>CPHV, Lausanne</w:t>
            </w:r>
            <w:r w:rsidRPr="00985270">
              <w:rPr>
                <w:noProof/>
                <w:lang w:val="fr-CH"/>
              </w:rPr>
              <w:br/>
            </w:r>
            <w:hyperlink r:id="rId20" w:history="1">
              <w:r w:rsidRPr="001A0FBB">
                <w:rPr>
                  <w:rStyle w:val="Lienhypertexte"/>
                  <w:lang w:val="fr-CH"/>
                </w:rPr>
                <w:t>raphaelle.bertrand@cphv.ch</w:t>
              </w:r>
            </w:hyperlink>
            <w:r w:rsidRPr="00985270">
              <w:rPr>
                <w:noProof/>
                <w:lang w:val="fr-CH"/>
              </w:rPr>
              <w:t xml:space="preserve">  </w:t>
            </w:r>
          </w:p>
        </w:tc>
        <w:tc>
          <w:tcPr>
            <w:tcW w:w="2500" w:type="pct"/>
          </w:tcPr>
          <w:p w14:paraId="402C49E6" w14:textId="5A10E31C" w:rsidR="00272CCA" w:rsidRPr="00985270" w:rsidRDefault="00E46446" w:rsidP="00985270">
            <w:pPr>
              <w:pStyle w:val="Corpsdetexte3"/>
              <w:rPr>
                <w:noProof/>
                <w:lang w:val="fr-CH"/>
              </w:rPr>
            </w:pPr>
            <w:r w:rsidRPr="00985270">
              <w:rPr>
                <w:noProof/>
                <w:lang w:val="fr-CH"/>
              </w:rPr>
              <w:t xml:space="preserve">Marine Schouwey </w:t>
            </w:r>
            <w:r w:rsidR="003C0D77" w:rsidRPr="00985270">
              <w:rPr>
                <w:noProof/>
                <w:lang w:val="fr-CH"/>
              </w:rPr>
              <w:br/>
            </w:r>
            <w:r w:rsidRPr="00985270">
              <w:rPr>
                <w:noProof/>
                <w:lang w:val="fr-CH"/>
              </w:rPr>
              <w:t xml:space="preserve">Étudiante en pédagogie spécialisée </w:t>
            </w:r>
            <w:r w:rsidR="003C0D77" w:rsidRPr="00985270">
              <w:rPr>
                <w:noProof/>
                <w:lang w:val="fr-CH"/>
              </w:rPr>
              <w:br/>
            </w:r>
            <w:r w:rsidRPr="00985270">
              <w:rPr>
                <w:noProof/>
                <w:lang w:val="fr-CH"/>
              </w:rPr>
              <w:t xml:space="preserve">Université de Fribourg </w:t>
            </w:r>
            <w:r w:rsidR="003C0D77" w:rsidRPr="00985270">
              <w:rPr>
                <w:noProof/>
                <w:lang w:val="fr-CH"/>
              </w:rPr>
              <w:br/>
            </w:r>
            <w:hyperlink r:id="rId21" w:history="1">
              <w:r w:rsidRPr="001A0FBB">
                <w:rPr>
                  <w:rStyle w:val="Lienhypertexte"/>
                  <w:lang w:val="fr-CH"/>
                </w:rPr>
                <w:t>Schouweym@gmail.com</w:t>
              </w:r>
            </w:hyperlink>
            <w:r w:rsidRPr="00985270">
              <w:rPr>
                <w:noProof/>
                <w:lang w:val="fr-CH"/>
              </w:rPr>
              <w:t xml:space="preserve"> </w:t>
            </w:r>
            <w:r w:rsidRPr="00985270">
              <w:rPr>
                <w:rStyle w:val="Lienhypertexte"/>
                <w:rFonts w:eastAsiaTheme="minorEastAsia" w:cs="Open Sans SemiCondensed"/>
                <w:bCs w:val="0"/>
                <w:iCs w:val="0"/>
                <w:noProof/>
                <w:color w:val="auto"/>
                <w:lang w:val="fr-CH"/>
              </w:rPr>
              <w:t xml:space="preserve"> </w:t>
            </w:r>
          </w:p>
        </w:tc>
      </w:tr>
      <w:tr w:rsidR="00272CCA" w:rsidRPr="00985270" w14:paraId="38840924" w14:textId="77777777" w:rsidTr="00272CCA">
        <w:trPr>
          <w:trHeight w:val="960"/>
        </w:trPr>
        <w:tc>
          <w:tcPr>
            <w:tcW w:w="2500" w:type="pct"/>
            <w:vAlign w:val="center"/>
          </w:tcPr>
          <w:p w14:paraId="16D67882" w14:textId="1A06A804" w:rsidR="00272CCA" w:rsidRPr="00985270" w:rsidRDefault="00272CCA" w:rsidP="00985270">
            <w:pPr>
              <w:pStyle w:val="Corpsdetexte3"/>
              <w:rPr>
                <w:noProof/>
                <w:lang w:val="fr-CH"/>
              </w:rPr>
            </w:pPr>
            <w:r w:rsidRPr="00985270">
              <w:rPr>
                <w:noProof/>
                <w:lang w:val="fr-CH"/>
              </w:rPr>
              <w:drawing>
                <wp:inline distT="0" distB="0" distL="0" distR="0" wp14:anchorId="0C6852E9" wp14:editId="7615ECF1">
                  <wp:extent cx="1036320" cy="1036320"/>
                  <wp:effectExtent l="0" t="0" r="0" b="0"/>
                  <wp:docPr id="840082660" name="Graphique 8400826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082660" name="Graphique 840082660">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2500" w:type="pct"/>
            <w:vAlign w:val="center"/>
          </w:tcPr>
          <w:p w14:paraId="3CD9C8CD" w14:textId="4CF853B0" w:rsidR="00272CCA" w:rsidRPr="00985270" w:rsidRDefault="00272CCA" w:rsidP="00985270">
            <w:pPr>
              <w:pStyle w:val="Corpsdetexte3"/>
              <w:rPr>
                <w:noProof/>
                <w:lang w:val="fr-CH"/>
              </w:rPr>
            </w:pPr>
            <w:r w:rsidRPr="00985270">
              <w:rPr>
                <w:noProof/>
                <w:lang w:val="fr-CH"/>
              </w:rPr>
              <w:drawing>
                <wp:inline distT="0" distB="0" distL="0" distR="0" wp14:anchorId="6DAF601A" wp14:editId="422FDC13">
                  <wp:extent cx="993379" cy="1037713"/>
                  <wp:effectExtent l="0" t="0" r="0" b="0"/>
                  <wp:docPr id="1276466360" name="Graphique 12764663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66360" name="Graphique 1276466360">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rcRect t="10809" b="10809"/>
                          <a:stretch>
                            <a:fillRect/>
                          </a:stretch>
                        </pic:blipFill>
                        <pic:spPr bwMode="auto">
                          <a:xfrm>
                            <a:off x="0" y="0"/>
                            <a:ext cx="993379" cy="1037713"/>
                          </a:xfrm>
                          <a:prstGeom prst="rect">
                            <a:avLst/>
                          </a:prstGeom>
                          <a:ln>
                            <a:noFill/>
                          </a:ln>
                          <a:extLst>
                            <a:ext uri="{53640926-AAD7-44D8-BBD7-CCE9431645EC}">
                              <a14:shadowObscured xmlns:a14="http://schemas.microsoft.com/office/drawing/2010/main"/>
                            </a:ext>
                          </a:extLst>
                        </pic:spPr>
                      </pic:pic>
                    </a:graphicData>
                  </a:graphic>
                </wp:inline>
              </w:drawing>
            </w:r>
          </w:p>
        </w:tc>
      </w:tr>
      <w:tr w:rsidR="00272CCA" w:rsidRPr="001A0FBB" w14:paraId="3052B426" w14:textId="77777777" w:rsidTr="008907AD">
        <w:trPr>
          <w:trHeight w:val="1402"/>
        </w:trPr>
        <w:tc>
          <w:tcPr>
            <w:tcW w:w="2500" w:type="pct"/>
          </w:tcPr>
          <w:p w14:paraId="3C5F82CB" w14:textId="10A070C0" w:rsidR="00272CCA" w:rsidRPr="00985270" w:rsidRDefault="00175483" w:rsidP="00985270">
            <w:pPr>
              <w:pStyle w:val="Corpsdetexte3"/>
              <w:rPr>
                <w:noProof/>
                <w:lang w:val="fr-CH"/>
              </w:rPr>
            </w:pPr>
            <w:r w:rsidRPr="00985270">
              <w:rPr>
                <w:noProof/>
                <w:lang w:val="fr-CH"/>
              </w:rPr>
              <w:t>Valérie Caron, PhD</w:t>
            </w:r>
            <w:r w:rsidR="003C0D77" w:rsidRPr="00985270">
              <w:rPr>
                <w:noProof/>
                <w:lang w:val="fr-CH"/>
              </w:rPr>
              <w:br/>
            </w:r>
            <w:r w:rsidRPr="00985270">
              <w:rPr>
                <w:noProof/>
                <w:lang w:val="fr-CH"/>
              </w:rPr>
              <w:t>Lectrice au Département de Pédagogie Spécialisée</w:t>
            </w:r>
            <w:r w:rsidR="003C0D77" w:rsidRPr="00985270">
              <w:rPr>
                <w:noProof/>
                <w:lang w:val="fr-CH"/>
              </w:rPr>
              <w:br/>
            </w:r>
            <w:r w:rsidRPr="00985270">
              <w:rPr>
                <w:noProof/>
                <w:lang w:val="fr-CH"/>
              </w:rPr>
              <w:t>Université de Fribourg</w:t>
            </w:r>
            <w:r w:rsidR="003C0D77" w:rsidRPr="00985270">
              <w:rPr>
                <w:noProof/>
                <w:lang w:val="fr-CH"/>
              </w:rPr>
              <w:br/>
            </w:r>
            <w:hyperlink r:id="rId24" w:history="1">
              <w:r w:rsidRPr="001A0FBB">
                <w:rPr>
                  <w:rStyle w:val="Lienhypertexte"/>
                  <w:lang w:val="fr-CH"/>
                </w:rPr>
                <w:t>valerie.caron@unifr.ch</w:t>
              </w:r>
            </w:hyperlink>
            <w:r w:rsidRPr="00985270">
              <w:rPr>
                <w:noProof/>
                <w:lang w:val="fr-CH"/>
              </w:rPr>
              <w:t xml:space="preserve"> </w:t>
            </w:r>
          </w:p>
        </w:tc>
        <w:tc>
          <w:tcPr>
            <w:tcW w:w="2500" w:type="pct"/>
          </w:tcPr>
          <w:p w14:paraId="372981FC" w14:textId="24447898" w:rsidR="00272CCA" w:rsidRPr="00985270" w:rsidRDefault="00733206" w:rsidP="00985270">
            <w:pPr>
              <w:pStyle w:val="Corpsdetexte3"/>
              <w:rPr>
                <w:noProof/>
                <w:lang w:val="fr-CH"/>
              </w:rPr>
            </w:pPr>
            <w:r w:rsidRPr="00985270">
              <w:rPr>
                <w:noProof/>
                <w:lang w:val="fr-CH"/>
              </w:rPr>
              <w:t>Fabienne Sypowski</w:t>
            </w:r>
            <w:r w:rsidR="003C0D77" w:rsidRPr="00985270">
              <w:rPr>
                <w:noProof/>
                <w:lang w:val="fr-CH"/>
              </w:rPr>
              <w:br/>
            </w:r>
            <w:r w:rsidRPr="00985270">
              <w:rPr>
                <w:noProof/>
                <w:lang w:val="fr-CH"/>
              </w:rPr>
              <w:t xml:space="preserve">Responsable du Centre Technique </w:t>
            </w:r>
            <w:r w:rsidR="00A06946" w:rsidRPr="00985270">
              <w:rPr>
                <w:noProof/>
                <w:lang w:val="fr-CH"/>
              </w:rPr>
              <w:br/>
            </w:r>
            <w:r w:rsidRPr="00985270">
              <w:rPr>
                <w:noProof/>
                <w:lang w:val="fr-CH"/>
              </w:rPr>
              <w:t>en Adaptation et Accessibilité</w:t>
            </w:r>
            <w:r w:rsidR="003C0D77" w:rsidRPr="00985270">
              <w:rPr>
                <w:noProof/>
                <w:lang w:val="fr-CH"/>
              </w:rPr>
              <w:br/>
            </w:r>
            <w:r w:rsidRPr="00985270">
              <w:rPr>
                <w:noProof/>
                <w:lang w:val="fr-CH"/>
              </w:rPr>
              <w:t>CPHV, Lausanne</w:t>
            </w:r>
            <w:r w:rsidR="003C0D77" w:rsidRPr="00985270">
              <w:rPr>
                <w:noProof/>
                <w:lang w:val="fr-CH"/>
              </w:rPr>
              <w:br/>
            </w:r>
            <w:hyperlink r:id="rId25" w:history="1">
              <w:r w:rsidR="00A06946" w:rsidRPr="001A0FBB">
                <w:rPr>
                  <w:rStyle w:val="Lienhypertexte"/>
                  <w:lang w:val="fr-CH"/>
                </w:rPr>
                <w:t>Fabienne.sypowski@cphv.ch</w:t>
              </w:r>
            </w:hyperlink>
            <w:r w:rsidR="00A06946" w:rsidRPr="00985270">
              <w:rPr>
                <w:noProof/>
                <w:lang w:val="fr-CH"/>
              </w:rPr>
              <w:t xml:space="preserve"> </w:t>
            </w:r>
          </w:p>
        </w:tc>
      </w:tr>
    </w:tbl>
    <w:p w14:paraId="391ECB12" w14:textId="3DE9999B" w:rsidR="00092E5F" w:rsidRPr="00985270" w:rsidRDefault="00092E5F" w:rsidP="00985270">
      <w:pPr>
        <w:pStyle w:val="Titre1"/>
        <w:rPr>
          <w:rFonts w:eastAsiaTheme="minorEastAsia"/>
          <w:noProof/>
          <w:lang w:val="fr-CH"/>
        </w:rPr>
      </w:pPr>
      <w:r w:rsidRPr="00985270">
        <w:rPr>
          <w:rFonts w:eastAsiaTheme="minorEastAsia"/>
          <w:noProof/>
          <w:lang w:val="fr-CH"/>
        </w:rPr>
        <w:t>Références</w:t>
      </w:r>
    </w:p>
    <w:p w14:paraId="6D6132A6" w14:textId="77777777" w:rsidR="00092E5F" w:rsidRPr="00985270" w:rsidRDefault="00092E5F" w:rsidP="00985270">
      <w:pPr>
        <w:pStyle w:val="Bibliographie"/>
        <w:rPr>
          <w:noProof/>
          <w:shd w:val="clear" w:color="auto" w:fill="FFFFFF"/>
          <w:lang w:val="fr-CH"/>
        </w:rPr>
      </w:pPr>
      <w:r w:rsidRPr="00985270">
        <w:rPr>
          <w:noProof/>
          <w:shd w:val="clear" w:color="auto" w:fill="FFFFFF"/>
          <w:lang w:val="fr-CH"/>
        </w:rPr>
        <w:t xml:space="preserve">Bergeron, L., Rousseau, N., &amp; Leclerc, M. (2011). La pédagogie universelle : au cœur de la planification de l’inclusion scolaire. </w:t>
      </w:r>
      <w:r w:rsidRPr="00985270">
        <w:rPr>
          <w:i/>
          <w:iCs/>
          <w:noProof/>
          <w:shd w:val="clear" w:color="auto" w:fill="FFFFFF"/>
          <w:lang w:val="fr-CH"/>
        </w:rPr>
        <w:t>Éducation et francophonie, 39</w:t>
      </w:r>
      <w:r w:rsidRPr="00985270">
        <w:rPr>
          <w:noProof/>
          <w:shd w:val="clear" w:color="auto" w:fill="FFFFFF"/>
          <w:lang w:val="fr-CH"/>
        </w:rPr>
        <w:t xml:space="preserve">(2), 87–104. </w:t>
      </w:r>
      <w:hyperlink r:id="rId26" w:history="1">
        <w:r w:rsidRPr="001A0FBB">
          <w:rPr>
            <w:rStyle w:val="Lienhypertexte"/>
            <w:lang w:val="fr-CH"/>
          </w:rPr>
          <w:t>https://doi.org/10.7202/1007729ar</w:t>
        </w:r>
      </w:hyperlink>
      <w:r w:rsidRPr="00985270">
        <w:rPr>
          <w:noProof/>
          <w:shd w:val="clear" w:color="auto" w:fill="FFFFFF"/>
          <w:lang w:val="fr-CH"/>
        </w:rPr>
        <w:t xml:space="preserve"> </w:t>
      </w:r>
    </w:p>
    <w:p w14:paraId="44E10496" w14:textId="77777777" w:rsidR="00092E5F" w:rsidRPr="001A0FBB" w:rsidRDefault="00092E5F" w:rsidP="00985270">
      <w:pPr>
        <w:pStyle w:val="Bibliographie"/>
        <w:rPr>
          <w:noProof/>
          <w:shd w:val="clear" w:color="auto" w:fill="FFFFFF"/>
          <w:lang w:val="en-US"/>
        </w:rPr>
      </w:pPr>
      <w:r w:rsidRPr="00985270">
        <w:rPr>
          <w:noProof/>
          <w:shd w:val="clear" w:color="auto" w:fill="FFFFFF"/>
          <w:lang w:val="fr-CH"/>
        </w:rPr>
        <w:t xml:space="preserve">Bertrand, R., Schouwey, M., Caron, V., &amp; Fleury, I. (2023). Projet Accessibilité dans des classes du canton de Neuchâtel : former les enseignants à produire des fichiers nativement accessibles. Symposium Accessibilité Dans les Milieux de Formation [POSTER], Lausanne, Suisse. </w:t>
      </w:r>
      <w:hyperlink r:id="rId27" w:history="1">
        <w:r w:rsidRPr="001A0FBB">
          <w:rPr>
            <w:rStyle w:val="Lienhypertexte"/>
            <w:lang w:val="en-US"/>
          </w:rPr>
          <w:t>https://drive.google.com/file/d/1lzn9oDYDLCE15P2tfdZKm2oPZNrVMC20/view?usp=sharing</w:t>
        </w:r>
      </w:hyperlink>
      <w:r w:rsidRPr="001A0FBB">
        <w:rPr>
          <w:noProof/>
          <w:shd w:val="clear" w:color="auto" w:fill="FFFFFF"/>
          <w:lang w:val="en-US"/>
        </w:rPr>
        <w:t xml:space="preserve">  </w:t>
      </w:r>
    </w:p>
    <w:p w14:paraId="0779D91E" w14:textId="77777777" w:rsidR="00092E5F" w:rsidRPr="001A0FBB" w:rsidRDefault="00092E5F" w:rsidP="00985270">
      <w:pPr>
        <w:pStyle w:val="Bibliographie"/>
        <w:rPr>
          <w:noProof/>
          <w:lang w:val="en-US"/>
        </w:rPr>
      </w:pPr>
      <w:r w:rsidRPr="001A0FBB">
        <w:rPr>
          <w:noProof/>
          <w:lang w:val="en-US"/>
        </w:rPr>
        <w:t>CAST (2018). Universal Design for Learning Guidelines version 2.2.</w:t>
      </w:r>
    </w:p>
    <w:p w14:paraId="688B1994" w14:textId="77777777" w:rsidR="00092E5F" w:rsidRPr="00985270" w:rsidRDefault="00092E5F" w:rsidP="00985270">
      <w:pPr>
        <w:pStyle w:val="Bibliographie"/>
        <w:rPr>
          <w:noProof/>
          <w:lang w:val="fr-CH"/>
        </w:rPr>
      </w:pPr>
      <w:r w:rsidRPr="00985270">
        <w:rPr>
          <w:noProof/>
          <w:lang w:val="fr-CH"/>
        </w:rPr>
        <w:t xml:space="preserve">Castillan, L., Lemarié, J., &amp; Mojahid, M. (2018). Numérique, handicap visuel et accessibilité des apprentissages. Contenus pédagogiques numériques : quelle accessibilité pour les élèves présentant une déficience visuelle ? </w:t>
      </w:r>
      <w:r w:rsidRPr="00985270">
        <w:rPr>
          <w:i/>
          <w:iCs/>
          <w:noProof/>
          <w:lang w:val="fr-CH"/>
        </w:rPr>
        <w:t>Éducation &amp; Formation,</w:t>
      </w:r>
      <w:r w:rsidRPr="00985270">
        <w:rPr>
          <w:noProof/>
          <w:lang w:val="fr-CH"/>
        </w:rPr>
        <w:t xml:space="preserve"> </w:t>
      </w:r>
      <w:r w:rsidRPr="00985270">
        <w:rPr>
          <w:i/>
          <w:iCs/>
          <w:noProof/>
          <w:lang w:val="fr-CH"/>
        </w:rPr>
        <w:t>e-311</w:t>
      </w:r>
      <w:r w:rsidRPr="00985270">
        <w:rPr>
          <w:noProof/>
          <w:lang w:val="fr-CH"/>
        </w:rPr>
        <w:t xml:space="preserve">, 90-102. </w:t>
      </w:r>
      <w:hyperlink r:id="rId28" w:history="1">
        <w:r w:rsidRPr="001A0FBB">
          <w:rPr>
            <w:rStyle w:val="Lienhypertexte"/>
            <w:lang w:val="fr-CH"/>
          </w:rPr>
          <w:t>https://hal.science/hal-02494144</w:t>
        </w:r>
      </w:hyperlink>
      <w:r w:rsidRPr="00985270">
        <w:rPr>
          <w:noProof/>
          <w:lang w:val="fr-CH"/>
        </w:rPr>
        <w:t xml:space="preserve"> </w:t>
      </w:r>
    </w:p>
    <w:p w14:paraId="3B61401F" w14:textId="77777777" w:rsidR="00092E5F" w:rsidRPr="00985270" w:rsidRDefault="00092E5F" w:rsidP="00985270">
      <w:pPr>
        <w:pStyle w:val="Bibliographie"/>
        <w:rPr>
          <w:noProof/>
          <w:lang w:val="fr-CH"/>
        </w:rPr>
      </w:pPr>
      <w:r w:rsidRPr="00985270">
        <w:rPr>
          <w:noProof/>
          <w:lang w:val="fr-CH"/>
        </w:rPr>
        <w:lastRenderedPageBreak/>
        <w:t xml:space="preserve">Centre suisse de pédagogie spécialisée. (2021). </w:t>
      </w:r>
      <w:r w:rsidRPr="00985270">
        <w:rPr>
          <w:i/>
          <w:iCs/>
          <w:noProof/>
          <w:lang w:val="fr-CH"/>
        </w:rPr>
        <w:t>Développement du taux d’intégration scolaire en Suisse, 1999–2020</w:t>
      </w:r>
      <w:r w:rsidRPr="00985270">
        <w:rPr>
          <w:noProof/>
          <w:lang w:val="fr-CH"/>
        </w:rPr>
        <w:t xml:space="preserve">. </w:t>
      </w:r>
      <w:hyperlink r:id="rId29" w:history="1">
        <w:r w:rsidRPr="001A0FBB">
          <w:rPr>
            <w:rStyle w:val="Lienhypertexte"/>
            <w:lang w:val="fr-CH"/>
          </w:rPr>
          <w:t>https://www.csps.ch/themes/statistiques/enseignement-specialise</w:t>
        </w:r>
      </w:hyperlink>
      <w:r w:rsidRPr="00985270">
        <w:rPr>
          <w:noProof/>
          <w:lang w:val="fr-CH"/>
        </w:rPr>
        <w:t xml:space="preserve"> </w:t>
      </w:r>
    </w:p>
    <w:p w14:paraId="1CE5BAAF" w14:textId="77777777" w:rsidR="00092E5F" w:rsidRPr="001A0FBB" w:rsidRDefault="00092E5F" w:rsidP="00985270">
      <w:pPr>
        <w:pStyle w:val="Bibliographie"/>
        <w:rPr>
          <w:noProof/>
          <w:shd w:val="clear" w:color="auto" w:fill="FFFFFF"/>
        </w:rPr>
      </w:pPr>
      <w:r w:rsidRPr="00985270">
        <w:rPr>
          <w:noProof/>
          <w:shd w:val="clear" w:color="auto" w:fill="FFFFFF"/>
          <w:lang w:val="fr-CH"/>
        </w:rPr>
        <w:t xml:space="preserve">Commission Évolution du Braille Français (2008). </w:t>
      </w:r>
      <w:r w:rsidRPr="00985270">
        <w:rPr>
          <w:i/>
          <w:iCs/>
          <w:noProof/>
          <w:shd w:val="clear" w:color="auto" w:fill="FFFFFF"/>
          <w:lang w:val="fr-CH"/>
        </w:rPr>
        <w:t>Code braille français uniformisé pour la transcription des textes imprimés</w:t>
      </w:r>
      <w:r w:rsidRPr="00985270">
        <w:rPr>
          <w:noProof/>
          <w:shd w:val="clear" w:color="auto" w:fill="FFFFFF"/>
          <w:lang w:val="fr-CH"/>
        </w:rPr>
        <w:t xml:space="preserve">. </w:t>
      </w:r>
      <w:hyperlink r:id="rId30" w:history="1">
        <w:r w:rsidRPr="00985270">
          <w:rPr>
            <w:rStyle w:val="Lienhypertexte"/>
          </w:rPr>
          <w:t>https://www.avh.asso.fr/sites/default/files/cbfu_edition_internationale_1.pdf</w:t>
        </w:r>
      </w:hyperlink>
      <w:r w:rsidRPr="001A0FBB">
        <w:rPr>
          <w:noProof/>
          <w:shd w:val="clear" w:color="auto" w:fill="FFFFFF"/>
        </w:rPr>
        <w:t xml:space="preserve"> </w:t>
      </w:r>
    </w:p>
    <w:p w14:paraId="343781C0" w14:textId="77777777" w:rsidR="00092E5F" w:rsidRPr="00985270" w:rsidRDefault="00092E5F" w:rsidP="00985270">
      <w:pPr>
        <w:pStyle w:val="Bibliographie"/>
        <w:rPr>
          <w:noProof/>
          <w:lang w:val="fr-CH"/>
        </w:rPr>
      </w:pPr>
      <w:r w:rsidRPr="00985270">
        <w:rPr>
          <w:noProof/>
          <w:lang w:val="fr-CH"/>
        </w:rPr>
        <w:t xml:space="preserve">Gabriel, G., &amp; Ollier, M. (2016). Des pistes de travail dans l’aide technique pour la scolarisation des élèves déficients visuels. In N. Lewi-Dumont (dir.), </w:t>
      </w:r>
      <w:r w:rsidRPr="00985270">
        <w:rPr>
          <w:i/>
          <w:iCs/>
          <w:noProof/>
          <w:lang w:val="fr-CH"/>
        </w:rPr>
        <w:t>Enseigner à des élèves aveugles ou malvoyants</w:t>
      </w:r>
      <w:r w:rsidRPr="00985270">
        <w:rPr>
          <w:noProof/>
          <w:lang w:val="fr-CH"/>
        </w:rPr>
        <w:t xml:space="preserve">. Canopé. </w:t>
      </w:r>
      <w:hyperlink r:id="rId31" w:history="1">
        <w:r w:rsidRPr="001A0FBB">
          <w:rPr>
            <w:rStyle w:val="Lienhypertexte"/>
            <w:lang w:val="fr-CH"/>
          </w:rPr>
          <w:t>https://inshea.fr/sites/default/files/Bibliographie_deficience_visuelle_INSHEA_2022.pdf</w:t>
        </w:r>
      </w:hyperlink>
      <w:r w:rsidRPr="00985270">
        <w:rPr>
          <w:noProof/>
          <w:lang w:val="fr-CH"/>
        </w:rPr>
        <w:t xml:space="preserve"> </w:t>
      </w:r>
    </w:p>
    <w:p w14:paraId="507962BD" w14:textId="77777777" w:rsidR="00092E5F" w:rsidRPr="00985270" w:rsidRDefault="00092E5F" w:rsidP="00985270">
      <w:pPr>
        <w:pStyle w:val="Bibliographie"/>
        <w:rPr>
          <w:rStyle w:val="Lienhypertexte"/>
          <w:rFonts w:eastAsiaTheme="minorEastAsia" w:cs="Open Sans SemiCondensed"/>
          <w:noProof/>
          <w:color w:val="auto"/>
          <w:lang w:val="fr-CH"/>
        </w:rPr>
      </w:pPr>
      <w:r w:rsidRPr="00985270">
        <w:rPr>
          <w:noProof/>
          <w:lang w:val="fr-CH"/>
        </w:rPr>
        <w:t>Loi cantonale vaudoise sur la pédagogie spécialisée (LPS) du 1</w:t>
      </w:r>
      <w:r w:rsidRPr="00985270">
        <w:rPr>
          <w:noProof/>
          <w:vertAlign w:val="superscript"/>
          <w:lang w:val="fr-CH"/>
        </w:rPr>
        <w:t>er</w:t>
      </w:r>
      <w:r w:rsidRPr="00985270">
        <w:rPr>
          <w:noProof/>
          <w:lang w:val="fr-CH"/>
        </w:rPr>
        <w:t xml:space="preserve"> septembre 2015, RS/VD 417.31 (État le 01</w:t>
      </w:r>
      <w:r w:rsidRPr="00985270">
        <w:rPr>
          <w:noProof/>
          <w:vertAlign w:val="superscript"/>
          <w:lang w:val="fr-CH"/>
        </w:rPr>
        <w:t>er</w:t>
      </w:r>
      <w:r w:rsidRPr="00985270">
        <w:rPr>
          <w:noProof/>
          <w:lang w:val="fr-CH"/>
        </w:rPr>
        <w:t xml:space="preserve"> mars 2022). </w:t>
      </w:r>
      <w:hyperlink r:id="rId32" w:history="1">
        <w:r w:rsidRPr="001A0FBB">
          <w:rPr>
            <w:rStyle w:val="Lienhypertexte"/>
            <w:lang w:val="fr-CH"/>
          </w:rPr>
          <w:t>https://www.lexfind.ch/fe/de/tol/20673/fr</w:t>
        </w:r>
      </w:hyperlink>
      <w:r w:rsidRPr="00985270">
        <w:rPr>
          <w:noProof/>
          <w:lang w:val="fr-CH"/>
        </w:rPr>
        <w:t xml:space="preserve"> </w:t>
      </w:r>
    </w:p>
    <w:p w14:paraId="5BCDCB25" w14:textId="77777777" w:rsidR="00092E5F" w:rsidRPr="00985270" w:rsidRDefault="00092E5F" w:rsidP="00985270">
      <w:pPr>
        <w:pStyle w:val="Bibliographie"/>
        <w:rPr>
          <w:noProof/>
          <w:lang w:val="fr-CH"/>
        </w:rPr>
      </w:pPr>
      <w:r w:rsidRPr="00985270">
        <w:rPr>
          <w:noProof/>
          <w:lang w:val="fr-CH"/>
        </w:rPr>
        <w:t xml:space="preserve">Loi fédérale sur l’élimination des inégalités frappant les personnes handicapées (Loi sur l’égalité pour les handicapés LHand), RS 151.3 (État le 1er juillet 2020). </w:t>
      </w:r>
      <w:hyperlink r:id="rId33" w:history="1">
        <w:r w:rsidRPr="001A0FBB">
          <w:rPr>
            <w:rStyle w:val="Lienhypertexte"/>
            <w:lang w:val="fr-CH"/>
          </w:rPr>
          <w:t>https://www.fedlex.admin.ch/eli/cc/2003/667/fr</w:t>
        </w:r>
      </w:hyperlink>
      <w:r w:rsidRPr="00985270">
        <w:rPr>
          <w:noProof/>
          <w:lang w:val="fr-CH"/>
        </w:rPr>
        <w:t xml:space="preserve"> </w:t>
      </w:r>
    </w:p>
    <w:p w14:paraId="00F72628" w14:textId="3B950B68" w:rsidR="00092E5F" w:rsidRPr="001A0FBB" w:rsidRDefault="00092E5F" w:rsidP="00985270">
      <w:pPr>
        <w:pStyle w:val="Bibliographie"/>
        <w:rPr>
          <w:noProof/>
          <w:shd w:val="clear" w:color="auto" w:fill="FFFFFF"/>
          <w:lang w:val="en-US"/>
        </w:rPr>
      </w:pPr>
      <w:r w:rsidRPr="00985270">
        <w:rPr>
          <w:noProof/>
          <w:shd w:val="clear" w:color="auto" w:fill="FFFFFF"/>
          <w:lang w:val="fr-CH"/>
        </w:rPr>
        <w:t>Loi sur l’enseignement obligatoire (LEO) du 7 juin 2011 (État le 1</w:t>
      </w:r>
      <w:r w:rsidRPr="00985270">
        <w:rPr>
          <w:noProof/>
          <w:shd w:val="clear" w:color="auto" w:fill="FFFFFF"/>
          <w:vertAlign w:val="superscript"/>
          <w:lang w:val="fr-CH"/>
        </w:rPr>
        <w:t>er</w:t>
      </w:r>
      <w:r w:rsidRPr="00985270">
        <w:rPr>
          <w:noProof/>
          <w:shd w:val="clear" w:color="auto" w:fill="FFFFFF"/>
          <w:lang w:val="fr-CH"/>
        </w:rPr>
        <w:t xml:space="preserve"> août 2013). </w:t>
      </w:r>
      <w:hyperlink r:id="rId34" w:history="1">
        <w:r w:rsidRPr="001A0FBB">
          <w:rPr>
            <w:rStyle w:val="Lienhypertexte"/>
            <w:lang w:val="en-US"/>
          </w:rPr>
          <w:t>https://www.lexfind.ch/fe/fr/tol/24290/fr</w:t>
        </w:r>
      </w:hyperlink>
      <w:r w:rsidRPr="001A0FBB">
        <w:rPr>
          <w:noProof/>
          <w:shd w:val="clear" w:color="auto" w:fill="FFFFFF"/>
          <w:lang w:val="en-US"/>
        </w:rPr>
        <w:t xml:space="preserve"> </w:t>
      </w:r>
    </w:p>
    <w:p w14:paraId="247F8C99" w14:textId="46597A08" w:rsidR="00092E5F" w:rsidRPr="00985270" w:rsidRDefault="00092E5F" w:rsidP="00985270">
      <w:pPr>
        <w:pStyle w:val="Bibliographie"/>
        <w:rPr>
          <w:noProof/>
          <w:shd w:val="clear" w:color="auto" w:fill="FFFFFF"/>
          <w:lang w:val="fr-CH"/>
        </w:rPr>
      </w:pPr>
      <w:r w:rsidRPr="001A0FBB">
        <w:rPr>
          <w:noProof/>
          <w:shd w:val="clear" w:color="auto" w:fill="FFFFFF"/>
          <w:lang w:val="en-US"/>
        </w:rPr>
        <w:t xml:space="preserve">Mace, R. (1985). Universal Design, Barrier-Free Environments for Everyone. </w:t>
      </w:r>
      <w:r w:rsidRPr="00985270">
        <w:rPr>
          <w:i/>
          <w:iCs/>
          <w:noProof/>
          <w:shd w:val="clear" w:color="auto" w:fill="FFFFFF"/>
          <w:lang w:val="fr-CH"/>
        </w:rPr>
        <w:t>Designers West</w:t>
      </w:r>
      <w:r w:rsidRPr="00985270">
        <w:rPr>
          <w:noProof/>
          <w:shd w:val="clear" w:color="auto" w:fill="FFFFFF"/>
          <w:lang w:val="fr-CH"/>
        </w:rPr>
        <w:t xml:space="preserve">, </w:t>
      </w:r>
      <w:r w:rsidRPr="00985270">
        <w:rPr>
          <w:i/>
          <w:iCs/>
          <w:noProof/>
          <w:shd w:val="clear" w:color="auto" w:fill="FFFFFF"/>
          <w:lang w:val="fr-CH"/>
        </w:rPr>
        <w:t>33</w:t>
      </w:r>
      <w:r w:rsidRPr="00985270">
        <w:rPr>
          <w:noProof/>
          <w:shd w:val="clear" w:color="auto" w:fill="FFFFFF"/>
          <w:lang w:val="fr-CH"/>
        </w:rPr>
        <w:t>(1), 147–152.</w:t>
      </w:r>
    </w:p>
    <w:p w14:paraId="4C4188AC" w14:textId="7FE9631F" w:rsidR="00092E5F" w:rsidRPr="00985270" w:rsidRDefault="00092E5F" w:rsidP="00985270">
      <w:pPr>
        <w:pStyle w:val="Bibliographie"/>
        <w:rPr>
          <w:noProof/>
          <w:shd w:val="clear" w:color="auto" w:fill="FFFFFF"/>
          <w:lang w:val="fr-CH"/>
        </w:rPr>
      </w:pPr>
      <w:r w:rsidRPr="00985270">
        <w:rPr>
          <w:noProof/>
          <w:lang w:val="fr-CH"/>
        </w:rPr>
        <w:t>Organisation des Nations unies pour l</w:t>
      </w:r>
      <w:r w:rsidR="00A9186C">
        <w:rPr>
          <w:noProof/>
          <w:lang w:val="fr-CH"/>
        </w:rPr>
        <w:t>’</w:t>
      </w:r>
      <w:r w:rsidRPr="00985270">
        <w:rPr>
          <w:noProof/>
          <w:lang w:val="fr-CH"/>
        </w:rPr>
        <w:t>éducation, la science et la culture</w:t>
      </w:r>
      <w:r w:rsidRPr="00985270">
        <w:rPr>
          <w:noProof/>
          <w:shd w:val="clear" w:color="auto" w:fill="FFFFFF"/>
          <w:lang w:val="fr-CH"/>
        </w:rPr>
        <w:t xml:space="preserve"> [UNESCO]. (1994).</w:t>
      </w:r>
      <w:r w:rsidRPr="00985270">
        <w:rPr>
          <w:i/>
          <w:iCs/>
          <w:noProof/>
          <w:shd w:val="clear" w:color="auto" w:fill="FFFFFF"/>
          <w:lang w:val="fr-CH"/>
        </w:rPr>
        <w:t xml:space="preserve"> </w:t>
      </w:r>
      <w:r w:rsidRPr="00985270">
        <w:rPr>
          <w:i/>
          <w:iCs/>
          <w:noProof/>
          <w:lang w:val="fr-CH"/>
        </w:rPr>
        <w:t>Déclaration de Salamanque et cadre d</w:t>
      </w:r>
      <w:r w:rsidR="00A9186C">
        <w:rPr>
          <w:i/>
          <w:iCs/>
          <w:noProof/>
          <w:lang w:val="fr-CH"/>
        </w:rPr>
        <w:t>’</w:t>
      </w:r>
      <w:r w:rsidRPr="00985270">
        <w:rPr>
          <w:i/>
          <w:iCs/>
          <w:noProof/>
          <w:lang w:val="fr-CH"/>
        </w:rPr>
        <w:t>action pour les besoins éducatifs spéciaux</w:t>
      </w:r>
      <w:r w:rsidRPr="00985270">
        <w:rPr>
          <w:i/>
          <w:iCs/>
          <w:noProof/>
          <w:shd w:val="clear" w:color="auto" w:fill="FFFFFF"/>
          <w:lang w:val="fr-CH"/>
        </w:rPr>
        <w:t xml:space="preserve">. </w:t>
      </w:r>
      <w:r w:rsidRPr="00985270">
        <w:rPr>
          <w:noProof/>
          <w:shd w:val="clear" w:color="auto" w:fill="FFFFFF"/>
          <w:lang w:val="fr-CH"/>
        </w:rPr>
        <w:t xml:space="preserve">UNESCO et ministère de l’Éducation et des Sciences Espagne. </w:t>
      </w:r>
      <w:hyperlink r:id="rId35" w:history="1">
        <w:r w:rsidRPr="001A0FBB">
          <w:rPr>
            <w:rStyle w:val="Lienhypertexte"/>
            <w:lang w:val="fr-CH"/>
          </w:rPr>
          <w:t>https://unesdoc.unesco.org/ark:/48223/pf0000098427_fre</w:t>
        </w:r>
      </w:hyperlink>
      <w:r w:rsidRPr="00985270">
        <w:rPr>
          <w:noProof/>
          <w:shd w:val="clear" w:color="auto" w:fill="FFFFFF"/>
          <w:lang w:val="fr-CH"/>
        </w:rPr>
        <w:t xml:space="preserve"> </w:t>
      </w:r>
    </w:p>
    <w:p w14:paraId="09251195" w14:textId="2910BC6E" w:rsidR="00092E5F" w:rsidRPr="00985270" w:rsidRDefault="00092E5F" w:rsidP="00985270">
      <w:pPr>
        <w:pStyle w:val="Bibliographie"/>
        <w:rPr>
          <w:noProof/>
          <w:lang w:val="fr-CH"/>
        </w:rPr>
      </w:pPr>
      <w:r w:rsidRPr="00985270">
        <w:rPr>
          <w:noProof/>
          <w:lang w:val="fr-CH"/>
        </w:rPr>
        <w:t xml:space="preserve">Organisation des Nations Unies [ONU]. (2006). </w:t>
      </w:r>
      <w:r w:rsidRPr="00985270">
        <w:rPr>
          <w:i/>
          <w:iCs/>
          <w:noProof/>
          <w:lang w:val="fr-CH"/>
        </w:rPr>
        <w:t>Convention relative aux droits des personnes handicapées</w:t>
      </w:r>
      <w:r w:rsidRPr="00985270">
        <w:rPr>
          <w:noProof/>
          <w:lang w:val="fr-CH"/>
        </w:rPr>
        <w:t xml:space="preserve">. </w:t>
      </w:r>
      <w:hyperlink r:id="rId36" w:history="1">
        <w:r w:rsidRPr="001A0FBB">
          <w:rPr>
            <w:rStyle w:val="Lienhypertexte"/>
            <w:lang w:val="fr-CH"/>
          </w:rPr>
          <w:t>https://www.un.org/esa/socdev/enable/documents/tccconvf.pdf</w:t>
        </w:r>
      </w:hyperlink>
      <w:r w:rsidRPr="00985270">
        <w:rPr>
          <w:noProof/>
          <w:lang w:val="fr-CH"/>
        </w:rPr>
        <w:t xml:space="preserve"> </w:t>
      </w:r>
    </w:p>
    <w:p w14:paraId="6E2029E3" w14:textId="41635858" w:rsidR="00092E5F" w:rsidRPr="001A0FBB" w:rsidRDefault="00092E5F" w:rsidP="00985270">
      <w:pPr>
        <w:pStyle w:val="Bibliographie"/>
        <w:rPr>
          <w:noProof/>
          <w:shd w:val="clear" w:color="auto" w:fill="FFFFFF"/>
          <w:lang w:val="en-US"/>
        </w:rPr>
      </w:pPr>
      <w:r w:rsidRPr="00985270">
        <w:rPr>
          <w:noProof/>
          <w:shd w:val="clear" w:color="auto" w:fill="FFFFFF"/>
          <w:lang w:val="fr-CH"/>
        </w:rPr>
        <w:t xml:space="preserve">Vienneau, R. (2010). Les effets de l’inclusion scolaire : une recension des écrits (2000 à 2009). Dans N. Rousseau (dir.), </w:t>
      </w:r>
      <w:r w:rsidRPr="00985270">
        <w:rPr>
          <w:i/>
          <w:iCs/>
          <w:noProof/>
          <w:shd w:val="clear" w:color="auto" w:fill="FFFFFF"/>
          <w:lang w:val="fr-CH"/>
        </w:rPr>
        <w:t>La pédagogie de l’inclusion scolaire. Pistes d’action pour apprendre tous ensemble</w:t>
      </w:r>
      <w:r w:rsidRPr="00985270">
        <w:rPr>
          <w:noProof/>
          <w:shd w:val="clear" w:color="auto" w:fill="FFFFFF"/>
          <w:lang w:val="fr-CH"/>
        </w:rPr>
        <w:t xml:space="preserve"> (p. 237-263). </w:t>
      </w:r>
      <w:r w:rsidRPr="001A0FBB">
        <w:rPr>
          <w:noProof/>
          <w:shd w:val="clear" w:color="auto" w:fill="FFFFFF"/>
          <w:lang w:val="en-US"/>
        </w:rPr>
        <w:t xml:space="preserve">Presses de l’Université du Québec. </w:t>
      </w:r>
    </w:p>
    <w:p w14:paraId="1581B53C" w14:textId="0F92E1CC" w:rsidR="00870508" w:rsidRPr="00985270" w:rsidRDefault="00092E5F" w:rsidP="00985270">
      <w:pPr>
        <w:pStyle w:val="Bibliographie"/>
        <w:rPr>
          <w:noProof/>
          <w:lang w:val="fr-CH"/>
        </w:rPr>
      </w:pPr>
      <w:r w:rsidRPr="001A0FBB">
        <w:rPr>
          <w:noProof/>
          <w:lang w:val="en-US"/>
        </w:rPr>
        <w:t xml:space="preserve">Winance, M. (2014). Universal design and the challenge of diversity. Reflections on the principles of UD, based on empirical research of people’s mobility. </w:t>
      </w:r>
      <w:r w:rsidRPr="00985270">
        <w:rPr>
          <w:i/>
          <w:noProof/>
          <w:lang w:val="fr-CH"/>
        </w:rPr>
        <w:t>Disability and Rehabilitation,</w:t>
      </w:r>
      <w:r w:rsidRPr="00985270">
        <w:rPr>
          <w:noProof/>
          <w:lang w:val="fr-CH"/>
        </w:rPr>
        <w:t xml:space="preserve"> </w:t>
      </w:r>
      <w:r w:rsidRPr="00985270">
        <w:rPr>
          <w:i/>
          <w:noProof/>
          <w:lang w:val="fr-CH"/>
        </w:rPr>
        <w:t>36</w:t>
      </w:r>
      <w:r w:rsidRPr="00985270">
        <w:rPr>
          <w:noProof/>
          <w:lang w:val="fr-CH"/>
        </w:rPr>
        <w:t>(16), 1334</w:t>
      </w:r>
      <w:r w:rsidRPr="00985270">
        <w:rPr>
          <w:noProof/>
          <w:lang w:val="fr-CH"/>
        </w:rPr>
        <w:noBreakHyphen/>
        <w:t xml:space="preserve">1343. </w:t>
      </w:r>
      <w:hyperlink r:id="rId37" w:history="1">
        <w:r w:rsidR="000738CE" w:rsidRPr="00827B4D">
          <w:rPr>
            <w:rStyle w:val="Lienhypertexte"/>
            <w:noProof/>
            <w:shd w:val="clear" w:color="auto" w:fill="FFFFFF"/>
            <w:lang w:val="fr-CH"/>
          </w:rPr>
          <w:t>https://doi.org/10.3109/09638288.2014.936564</w:t>
        </w:r>
      </w:hyperlink>
      <w:r w:rsidR="000738CE">
        <w:rPr>
          <w:noProof/>
          <w:shd w:val="clear" w:color="auto" w:fill="FFFFFF"/>
          <w:lang w:val="fr-CH"/>
        </w:rPr>
        <w:t xml:space="preserve"> </w:t>
      </w:r>
    </w:p>
    <w:sectPr w:rsidR="00870508" w:rsidRPr="00985270" w:rsidSect="00E54A99">
      <w:headerReference w:type="default" r:id="rId38"/>
      <w:footerReference w:type="default" r:id="rId39"/>
      <w:pgSz w:w="11907" w:h="16840" w:code="9"/>
      <w:pgMar w:top="1418" w:right="1418" w:bottom="1134" w:left="1418" w:header="720" w:footer="567"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1DFE1" w14:textId="77777777" w:rsidR="00DE2BDA" w:rsidRDefault="00DE2BDA">
      <w:pPr>
        <w:spacing w:line="240" w:lineRule="auto"/>
      </w:pPr>
      <w:r>
        <w:separator/>
      </w:r>
    </w:p>
  </w:endnote>
  <w:endnote w:type="continuationSeparator" w:id="0">
    <w:p w14:paraId="62F11846" w14:textId="77777777" w:rsidR="00DE2BDA" w:rsidRDefault="00DE2BDA">
      <w:pPr>
        <w:spacing w:line="240" w:lineRule="auto"/>
      </w:pPr>
      <w:r>
        <w:continuationSeparator/>
      </w:r>
    </w:p>
  </w:endnote>
  <w:endnote w:type="continuationNotice" w:id="1">
    <w:p w14:paraId="02203D7B" w14:textId="77777777" w:rsidR="00DE2BDA" w:rsidRDefault="00DE2B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7AA46A4C-A92A-4FA5-AAB3-69B44B8EF37F}"/>
    <w:embedBold r:id="rId2" w:fontKey="{1048844E-CE1C-462F-BDE2-437D9B13C0EF}"/>
    <w:embedItalic r:id="rId3" w:fontKey="{1E5857A6-1EA7-4C1E-8A25-4FAEC1E55298}"/>
    <w:embedBoldItalic r:id="rId4" w:fontKey="{9FE65E28-46E7-4F6B-8383-453AF412C869}"/>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361D4" w14:textId="77777777" w:rsidR="004B3A29" w:rsidRPr="007B448B" w:rsidRDefault="006E210A" w:rsidP="001D3BFB">
    <w:pPr>
      <w:pStyle w:val="Pieddepage"/>
      <w:rPr>
        <w:szCs w:val="22"/>
      </w:rPr>
    </w:pPr>
    <w:r>
      <w:rPr>
        <w:noProof/>
      </w:rPr>
      <w:drawing>
        <wp:anchor distT="0" distB="0" distL="114300" distR="114300" simplePos="0" relativeHeight="251658241" behindDoc="1" locked="0" layoutInCell="1" allowOverlap="1" wp14:anchorId="63A5ABED" wp14:editId="65C18D58">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D1B97" w14:textId="77777777" w:rsidR="00DE2BDA" w:rsidRPr="00777A2F" w:rsidRDefault="00DE2BDA"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26348F5" w14:textId="77777777" w:rsidR="00DE2BDA" w:rsidRDefault="00DE2BDA">
      <w:r>
        <w:continuationSeparator/>
      </w:r>
    </w:p>
  </w:footnote>
  <w:footnote w:type="continuationNotice" w:id="1">
    <w:p w14:paraId="4973C19E" w14:textId="77777777" w:rsidR="00DE2BDA" w:rsidRDefault="00DE2B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F20BF" w14:textId="77777777" w:rsidR="007B448B" w:rsidRPr="007B448B" w:rsidRDefault="00307EC7" w:rsidP="007B448B">
    <w:pPr>
      <w:pStyle w:val="Themenschwerpunkt"/>
      <w:rPr>
        <w:lang w:val="fr-CH"/>
      </w:rPr>
    </w:pPr>
    <w:r>
      <mc:AlternateContent>
        <mc:Choice Requires="wps">
          <w:drawing>
            <wp:anchor distT="0" distB="0" distL="114299" distR="114299" simplePos="0" relativeHeight="251658240" behindDoc="0" locked="0" layoutInCell="1" allowOverlap="1" wp14:anchorId="343A53E1" wp14:editId="3CB0BF3F">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74CC6" id="Connecteur droit 3" o:spid="_x0000_s1026" alt="&quot;&quot;"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AD25A6">
      <w:rPr>
        <w:lang w:val="fr-CH"/>
      </w:rPr>
      <w:t>Conception universelle de l’apprentissage (CUA)</w:t>
    </w:r>
    <w:r w:rsidR="007B448B">
      <w:rPr>
        <w:lang w:val="fr-CH"/>
      </w:rPr>
      <w:tab/>
    </w:r>
    <w:r w:rsidR="007B448B">
      <w:rPr>
        <w:lang w:val="fr-CH"/>
      </w:rPr>
      <w:tab/>
    </w:r>
    <w:r w:rsidR="007B448B" w:rsidRPr="00ED473A">
      <w:rPr>
        <w:b w:val="0"/>
        <w:bCs/>
        <w:lang w:val="fr-CH"/>
      </w:rPr>
      <w:t xml:space="preserve">Revue Suisse de Pédagogie Spécialisée, Vol. </w:t>
    </w:r>
    <w:r w:rsidR="00037AE3">
      <w:rPr>
        <w:b w:val="0"/>
        <w:bCs/>
        <w:lang w:val="fr-CH"/>
      </w:rPr>
      <w:t>14</w:t>
    </w:r>
    <w:r w:rsidR="007B448B" w:rsidRPr="00ED473A">
      <w:rPr>
        <w:b w:val="0"/>
        <w:bCs/>
        <w:lang w:val="fr-CH"/>
      </w:rPr>
      <w:t xml:space="preserve">, </w:t>
    </w:r>
    <w:r w:rsidR="00037AE3">
      <w:rPr>
        <w:b w:val="0"/>
        <w:bCs/>
        <w:lang w:val="fr-CH"/>
      </w:rPr>
      <w:t>0</w:t>
    </w:r>
    <w:r w:rsidR="00AD25A6">
      <w:rPr>
        <w:b w:val="0"/>
        <w:bCs/>
        <w:lang w:val="fr-CH"/>
      </w:rPr>
      <w:t>3</w:t>
    </w:r>
    <w:r w:rsidR="007B448B" w:rsidRPr="00ED473A">
      <w:rPr>
        <w:b w:val="0"/>
        <w:bCs/>
        <w:lang w:val="fr-CH"/>
      </w:rPr>
      <w:t>/</w:t>
    </w:r>
    <w:r w:rsidR="00037AE3">
      <w:rPr>
        <w:b w:val="0"/>
        <w:bCs/>
        <w:lang w:val="fr-CH"/>
      </w:rPr>
      <w:t>2024</w:t>
    </w:r>
  </w:p>
  <w:p w14:paraId="3A9809DE" w14:textId="3327C7FF" w:rsidR="004B3A29" w:rsidRPr="00ED473A" w:rsidRDefault="00B7489C" w:rsidP="007B448B">
    <w:pPr>
      <w:pStyle w:val="Themenschwerpunkt"/>
      <w:rPr>
        <w:b w:val="0"/>
        <w:bCs/>
        <w:lang w:val="fr-CH"/>
      </w:rPr>
    </w:pPr>
    <w:r w:rsidRPr="006555BD">
      <w:rPr>
        <w:b w:val="0"/>
        <w:bCs/>
        <w:lang w:val="fr-CH"/>
      </w:rPr>
      <w:t xml:space="preserve">| </w:t>
    </w:r>
    <w:r w:rsidR="00AD25A6">
      <w:rPr>
        <w:b w:val="0"/>
        <w:bCs/>
        <w:lang w:val="fr-CH"/>
      </w:rPr>
      <w:t>ARTICLE</w:t>
    </w:r>
    <w:r w:rsidR="00B71621" w:rsidRPr="006555BD">
      <w:rPr>
        <w:b w:val="0"/>
        <w:bCs/>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9C8B2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EE4AA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DC902D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3DC01C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550FC2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C3E525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ACCA603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2F7252D0"/>
    <w:multiLevelType w:val="hybridMultilevel"/>
    <w:tmpl w:val="BA363F7A"/>
    <w:lvl w:ilvl="0" w:tplc="AEC2D0E6">
      <w:numFmt w:val="bullet"/>
      <w:lvlText w:val=""/>
      <w:lvlJc w:val="left"/>
      <w:pPr>
        <w:ind w:left="420" w:hanging="360"/>
      </w:pPr>
      <w:rPr>
        <w:rFonts w:ascii="Symbol" w:eastAsiaTheme="minorHAnsi" w:hAnsi="Symbol" w:cstheme="minorHAnsi" w:hint="default"/>
      </w:rPr>
    </w:lvl>
    <w:lvl w:ilvl="1" w:tplc="100C0003" w:tentative="1">
      <w:start w:val="1"/>
      <w:numFmt w:val="bullet"/>
      <w:lvlText w:val="o"/>
      <w:lvlJc w:val="left"/>
      <w:pPr>
        <w:ind w:left="1140" w:hanging="360"/>
      </w:pPr>
      <w:rPr>
        <w:rFonts w:ascii="Courier New" w:hAnsi="Courier New" w:cs="Courier New" w:hint="default"/>
      </w:rPr>
    </w:lvl>
    <w:lvl w:ilvl="2" w:tplc="100C0005" w:tentative="1">
      <w:start w:val="1"/>
      <w:numFmt w:val="bullet"/>
      <w:lvlText w:val=""/>
      <w:lvlJc w:val="left"/>
      <w:pPr>
        <w:ind w:left="1860" w:hanging="360"/>
      </w:pPr>
      <w:rPr>
        <w:rFonts w:ascii="Wingdings" w:hAnsi="Wingdings" w:hint="default"/>
      </w:rPr>
    </w:lvl>
    <w:lvl w:ilvl="3" w:tplc="100C0001" w:tentative="1">
      <w:start w:val="1"/>
      <w:numFmt w:val="bullet"/>
      <w:lvlText w:val=""/>
      <w:lvlJc w:val="left"/>
      <w:pPr>
        <w:ind w:left="2580" w:hanging="360"/>
      </w:pPr>
      <w:rPr>
        <w:rFonts w:ascii="Symbol" w:hAnsi="Symbol" w:hint="default"/>
      </w:rPr>
    </w:lvl>
    <w:lvl w:ilvl="4" w:tplc="100C0003" w:tentative="1">
      <w:start w:val="1"/>
      <w:numFmt w:val="bullet"/>
      <w:lvlText w:val="o"/>
      <w:lvlJc w:val="left"/>
      <w:pPr>
        <w:ind w:left="3300" w:hanging="360"/>
      </w:pPr>
      <w:rPr>
        <w:rFonts w:ascii="Courier New" w:hAnsi="Courier New" w:cs="Courier New" w:hint="default"/>
      </w:rPr>
    </w:lvl>
    <w:lvl w:ilvl="5" w:tplc="100C0005" w:tentative="1">
      <w:start w:val="1"/>
      <w:numFmt w:val="bullet"/>
      <w:lvlText w:val=""/>
      <w:lvlJc w:val="left"/>
      <w:pPr>
        <w:ind w:left="4020" w:hanging="360"/>
      </w:pPr>
      <w:rPr>
        <w:rFonts w:ascii="Wingdings" w:hAnsi="Wingdings" w:hint="default"/>
      </w:rPr>
    </w:lvl>
    <w:lvl w:ilvl="6" w:tplc="100C0001" w:tentative="1">
      <w:start w:val="1"/>
      <w:numFmt w:val="bullet"/>
      <w:lvlText w:val=""/>
      <w:lvlJc w:val="left"/>
      <w:pPr>
        <w:ind w:left="4740" w:hanging="360"/>
      </w:pPr>
      <w:rPr>
        <w:rFonts w:ascii="Symbol" w:hAnsi="Symbol" w:hint="default"/>
      </w:rPr>
    </w:lvl>
    <w:lvl w:ilvl="7" w:tplc="100C0003" w:tentative="1">
      <w:start w:val="1"/>
      <w:numFmt w:val="bullet"/>
      <w:lvlText w:val="o"/>
      <w:lvlJc w:val="left"/>
      <w:pPr>
        <w:ind w:left="5460" w:hanging="360"/>
      </w:pPr>
      <w:rPr>
        <w:rFonts w:ascii="Courier New" w:hAnsi="Courier New" w:cs="Courier New" w:hint="default"/>
      </w:rPr>
    </w:lvl>
    <w:lvl w:ilvl="8" w:tplc="100C0005" w:tentative="1">
      <w:start w:val="1"/>
      <w:numFmt w:val="bullet"/>
      <w:lvlText w:val=""/>
      <w:lvlJc w:val="left"/>
      <w:pPr>
        <w:ind w:left="6180" w:hanging="360"/>
      </w:pPr>
      <w:rPr>
        <w:rFonts w:ascii="Wingdings" w:hAnsi="Wingdings" w:hint="default"/>
      </w:rPr>
    </w:lvl>
  </w:abstractNum>
  <w:abstractNum w:abstractNumId="10"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DB50A2"/>
    <w:multiLevelType w:val="hybridMultilevel"/>
    <w:tmpl w:val="60E6AEF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816487952">
    <w:abstractNumId w:val="8"/>
  </w:num>
  <w:num w:numId="2" w16cid:durableId="379716589">
    <w:abstractNumId w:val="10"/>
  </w:num>
  <w:num w:numId="3" w16cid:durableId="1479614155">
    <w:abstractNumId w:val="7"/>
  </w:num>
  <w:num w:numId="4" w16cid:durableId="184833350">
    <w:abstractNumId w:val="11"/>
  </w:num>
  <w:num w:numId="5" w16cid:durableId="725252539">
    <w:abstractNumId w:val="9"/>
  </w:num>
  <w:num w:numId="6" w16cid:durableId="1043140337">
    <w:abstractNumId w:val="6"/>
  </w:num>
  <w:num w:numId="7" w16cid:durableId="1602102428">
    <w:abstractNumId w:val="5"/>
  </w:num>
  <w:num w:numId="8" w16cid:durableId="1609654016">
    <w:abstractNumId w:val="4"/>
  </w:num>
  <w:num w:numId="9" w16cid:durableId="1213274701">
    <w:abstractNumId w:val="3"/>
  </w:num>
  <w:num w:numId="10" w16cid:durableId="1236091254">
    <w:abstractNumId w:val="2"/>
  </w:num>
  <w:num w:numId="11" w16cid:durableId="599532574">
    <w:abstractNumId w:val="1"/>
  </w:num>
  <w:num w:numId="12" w16cid:durableId="665206925">
    <w:abstractNumId w:val="0"/>
  </w:num>
  <w:num w:numId="13" w16cid:durableId="836842822">
    <w:abstractNumId w:val="1"/>
  </w:num>
  <w:num w:numId="14" w16cid:durableId="1854954245">
    <w:abstractNumId w:val="0"/>
  </w:num>
  <w:num w:numId="15" w16cid:durableId="1542668621">
    <w:abstractNumId w:val="1"/>
  </w:num>
  <w:num w:numId="16" w16cid:durableId="1697732732">
    <w:abstractNumId w:val="0"/>
  </w:num>
  <w:num w:numId="17" w16cid:durableId="709767212">
    <w:abstractNumId w:val="1"/>
  </w:num>
  <w:num w:numId="18" w16cid:durableId="136647828">
    <w:abstractNumId w:val="0"/>
  </w:num>
  <w:num w:numId="19" w16cid:durableId="328295342">
    <w:abstractNumId w:val="1"/>
  </w:num>
  <w:num w:numId="20" w16cid:durableId="2097047600">
    <w:abstractNumId w:val="0"/>
  </w:num>
  <w:num w:numId="21" w16cid:durableId="1619724864">
    <w:abstractNumId w:val="1"/>
  </w:num>
  <w:num w:numId="22" w16cid:durableId="1735277329">
    <w:abstractNumId w:val="0"/>
  </w:num>
  <w:num w:numId="23" w16cid:durableId="857962339">
    <w:abstractNumId w:val="1"/>
  </w:num>
  <w:num w:numId="24" w16cid:durableId="1669750835">
    <w:abstractNumId w:val="0"/>
  </w:num>
  <w:num w:numId="25" w16cid:durableId="1393967739">
    <w:abstractNumId w:val="1"/>
  </w:num>
  <w:num w:numId="26" w16cid:durableId="1141269035">
    <w:abstractNumId w:val="0"/>
  </w:num>
  <w:num w:numId="27" w16cid:durableId="1063139245">
    <w:abstractNumId w:val="1"/>
  </w:num>
  <w:num w:numId="28" w16cid:durableId="1585412027">
    <w:abstractNumId w:val="0"/>
  </w:num>
  <w:num w:numId="29" w16cid:durableId="1527326555">
    <w:abstractNumId w:val="1"/>
  </w:num>
  <w:num w:numId="30" w16cid:durableId="1936664991">
    <w:abstractNumId w:val="0"/>
  </w:num>
  <w:num w:numId="31" w16cid:durableId="2053993251">
    <w:abstractNumId w:val="1"/>
  </w:num>
  <w:num w:numId="32" w16cid:durableId="275258623">
    <w:abstractNumId w:val="0"/>
  </w:num>
  <w:num w:numId="33" w16cid:durableId="15621939">
    <w:abstractNumId w:val="1"/>
  </w:num>
  <w:num w:numId="34" w16cid:durableId="1598562762">
    <w:abstractNumId w:val="0"/>
  </w:num>
  <w:num w:numId="35" w16cid:durableId="638538512">
    <w:abstractNumId w:val="1"/>
  </w:num>
  <w:num w:numId="36" w16cid:durableId="178410598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F4"/>
    <w:rsid w:val="00003F44"/>
    <w:rsid w:val="00016BFF"/>
    <w:rsid w:val="00024143"/>
    <w:rsid w:val="000302CB"/>
    <w:rsid w:val="0003314D"/>
    <w:rsid w:val="00034185"/>
    <w:rsid w:val="000352CE"/>
    <w:rsid w:val="000370BA"/>
    <w:rsid w:val="00037AE3"/>
    <w:rsid w:val="0004275C"/>
    <w:rsid w:val="00053353"/>
    <w:rsid w:val="00055172"/>
    <w:rsid w:val="00072CBC"/>
    <w:rsid w:val="000738CE"/>
    <w:rsid w:val="000759D7"/>
    <w:rsid w:val="0009180D"/>
    <w:rsid w:val="00092E5F"/>
    <w:rsid w:val="00096CFE"/>
    <w:rsid w:val="00096F04"/>
    <w:rsid w:val="000B5BB8"/>
    <w:rsid w:val="000C35F6"/>
    <w:rsid w:val="000C41F6"/>
    <w:rsid w:val="000E6A66"/>
    <w:rsid w:val="000F0956"/>
    <w:rsid w:val="000F4B54"/>
    <w:rsid w:val="000F5288"/>
    <w:rsid w:val="000F5FCA"/>
    <w:rsid w:val="0010334E"/>
    <w:rsid w:val="00110567"/>
    <w:rsid w:val="001114E2"/>
    <w:rsid w:val="001150A5"/>
    <w:rsid w:val="00115EF5"/>
    <w:rsid w:val="001161D6"/>
    <w:rsid w:val="00120CBF"/>
    <w:rsid w:val="00144640"/>
    <w:rsid w:val="00151BCA"/>
    <w:rsid w:val="00153133"/>
    <w:rsid w:val="00157D7E"/>
    <w:rsid w:val="00160CC7"/>
    <w:rsid w:val="00163BE0"/>
    <w:rsid w:val="00167858"/>
    <w:rsid w:val="00175483"/>
    <w:rsid w:val="001A0FBB"/>
    <w:rsid w:val="001A2EEC"/>
    <w:rsid w:val="001A75BA"/>
    <w:rsid w:val="001B05BD"/>
    <w:rsid w:val="001B16E8"/>
    <w:rsid w:val="001B25F3"/>
    <w:rsid w:val="001B562D"/>
    <w:rsid w:val="001B7781"/>
    <w:rsid w:val="001D3BFB"/>
    <w:rsid w:val="001E3BE9"/>
    <w:rsid w:val="001E6938"/>
    <w:rsid w:val="001F3EF5"/>
    <w:rsid w:val="00202A19"/>
    <w:rsid w:val="0020467E"/>
    <w:rsid w:val="00210944"/>
    <w:rsid w:val="002134A8"/>
    <w:rsid w:val="002308C5"/>
    <w:rsid w:val="00235A6C"/>
    <w:rsid w:val="002443A6"/>
    <w:rsid w:val="00245D3F"/>
    <w:rsid w:val="00252776"/>
    <w:rsid w:val="00256DBB"/>
    <w:rsid w:val="00257CBB"/>
    <w:rsid w:val="002724F0"/>
    <w:rsid w:val="00272CCA"/>
    <w:rsid w:val="00276B2C"/>
    <w:rsid w:val="00282A8B"/>
    <w:rsid w:val="00284EA0"/>
    <w:rsid w:val="002862AA"/>
    <w:rsid w:val="002A3A72"/>
    <w:rsid w:val="002B5982"/>
    <w:rsid w:val="002C5235"/>
    <w:rsid w:val="002E13B6"/>
    <w:rsid w:val="002E5374"/>
    <w:rsid w:val="002F3120"/>
    <w:rsid w:val="002F3C35"/>
    <w:rsid w:val="00301A63"/>
    <w:rsid w:val="0030447C"/>
    <w:rsid w:val="00307EC7"/>
    <w:rsid w:val="00322024"/>
    <w:rsid w:val="003222A6"/>
    <w:rsid w:val="003251C9"/>
    <w:rsid w:val="00332123"/>
    <w:rsid w:val="00344A8F"/>
    <w:rsid w:val="0034507A"/>
    <w:rsid w:val="00350092"/>
    <w:rsid w:val="003524BF"/>
    <w:rsid w:val="00353502"/>
    <w:rsid w:val="00365730"/>
    <w:rsid w:val="00381873"/>
    <w:rsid w:val="003819B7"/>
    <w:rsid w:val="00382314"/>
    <w:rsid w:val="00383074"/>
    <w:rsid w:val="00386CFF"/>
    <w:rsid w:val="003A0EA7"/>
    <w:rsid w:val="003A2717"/>
    <w:rsid w:val="003B4C81"/>
    <w:rsid w:val="003C0D77"/>
    <w:rsid w:val="003D221C"/>
    <w:rsid w:val="003D502F"/>
    <w:rsid w:val="003E022D"/>
    <w:rsid w:val="003E0578"/>
    <w:rsid w:val="003E7E61"/>
    <w:rsid w:val="003F462C"/>
    <w:rsid w:val="003F5B1B"/>
    <w:rsid w:val="003F6A6B"/>
    <w:rsid w:val="003F78C2"/>
    <w:rsid w:val="004027D5"/>
    <w:rsid w:val="00404F18"/>
    <w:rsid w:val="004067F5"/>
    <w:rsid w:val="004108D3"/>
    <w:rsid w:val="00414332"/>
    <w:rsid w:val="00421D05"/>
    <w:rsid w:val="0042486F"/>
    <w:rsid w:val="00426606"/>
    <w:rsid w:val="004302DE"/>
    <w:rsid w:val="00433A6E"/>
    <w:rsid w:val="00441F45"/>
    <w:rsid w:val="0045144F"/>
    <w:rsid w:val="00454BCF"/>
    <w:rsid w:val="00467E46"/>
    <w:rsid w:val="0047168D"/>
    <w:rsid w:val="0048432B"/>
    <w:rsid w:val="00486270"/>
    <w:rsid w:val="004A2854"/>
    <w:rsid w:val="004A5344"/>
    <w:rsid w:val="004B1834"/>
    <w:rsid w:val="004B29F8"/>
    <w:rsid w:val="004B3001"/>
    <w:rsid w:val="004B3A29"/>
    <w:rsid w:val="004C13EB"/>
    <w:rsid w:val="004C21EC"/>
    <w:rsid w:val="004C4A76"/>
    <w:rsid w:val="004D542D"/>
    <w:rsid w:val="004D58AC"/>
    <w:rsid w:val="004E232F"/>
    <w:rsid w:val="004E307D"/>
    <w:rsid w:val="004F5C23"/>
    <w:rsid w:val="005055D5"/>
    <w:rsid w:val="00521559"/>
    <w:rsid w:val="00530D5E"/>
    <w:rsid w:val="00530E98"/>
    <w:rsid w:val="005316E9"/>
    <w:rsid w:val="00533DA1"/>
    <w:rsid w:val="005406AF"/>
    <w:rsid w:val="00546490"/>
    <w:rsid w:val="0055561F"/>
    <w:rsid w:val="005633DE"/>
    <w:rsid w:val="0056578A"/>
    <w:rsid w:val="0056595B"/>
    <w:rsid w:val="00571C0D"/>
    <w:rsid w:val="00572758"/>
    <w:rsid w:val="00572C4C"/>
    <w:rsid w:val="0057605E"/>
    <w:rsid w:val="00576D3B"/>
    <w:rsid w:val="00576E09"/>
    <w:rsid w:val="00577261"/>
    <w:rsid w:val="00581DB2"/>
    <w:rsid w:val="00585ED0"/>
    <w:rsid w:val="00594747"/>
    <w:rsid w:val="00594844"/>
    <w:rsid w:val="005A646E"/>
    <w:rsid w:val="005A6F41"/>
    <w:rsid w:val="005A7AE7"/>
    <w:rsid w:val="005D15B8"/>
    <w:rsid w:val="005E150A"/>
    <w:rsid w:val="005E7DD5"/>
    <w:rsid w:val="005F13BD"/>
    <w:rsid w:val="005F1F98"/>
    <w:rsid w:val="00607C4B"/>
    <w:rsid w:val="006111D5"/>
    <w:rsid w:val="006111F5"/>
    <w:rsid w:val="00622BE4"/>
    <w:rsid w:val="00623E11"/>
    <w:rsid w:val="006411DE"/>
    <w:rsid w:val="006448C5"/>
    <w:rsid w:val="006555BD"/>
    <w:rsid w:val="006676E2"/>
    <w:rsid w:val="00682B8C"/>
    <w:rsid w:val="006834E9"/>
    <w:rsid w:val="00685EB4"/>
    <w:rsid w:val="00687589"/>
    <w:rsid w:val="006936DF"/>
    <w:rsid w:val="006A1B74"/>
    <w:rsid w:val="006A2BB4"/>
    <w:rsid w:val="006A37A9"/>
    <w:rsid w:val="006A4C05"/>
    <w:rsid w:val="006B5540"/>
    <w:rsid w:val="006C2B84"/>
    <w:rsid w:val="006C3DFC"/>
    <w:rsid w:val="006C6D49"/>
    <w:rsid w:val="006D5D28"/>
    <w:rsid w:val="006E210A"/>
    <w:rsid w:val="006E260B"/>
    <w:rsid w:val="00702BE5"/>
    <w:rsid w:val="007155B8"/>
    <w:rsid w:val="00733206"/>
    <w:rsid w:val="007373E7"/>
    <w:rsid w:val="007424F5"/>
    <w:rsid w:val="0074442C"/>
    <w:rsid w:val="00746E95"/>
    <w:rsid w:val="0076351E"/>
    <w:rsid w:val="007648C0"/>
    <w:rsid w:val="00777A2F"/>
    <w:rsid w:val="00787B6E"/>
    <w:rsid w:val="00791860"/>
    <w:rsid w:val="007A3489"/>
    <w:rsid w:val="007A75E1"/>
    <w:rsid w:val="007B2B05"/>
    <w:rsid w:val="007B3ACD"/>
    <w:rsid w:val="007B4245"/>
    <w:rsid w:val="007B448B"/>
    <w:rsid w:val="007B4F54"/>
    <w:rsid w:val="007B51BF"/>
    <w:rsid w:val="007B5701"/>
    <w:rsid w:val="007B62B5"/>
    <w:rsid w:val="007B67BC"/>
    <w:rsid w:val="007C4EEC"/>
    <w:rsid w:val="007C5AB3"/>
    <w:rsid w:val="007E6E29"/>
    <w:rsid w:val="007E78D0"/>
    <w:rsid w:val="007F43B0"/>
    <w:rsid w:val="007F5E1D"/>
    <w:rsid w:val="0080024B"/>
    <w:rsid w:val="008152E5"/>
    <w:rsid w:val="00822118"/>
    <w:rsid w:val="00830A17"/>
    <w:rsid w:val="00833049"/>
    <w:rsid w:val="008351F7"/>
    <w:rsid w:val="00853805"/>
    <w:rsid w:val="00855097"/>
    <w:rsid w:val="00870508"/>
    <w:rsid w:val="00870E6C"/>
    <w:rsid w:val="00874DF3"/>
    <w:rsid w:val="00882B9B"/>
    <w:rsid w:val="008854C8"/>
    <w:rsid w:val="008907AD"/>
    <w:rsid w:val="00891E7D"/>
    <w:rsid w:val="008924D4"/>
    <w:rsid w:val="008A2229"/>
    <w:rsid w:val="008B4ED5"/>
    <w:rsid w:val="008B7AE0"/>
    <w:rsid w:val="008C6EDB"/>
    <w:rsid w:val="008D1807"/>
    <w:rsid w:val="008D5616"/>
    <w:rsid w:val="008E05B7"/>
    <w:rsid w:val="008F2E4E"/>
    <w:rsid w:val="00900F49"/>
    <w:rsid w:val="00903452"/>
    <w:rsid w:val="00912E02"/>
    <w:rsid w:val="00920846"/>
    <w:rsid w:val="00920A21"/>
    <w:rsid w:val="0092390B"/>
    <w:rsid w:val="009253B9"/>
    <w:rsid w:val="0092689F"/>
    <w:rsid w:val="00935942"/>
    <w:rsid w:val="00943B46"/>
    <w:rsid w:val="00951F14"/>
    <w:rsid w:val="009552F9"/>
    <w:rsid w:val="00965E95"/>
    <w:rsid w:val="009660DC"/>
    <w:rsid w:val="00967D5F"/>
    <w:rsid w:val="00985126"/>
    <w:rsid w:val="00985270"/>
    <w:rsid w:val="009A406C"/>
    <w:rsid w:val="009A7FF6"/>
    <w:rsid w:val="009B7692"/>
    <w:rsid w:val="009C22D9"/>
    <w:rsid w:val="009C6886"/>
    <w:rsid w:val="009D34A7"/>
    <w:rsid w:val="009D4CCF"/>
    <w:rsid w:val="009E5005"/>
    <w:rsid w:val="009F4CD6"/>
    <w:rsid w:val="009F6A07"/>
    <w:rsid w:val="00A06946"/>
    <w:rsid w:val="00A10362"/>
    <w:rsid w:val="00A11404"/>
    <w:rsid w:val="00A1183F"/>
    <w:rsid w:val="00A1773D"/>
    <w:rsid w:val="00A31264"/>
    <w:rsid w:val="00A37E53"/>
    <w:rsid w:val="00A50A1E"/>
    <w:rsid w:val="00A535B5"/>
    <w:rsid w:val="00A543D6"/>
    <w:rsid w:val="00A55E72"/>
    <w:rsid w:val="00A61330"/>
    <w:rsid w:val="00A64B7E"/>
    <w:rsid w:val="00A65693"/>
    <w:rsid w:val="00A8362E"/>
    <w:rsid w:val="00A9186C"/>
    <w:rsid w:val="00A937F4"/>
    <w:rsid w:val="00A9776C"/>
    <w:rsid w:val="00AA2F41"/>
    <w:rsid w:val="00AA3192"/>
    <w:rsid w:val="00AA7D4C"/>
    <w:rsid w:val="00AB7501"/>
    <w:rsid w:val="00AC20F1"/>
    <w:rsid w:val="00AC3D6F"/>
    <w:rsid w:val="00AC5A5C"/>
    <w:rsid w:val="00AD1145"/>
    <w:rsid w:val="00AD1813"/>
    <w:rsid w:val="00AD25A6"/>
    <w:rsid w:val="00AE583E"/>
    <w:rsid w:val="00AE5D15"/>
    <w:rsid w:val="00AE631D"/>
    <w:rsid w:val="00AF05B3"/>
    <w:rsid w:val="00AF16EB"/>
    <w:rsid w:val="00AF2160"/>
    <w:rsid w:val="00AF3819"/>
    <w:rsid w:val="00B1778D"/>
    <w:rsid w:val="00B23FEC"/>
    <w:rsid w:val="00B31B7D"/>
    <w:rsid w:val="00B36315"/>
    <w:rsid w:val="00B50E21"/>
    <w:rsid w:val="00B54E5C"/>
    <w:rsid w:val="00B61EA9"/>
    <w:rsid w:val="00B71621"/>
    <w:rsid w:val="00B73F8A"/>
    <w:rsid w:val="00B7489C"/>
    <w:rsid w:val="00B74F64"/>
    <w:rsid w:val="00B7596B"/>
    <w:rsid w:val="00B823F4"/>
    <w:rsid w:val="00B86890"/>
    <w:rsid w:val="00B96F36"/>
    <w:rsid w:val="00BB07AB"/>
    <w:rsid w:val="00BB3270"/>
    <w:rsid w:val="00BB3CAC"/>
    <w:rsid w:val="00BC32F4"/>
    <w:rsid w:val="00BC7E8E"/>
    <w:rsid w:val="00BD4FAD"/>
    <w:rsid w:val="00BD74F7"/>
    <w:rsid w:val="00BE2D66"/>
    <w:rsid w:val="00BE55F0"/>
    <w:rsid w:val="00BE6A7E"/>
    <w:rsid w:val="00BF031C"/>
    <w:rsid w:val="00BF0608"/>
    <w:rsid w:val="00BF4A98"/>
    <w:rsid w:val="00C06CF9"/>
    <w:rsid w:val="00C10449"/>
    <w:rsid w:val="00C11366"/>
    <w:rsid w:val="00C201F2"/>
    <w:rsid w:val="00C201F8"/>
    <w:rsid w:val="00C24833"/>
    <w:rsid w:val="00C350DC"/>
    <w:rsid w:val="00C43705"/>
    <w:rsid w:val="00C50710"/>
    <w:rsid w:val="00C57C6F"/>
    <w:rsid w:val="00C63ADB"/>
    <w:rsid w:val="00C77A77"/>
    <w:rsid w:val="00C85052"/>
    <w:rsid w:val="00C90953"/>
    <w:rsid w:val="00C9213D"/>
    <w:rsid w:val="00C923BC"/>
    <w:rsid w:val="00CA0352"/>
    <w:rsid w:val="00CC0CF7"/>
    <w:rsid w:val="00CC1689"/>
    <w:rsid w:val="00CC5D42"/>
    <w:rsid w:val="00CE0BA2"/>
    <w:rsid w:val="00CE7544"/>
    <w:rsid w:val="00CF2C4F"/>
    <w:rsid w:val="00CF4992"/>
    <w:rsid w:val="00CF4C21"/>
    <w:rsid w:val="00CF788D"/>
    <w:rsid w:val="00D02DE1"/>
    <w:rsid w:val="00D17F8E"/>
    <w:rsid w:val="00D30491"/>
    <w:rsid w:val="00D33603"/>
    <w:rsid w:val="00D45554"/>
    <w:rsid w:val="00D55316"/>
    <w:rsid w:val="00D609D5"/>
    <w:rsid w:val="00D614DC"/>
    <w:rsid w:val="00D622EB"/>
    <w:rsid w:val="00D65100"/>
    <w:rsid w:val="00D70537"/>
    <w:rsid w:val="00D75B90"/>
    <w:rsid w:val="00D865FD"/>
    <w:rsid w:val="00D9463F"/>
    <w:rsid w:val="00D95090"/>
    <w:rsid w:val="00D969AF"/>
    <w:rsid w:val="00DA3CEB"/>
    <w:rsid w:val="00DB085C"/>
    <w:rsid w:val="00DB1F8B"/>
    <w:rsid w:val="00DB5151"/>
    <w:rsid w:val="00DB5625"/>
    <w:rsid w:val="00DC0AB5"/>
    <w:rsid w:val="00DC265F"/>
    <w:rsid w:val="00DC399A"/>
    <w:rsid w:val="00DD5C3E"/>
    <w:rsid w:val="00DE2BDA"/>
    <w:rsid w:val="00DE6B7F"/>
    <w:rsid w:val="00DF11B1"/>
    <w:rsid w:val="00DF181B"/>
    <w:rsid w:val="00DF5157"/>
    <w:rsid w:val="00E03695"/>
    <w:rsid w:val="00E1418C"/>
    <w:rsid w:val="00E16BC1"/>
    <w:rsid w:val="00E23124"/>
    <w:rsid w:val="00E25628"/>
    <w:rsid w:val="00E26F3D"/>
    <w:rsid w:val="00E31225"/>
    <w:rsid w:val="00E36EF3"/>
    <w:rsid w:val="00E42E44"/>
    <w:rsid w:val="00E46446"/>
    <w:rsid w:val="00E54A99"/>
    <w:rsid w:val="00E54DD0"/>
    <w:rsid w:val="00E5610F"/>
    <w:rsid w:val="00E56258"/>
    <w:rsid w:val="00E6236B"/>
    <w:rsid w:val="00E7780E"/>
    <w:rsid w:val="00E8625B"/>
    <w:rsid w:val="00E9142E"/>
    <w:rsid w:val="00E96E69"/>
    <w:rsid w:val="00EA1B6C"/>
    <w:rsid w:val="00EA4676"/>
    <w:rsid w:val="00EA484D"/>
    <w:rsid w:val="00EB42F8"/>
    <w:rsid w:val="00EC0A4F"/>
    <w:rsid w:val="00ED473A"/>
    <w:rsid w:val="00EE6AB8"/>
    <w:rsid w:val="00EF1CD4"/>
    <w:rsid w:val="00EF4C1D"/>
    <w:rsid w:val="00EF7127"/>
    <w:rsid w:val="00EF7CFB"/>
    <w:rsid w:val="00F01953"/>
    <w:rsid w:val="00F075E6"/>
    <w:rsid w:val="00F10236"/>
    <w:rsid w:val="00F1657B"/>
    <w:rsid w:val="00F1660D"/>
    <w:rsid w:val="00F47AD4"/>
    <w:rsid w:val="00F667CE"/>
    <w:rsid w:val="00F767F6"/>
    <w:rsid w:val="00F76CB2"/>
    <w:rsid w:val="00F83A13"/>
    <w:rsid w:val="00F947C7"/>
    <w:rsid w:val="00FB2600"/>
    <w:rsid w:val="00FB2DAA"/>
    <w:rsid w:val="00FB48D2"/>
    <w:rsid w:val="00FB7742"/>
    <w:rsid w:val="00FC7953"/>
    <w:rsid w:val="00FD5708"/>
    <w:rsid w:val="00FE57F9"/>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D6D17"/>
  <w15:docId w15:val="{D5DE355B-8EA9-4813-965C-68D2C875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de-CH"/>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link w:val="Titre2Car"/>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lang w:val="fr-CH"/>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rPr>
      <w:lang w:val="fr-CH"/>
    </w:rPr>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uiPriority w:val="39"/>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rPr>
      <w:lang w:val="fr-CH"/>
    </w:r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1A75BA"/>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DEEBF1" w:themeFill="accent5" w:themeFillTint="33"/>
    </w:pPr>
    <w:rPr>
      <w:lang w:val="fr-CH"/>
    </w:r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Paragraphedeliste">
    <w:name w:val="List Paragraph"/>
    <w:basedOn w:val="Normal"/>
    <w:uiPriority w:val="34"/>
    <w:rsid w:val="00BC7E8E"/>
    <w:pPr>
      <w:spacing w:after="160" w:line="259" w:lineRule="auto"/>
      <w:ind w:left="720"/>
      <w:contextualSpacing/>
    </w:pPr>
    <w:rPr>
      <w:rFonts w:asciiTheme="minorHAnsi" w:hAnsiTheme="minorHAnsi"/>
      <w:spacing w:val="0"/>
      <w:sz w:val="24"/>
      <w:szCs w:val="22"/>
      <w:lang w:val="fr-CH"/>
    </w:rPr>
  </w:style>
  <w:style w:type="character" w:customStyle="1" w:styleId="Titre2Car">
    <w:name w:val="Titre 2 Car"/>
    <w:basedOn w:val="Policepardfaut"/>
    <w:link w:val="Titre2"/>
    <w:uiPriority w:val="9"/>
    <w:rsid w:val="00B31B7D"/>
    <w:rPr>
      <w:rFonts w:eastAsiaTheme="majorEastAsia" w:cs="Open Sans SemiCondensed"/>
      <w:b/>
      <w:bCs/>
      <w:szCs w:val="24"/>
      <w:lang w:val="de-CH"/>
    </w:rPr>
  </w:style>
  <w:style w:type="table" w:styleId="Tableausimple5">
    <w:name w:val="Plain Table 5"/>
    <w:basedOn w:val="TableauNormal"/>
    <w:rsid w:val="009B769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4-Accentuation4">
    <w:name w:val="Grid Table 4 Accent 4"/>
    <w:basedOn w:val="TableauNormal"/>
    <w:uiPriority w:val="49"/>
    <w:rsid w:val="009B7692"/>
    <w:pPr>
      <w:spacing w:after="0"/>
    </w:pPr>
    <w:tblPr>
      <w:tblStyleRowBandSize w:val="1"/>
      <w:tblStyleColBandSize w:val="1"/>
      <w:tblBorders>
        <w:top w:val="single" w:sz="4" w:space="0" w:color="94CBA6" w:themeColor="accent4" w:themeTint="99"/>
        <w:left w:val="single" w:sz="4" w:space="0" w:color="94CBA6" w:themeColor="accent4" w:themeTint="99"/>
        <w:bottom w:val="single" w:sz="4" w:space="0" w:color="94CBA6" w:themeColor="accent4" w:themeTint="99"/>
        <w:right w:val="single" w:sz="4" w:space="0" w:color="94CBA6" w:themeColor="accent4" w:themeTint="99"/>
        <w:insideH w:val="single" w:sz="4" w:space="0" w:color="94CBA6" w:themeColor="accent4" w:themeTint="99"/>
        <w:insideV w:val="single" w:sz="4" w:space="0" w:color="94CBA6" w:themeColor="accent4" w:themeTint="99"/>
      </w:tblBorders>
    </w:tblPr>
    <w:tblStylePr w:type="firstRow">
      <w:rPr>
        <w:b/>
        <w:bCs/>
        <w:color w:val="FFFFFF" w:themeColor="background1"/>
      </w:rPr>
      <w:tblPr/>
      <w:tcPr>
        <w:tcBorders>
          <w:top w:val="single" w:sz="4" w:space="0" w:color="51A66D" w:themeColor="accent4"/>
          <w:left w:val="single" w:sz="4" w:space="0" w:color="51A66D" w:themeColor="accent4"/>
          <w:bottom w:val="single" w:sz="4" w:space="0" w:color="51A66D" w:themeColor="accent4"/>
          <w:right w:val="single" w:sz="4" w:space="0" w:color="51A66D" w:themeColor="accent4"/>
          <w:insideH w:val="nil"/>
          <w:insideV w:val="nil"/>
        </w:tcBorders>
        <w:shd w:val="clear" w:color="auto" w:fill="51A66D" w:themeFill="accent4"/>
      </w:tcPr>
    </w:tblStylePr>
    <w:tblStylePr w:type="lastRow">
      <w:rPr>
        <w:b/>
        <w:bCs/>
      </w:rPr>
      <w:tblPr/>
      <w:tcPr>
        <w:tcBorders>
          <w:top w:val="double" w:sz="4" w:space="0" w:color="51A66D" w:themeColor="accent4"/>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paragraph" w:styleId="Lgende">
    <w:name w:val="caption"/>
    <w:basedOn w:val="Normal"/>
    <w:next w:val="Normal"/>
    <w:unhideWhenUsed/>
    <w:rsid w:val="00530D5E"/>
    <w:pPr>
      <w:spacing w:after="200" w:line="240" w:lineRule="auto"/>
    </w:pPr>
    <w:rPr>
      <w:i/>
      <w:iCs/>
      <w:color w:val="252B46" w:themeColor="text2"/>
      <w:sz w:val="18"/>
      <w:szCs w:val="18"/>
    </w:rPr>
  </w:style>
  <w:style w:type="table" w:styleId="TableauGrille4-Accentuation5">
    <w:name w:val="Grid Table 4 Accent 5"/>
    <w:basedOn w:val="TableauNormal"/>
    <w:uiPriority w:val="49"/>
    <w:rsid w:val="007B51BF"/>
    <w:pPr>
      <w:spacing w:after="0"/>
    </w:pPr>
    <w:tblPr>
      <w:tblStyleRowBandSize w:val="1"/>
      <w:tblStyleColBandSize w:val="1"/>
      <w:tblBorders>
        <w:top w:val="single" w:sz="4" w:space="0" w:color="9EC5D6" w:themeColor="accent5" w:themeTint="99"/>
        <w:left w:val="single" w:sz="4" w:space="0" w:color="9EC5D6" w:themeColor="accent5" w:themeTint="99"/>
        <w:bottom w:val="single" w:sz="4" w:space="0" w:color="9EC5D6" w:themeColor="accent5" w:themeTint="99"/>
        <w:right w:val="single" w:sz="4" w:space="0" w:color="9EC5D6" w:themeColor="accent5" w:themeTint="99"/>
        <w:insideH w:val="single" w:sz="4" w:space="0" w:color="9EC5D6" w:themeColor="accent5" w:themeTint="99"/>
        <w:insideV w:val="single" w:sz="4" w:space="0" w:color="9EC5D6" w:themeColor="accent5" w:themeTint="99"/>
      </w:tblBorders>
    </w:tblPr>
    <w:tblStylePr w:type="firstRow">
      <w:rPr>
        <w:b/>
        <w:bCs/>
        <w:color w:val="FFFFFF" w:themeColor="background1"/>
      </w:rPr>
      <w:tblPr/>
      <w:tcPr>
        <w:tcBorders>
          <w:top w:val="single" w:sz="4" w:space="0" w:color="5F9FBC" w:themeColor="accent5"/>
          <w:left w:val="single" w:sz="4" w:space="0" w:color="5F9FBC" w:themeColor="accent5"/>
          <w:bottom w:val="single" w:sz="4" w:space="0" w:color="5F9FBC" w:themeColor="accent5"/>
          <w:right w:val="single" w:sz="4" w:space="0" w:color="5F9FBC" w:themeColor="accent5"/>
          <w:insideH w:val="nil"/>
          <w:insideV w:val="nil"/>
        </w:tcBorders>
        <w:shd w:val="clear" w:color="auto" w:fill="5F9FBC" w:themeFill="accent5"/>
      </w:tcPr>
    </w:tblStylePr>
    <w:tblStylePr w:type="lastRow">
      <w:rPr>
        <w:b/>
        <w:bCs/>
      </w:rPr>
      <w:tblPr/>
      <w:tcPr>
        <w:tcBorders>
          <w:top w:val="double" w:sz="4" w:space="0" w:color="5F9FBC" w:themeColor="accent5"/>
        </w:tcBorders>
      </w:tc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paragraph" w:styleId="Rvision">
    <w:name w:val="Revision"/>
    <w:hidden/>
    <w:semiHidden/>
    <w:rsid w:val="005F1F98"/>
    <w:pPr>
      <w:spacing w:after="0"/>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4.png"/><Relationship Id="rId26" Type="http://schemas.openxmlformats.org/officeDocument/2006/relationships/hyperlink" Target="https://doi.org/10.7202/1007729ar" TargetMode="External"/><Relationship Id="rId39" Type="http://schemas.openxmlformats.org/officeDocument/2006/relationships/footer" Target="footer1.xml"/><Relationship Id="rId21" Type="http://schemas.openxmlformats.org/officeDocument/2006/relationships/hyperlink" Target="mailto:Schouweym@gmail.com" TargetMode="External"/><Relationship Id="rId34" Type="http://schemas.openxmlformats.org/officeDocument/2006/relationships/hyperlink" Target="https://www.lexfind.ch/fe/fr/tol/24290/f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raphaelle.bertrand@cphv.ch" TargetMode="External"/><Relationship Id="rId29" Type="http://schemas.openxmlformats.org/officeDocument/2006/relationships/hyperlink" Target="https://che01.safelinks.protection.outlook.com/?url=https%3A%2F%2Fwww.csps.ch%2Fthemes%2Fstatistiques%2Fenseignement-specialise&amp;data=05%7C01%7C%7Cacb4d13bb5734cbfa9fc08da2794aa3d%7C8de5054ebe5d4d93a555aa65dd2010a2%7C0%7C0%7C637865816704294805%7CUnknown%7CTWFpbGZsb3d8eyJWIjoiMC4wLjAwMDAiLCJQIjoiV2luMzIiLCJBTiI6Ik1haWwiLCJXVCI6Mn0%3D%7C3000%7C%7C%7C&amp;sdata=kwzzEgbMkrasu47OSDMsTXZKrH3tS1Cij%2FIu2aFTSIo%3D&amp;reserved=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4-03-02" TargetMode="External"/><Relationship Id="rId24" Type="http://schemas.openxmlformats.org/officeDocument/2006/relationships/hyperlink" Target="mailto:valerie.caron@unifr.ch" TargetMode="External"/><Relationship Id="rId32" Type="http://schemas.openxmlformats.org/officeDocument/2006/relationships/hyperlink" Target="https://www.lexfind.ch/fe/de/tol/20673/fr" TargetMode="External"/><Relationship Id="rId37" Type="http://schemas.openxmlformats.org/officeDocument/2006/relationships/hyperlink" Target="https://doi.org/10.3109/09638288.2014.936564"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ooxaa.ch/" TargetMode="External"/><Relationship Id="rId23" Type="http://schemas.openxmlformats.org/officeDocument/2006/relationships/image" Target="media/image7.png"/><Relationship Id="rId28" Type="http://schemas.openxmlformats.org/officeDocument/2006/relationships/hyperlink" Target="https://hal.science/hal-02494144" TargetMode="External"/><Relationship Id="rId36" Type="http://schemas.openxmlformats.org/officeDocument/2006/relationships/hyperlink" Target="https://www.un.org/esa/socdev/enable/documents/tccconvf.pdf"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inshea.fr/sites/default/files/Bibliographie_deficience_visuelle_INSHEA_20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3.org/WAI/standards-guidelines/wcag/fr" TargetMode="External"/><Relationship Id="rId22" Type="http://schemas.openxmlformats.org/officeDocument/2006/relationships/image" Target="media/image6.png"/><Relationship Id="rId27" Type="http://schemas.openxmlformats.org/officeDocument/2006/relationships/hyperlink" Target="https://drive.google.com/file/d/1lzn9oDYDLCE15P2tfdZKm2oPZNrVMC20/view?usp=sharing" TargetMode="External"/><Relationship Id="rId30" Type="http://schemas.openxmlformats.org/officeDocument/2006/relationships/hyperlink" Target="https://www.avh.asso.fr/sites/default/files/cbfu_edition_internationale_1.pdf" TargetMode="External"/><Relationship Id="rId35" Type="http://schemas.openxmlformats.org/officeDocument/2006/relationships/hyperlink" Target="https://unesdoc.unesco.org/ark:/48223/pf0000098427_fr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drive.google.com/file/d/1DP_J2us3PrccwkQxRpem3S7fGW2YfUfx/view" TargetMode="External"/><Relationship Id="rId25" Type="http://schemas.openxmlformats.org/officeDocument/2006/relationships/hyperlink" Target="mailto:Fabienne.sypowski@cphv.ch" TargetMode="External"/><Relationship Id="rId33" Type="http://schemas.openxmlformats.org/officeDocument/2006/relationships/hyperlink" Target="https://www.fedlex.admin.ch/eli/cc/2003/667/fr" TargetMode="External"/><Relationship Id="rId38"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in\SZH%20CSPS\Daten_Allgemein%20-%20General\2_Produkte\52_Revue\RV02_Redaction\Revue_2024\03_UDL\Layout%20R03.2024.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5C7899-5913-46B8-967B-063511286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 R03.2024</Template>
  <TotalTime>4</TotalTime>
  <Pages>7</Pages>
  <Words>3437</Words>
  <Characters>18907</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Concevoir des supports pédagogiques pour favoriser _x000b_l'école inclusive</dc:title>
  <dc:creator>Raphaëlle Bertrand;Marine Schouwey;Valérie Caron;Fabienne Sypowski</dc:creator>
  <cp:keywords>accessibilité, conception universelle de l'apprentissage, déficience visuelle, formation continue/Barrierefreiheit, Universal Design for Learning, Sehbeeinträchtigung, Weiterbildung</cp:keywords>
  <cp:lastModifiedBy>Morand, Robin</cp:lastModifiedBy>
  <cp:revision>145</cp:revision>
  <cp:lastPrinted>2024-09-09T08:59:00Z</cp:lastPrinted>
  <dcterms:created xsi:type="dcterms:W3CDTF">2024-07-15T09:22:00Z</dcterms:created>
  <dcterms:modified xsi:type="dcterms:W3CDTF">2024-09-16T13:38:00Z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