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8407B" w14:textId="13CAD94C" w:rsidR="001114E2" w:rsidRPr="001A4056" w:rsidRDefault="00366604" w:rsidP="00924246">
      <w:pPr>
        <w:pStyle w:val="Titel"/>
        <w:rPr>
          <w:rFonts w:cs="Open Sans SemiCondensed"/>
          <w:lang w:val="fr-CH"/>
        </w:rPr>
      </w:pPr>
      <w:r w:rsidRPr="00366604">
        <w:rPr>
          <w:lang w:val="fr-CH"/>
        </w:rPr>
        <w:t>L’équité tout au long de la vie</w:t>
      </w:r>
    </w:p>
    <w:p w14:paraId="4AAA6A1D" w14:textId="6502C548" w:rsidR="004B7B3D" w:rsidRPr="00CE4940" w:rsidRDefault="00912AF6" w:rsidP="00CE4940">
      <w:pPr>
        <w:pStyle w:val="Author"/>
        <w:rPr>
          <w:rStyle w:val="Fett"/>
          <w:b w:val="0"/>
          <w:bCs w:val="0"/>
          <w:i/>
        </w:rPr>
      </w:pPr>
      <w:r w:rsidRPr="00912AF6">
        <w:t xml:space="preserve">Marie-Paule Matthey et Corinne Monney </w:t>
      </w:r>
    </w:p>
    <w:p w14:paraId="69410120" w14:textId="40B714EC" w:rsidR="001D3BFB" w:rsidRPr="001A4056" w:rsidRDefault="00EA4676" w:rsidP="00C266B9">
      <w:pPr>
        <w:pStyle w:val="Textkrper3"/>
        <w:rPr>
          <w:rFonts w:cs="Open Sans SemiCondensed"/>
          <w:bCs/>
          <w:iCs/>
          <w:color w:val="CF3649"/>
          <w:lang w:val="fr-CH"/>
        </w:rPr>
      </w:pPr>
      <w:r w:rsidRPr="001A4056">
        <w:rPr>
          <w:rStyle w:val="Fett"/>
          <w:rFonts w:cs="Open Sans SemiCondensed"/>
          <w:lang w:val="fr-CH"/>
        </w:rPr>
        <w:t>DOI</w:t>
      </w:r>
      <w:r w:rsidRPr="001A4056">
        <w:rPr>
          <w:rFonts w:cs="Open Sans SemiCondensed"/>
          <w:lang w:val="fr-CH"/>
        </w:rPr>
        <w:t xml:space="preserve">: </w:t>
      </w:r>
      <w:hyperlink r:id="rId11" w:history="1">
        <w:r w:rsidR="00A52194" w:rsidRPr="000F129B">
          <w:rPr>
            <w:rStyle w:val="Hyperlink"/>
          </w:rPr>
          <w:t>https://doi.org/10.57161/r2023-02-0</w:t>
        </w:r>
      </w:hyperlink>
      <w:r w:rsidR="0090784D" w:rsidRPr="000F129B">
        <w:rPr>
          <w:rStyle w:val="Hyperlink"/>
        </w:rPr>
        <w:t>0</w:t>
      </w:r>
      <w:r w:rsidR="00A52194">
        <w:rPr>
          <w:rFonts w:cs="Open Sans SemiCondensed"/>
          <w:bCs/>
          <w:iCs/>
          <w:lang w:val="fr-CH"/>
        </w:rPr>
        <w:t xml:space="preserve"> </w:t>
      </w:r>
    </w:p>
    <w:p w14:paraId="7DD51412" w14:textId="77777777" w:rsidR="00EA4676" w:rsidRPr="001A4056" w:rsidRDefault="00EA4676" w:rsidP="00C266B9">
      <w:pPr>
        <w:pStyle w:val="Textkrper3"/>
      </w:pPr>
      <w:r w:rsidRPr="001A4056">
        <w:t xml:space="preserve">Revue Suisse de </w:t>
      </w:r>
      <w:proofErr w:type="spellStart"/>
      <w:r w:rsidRPr="001A4056">
        <w:t>Pédagogie</w:t>
      </w:r>
      <w:proofErr w:type="spellEnd"/>
      <w:r w:rsidRPr="001A4056">
        <w:t xml:space="preserve"> </w:t>
      </w:r>
      <w:proofErr w:type="spellStart"/>
      <w:r w:rsidRPr="001A4056">
        <w:t>Spécialisée</w:t>
      </w:r>
      <w:proofErr w:type="spellEnd"/>
      <w:r w:rsidRPr="001A4056">
        <w:t xml:space="preserve">, Vol. </w:t>
      </w:r>
      <w:r w:rsidR="001A4056">
        <w:t>13</w:t>
      </w:r>
      <w:r w:rsidRPr="001A4056">
        <w:t xml:space="preserve">, </w:t>
      </w:r>
      <w:r w:rsidR="001A4056">
        <w:t>0</w:t>
      </w:r>
      <w:r w:rsidR="00A52194">
        <w:t>2</w:t>
      </w:r>
      <w:r w:rsidRPr="001A4056">
        <w:t>/</w:t>
      </w:r>
      <w:r w:rsidR="001A4056">
        <w:t>2023</w:t>
      </w:r>
    </w:p>
    <w:p w14:paraId="726FE282" w14:textId="77777777" w:rsidR="000E6A66" w:rsidRPr="001A4056" w:rsidRDefault="000E6A66" w:rsidP="00C266B9">
      <w:pPr>
        <w:pStyle w:val="Textkrper3"/>
      </w:pPr>
      <w:r w:rsidRPr="001A4056">
        <w:rPr>
          <w:noProof/>
        </w:rPr>
        <w:drawing>
          <wp:inline distT="0" distB="0" distL="0" distR="0" wp14:anchorId="63C8ADFE" wp14:editId="24C7DF10">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1E4A26E" w14:textId="3B1AE054" w:rsidR="004B23F6" w:rsidRPr="004B23F6" w:rsidRDefault="004B23F6" w:rsidP="004B23F6">
      <w:pPr>
        <w:pStyle w:val="Textkrper"/>
        <w:rPr>
          <w:lang w:val="fr-CH"/>
        </w:rPr>
      </w:pPr>
      <w:r w:rsidRPr="004B23F6">
        <w:rPr>
          <w:lang w:val="fr-CH"/>
        </w:rPr>
        <w:t>L’Accord intercantonal du 25 octobre 2007 sur la collaboration dans le domaine de la pédagogie spécialisée (</w:t>
      </w:r>
      <w:hyperlink r:id="rId14" w:history="1">
        <w:r w:rsidRPr="00AC4508">
          <w:rPr>
            <w:rStyle w:val="Hyperlink"/>
            <w:lang w:val="fr-CH"/>
          </w:rPr>
          <w:t>AICPS</w:t>
        </w:r>
      </w:hyperlink>
      <w:r w:rsidRPr="004B23F6">
        <w:rPr>
          <w:lang w:val="fr-CH"/>
        </w:rPr>
        <w:t xml:space="preserve">), qui encourage les cantons depuis une quinzaine d’années à privilégier les solutions intégratives aux mesures séparatives (art. 2, al. b.), a modifié le paysage scolaire et pose de nouveaux défis à l’école. Le corps enseignant est alors amené à travailler de concert à l’intégration de l’ensemble des élèves, tout en se conformant aux procédures d’octroi des mesures de soutien mises en place par les cantons. Le premier article de ce dossier thématique présente donc la perception de l’égalité et de l’équité des enseignantes et enseignants dans la prise en charge des élèves ayant des besoins éducatifs particuliers (Gremion &amp; Gremion). </w:t>
      </w:r>
    </w:p>
    <w:p w14:paraId="1B382E74" w14:textId="25A5D2A9" w:rsidR="004B23F6" w:rsidRPr="004B23F6" w:rsidRDefault="004B23F6" w:rsidP="004B23F6">
      <w:pPr>
        <w:pStyle w:val="Textkrper"/>
        <w:rPr>
          <w:lang w:val="fr-CH"/>
        </w:rPr>
      </w:pPr>
      <w:r w:rsidRPr="004B23F6">
        <w:rPr>
          <w:lang w:val="fr-CH"/>
        </w:rPr>
        <w:t>En 2018, le rapport sur l’éducation du Centre suisse de coordination pour la recherche en éducation (</w:t>
      </w:r>
      <w:hyperlink r:id="rId15" w:history="1">
        <w:r w:rsidRPr="00C3505F">
          <w:rPr>
            <w:rStyle w:val="Hyperlink"/>
            <w:lang w:val="fr-CH"/>
          </w:rPr>
          <w:t>CSRE</w:t>
        </w:r>
      </w:hyperlink>
      <w:r w:rsidRPr="004B23F6">
        <w:rPr>
          <w:lang w:val="fr-CH"/>
        </w:rPr>
        <w:t xml:space="preserve">), mentionnant pour la première fois le concept d’équité, dénonce des aspects inégalitaires au sein de l’école. Citons en exemples, l’inégalité d’accès à l’éducation préscolaire pour les familles issues de milieux défavorisés ou la tendance à faire redoubler les élèves allophones à la fin de la deuxième année primaire.  C’est pourquoi il est important de proposer des actions qui prennent en compte les inégalités dès le préscolaire, comme </w:t>
      </w:r>
      <w:hyperlink r:id="rId16" w:history="1">
        <w:r w:rsidRPr="00755083">
          <w:rPr>
            <w:rStyle w:val="Hyperlink"/>
            <w:lang w:val="fr-CH"/>
          </w:rPr>
          <w:t xml:space="preserve">l’offre </w:t>
        </w:r>
        <w:proofErr w:type="spellStart"/>
        <w:r w:rsidRPr="00755083">
          <w:rPr>
            <w:rStyle w:val="Hyperlink"/>
            <w:lang w:val="fr-CH"/>
          </w:rPr>
          <w:t>ping:pong</w:t>
        </w:r>
        <w:proofErr w:type="spellEnd"/>
        <w:r w:rsidRPr="00755083">
          <w:rPr>
            <w:rStyle w:val="Hyperlink"/>
            <w:lang w:val="fr-CH"/>
          </w:rPr>
          <w:t xml:space="preserve"> d’</w:t>
        </w:r>
        <w:proofErr w:type="spellStart"/>
        <w:r w:rsidRPr="00755083">
          <w:rPr>
            <w:rStyle w:val="Hyperlink"/>
            <w:lang w:val="fr-CH"/>
          </w:rPr>
          <w:t>a:primo</w:t>
        </w:r>
        <w:proofErr w:type="spellEnd"/>
      </w:hyperlink>
      <w:r w:rsidRPr="004B23F6">
        <w:rPr>
          <w:lang w:val="fr-CH"/>
        </w:rPr>
        <w:t xml:space="preserve"> qui contribue à faciliter l’entrée à l’école des enfants grandissant dans un contexte de vulnérabilité sociale (</w:t>
      </w:r>
      <w:proofErr w:type="spellStart"/>
      <w:r w:rsidRPr="004B23F6">
        <w:rPr>
          <w:lang w:val="fr-CH"/>
        </w:rPr>
        <w:t>Deshaye</w:t>
      </w:r>
      <w:proofErr w:type="spellEnd"/>
      <w:r w:rsidRPr="004B23F6">
        <w:rPr>
          <w:lang w:val="fr-CH"/>
        </w:rPr>
        <w:t xml:space="preserve">). </w:t>
      </w:r>
      <w:r w:rsidR="00AE6406">
        <w:rPr>
          <w:lang w:val="fr-CH"/>
        </w:rPr>
        <w:t>À</w:t>
      </w:r>
      <w:r w:rsidRPr="004B23F6">
        <w:rPr>
          <w:lang w:val="fr-CH"/>
        </w:rPr>
        <w:t xml:space="preserve"> la fin du parcours obligatoire, la transition école-métiers est elle aussi sujette à des inégalités. Duc et </w:t>
      </w:r>
      <w:proofErr w:type="spellStart"/>
      <w:r w:rsidRPr="004B23F6">
        <w:rPr>
          <w:lang w:val="fr-CH"/>
        </w:rPr>
        <w:t>Lamamra</w:t>
      </w:r>
      <w:proofErr w:type="spellEnd"/>
      <w:r w:rsidRPr="004B23F6">
        <w:rPr>
          <w:lang w:val="fr-CH"/>
        </w:rPr>
        <w:t xml:space="preserve"> nous proposent d’aborder les enjeux du système de formation professionnelle suisse en donnant la parole à des jeunes ayant résilié leur contrat d’apprentissage de filières CFC, AFP et </w:t>
      </w:r>
      <w:proofErr w:type="spellStart"/>
      <w:r w:rsidRPr="004B23F6">
        <w:rPr>
          <w:lang w:val="fr-CH"/>
        </w:rPr>
        <w:t>FPra</w:t>
      </w:r>
      <w:proofErr w:type="spellEnd"/>
      <w:r w:rsidRPr="004B23F6">
        <w:rPr>
          <w:lang w:val="fr-CH"/>
        </w:rPr>
        <w:t>. Dans le degré secondaire, l’origine sociale et la langue parlée à la maison sont des facteurs d’inégalité, puisque les élèves issus de la migration obtiennent des résultats inférieurs. Fort de ce constat, ce dossier thématique a pour but d’approfondir les concepts d’équité et d’égalité, ainsi que la problématique de l’école face à la diversité.  La quatrième contribution permet de faire le point sur les recherches relatives à la pédagogie critique de la diversité qui se penche sur les inégalités sociales en éducation (Beckmann et al.).</w:t>
      </w:r>
    </w:p>
    <w:p w14:paraId="1A3BFBCD" w14:textId="7460B76F" w:rsidR="004B23F6" w:rsidRPr="004B23F6" w:rsidRDefault="004B23F6" w:rsidP="0030631D">
      <w:pPr>
        <w:pStyle w:val="Textkrper"/>
        <w:rPr>
          <w:lang w:val="fr-CH"/>
        </w:rPr>
      </w:pPr>
      <w:r w:rsidRPr="004B23F6">
        <w:rPr>
          <w:lang w:val="fr-CH"/>
        </w:rPr>
        <w:t>En 1999 et en 2003 déjà, la Conférence intercantonale de l'instruction publique de la Suisse romande et du Tessin (</w:t>
      </w:r>
      <w:hyperlink r:id="rId17" w:history="1">
        <w:r w:rsidRPr="009D7D5F">
          <w:rPr>
            <w:rStyle w:val="Hyperlink"/>
            <w:lang w:val="fr-CH"/>
          </w:rPr>
          <w:t>CIIP</w:t>
        </w:r>
      </w:hyperlink>
      <w:r w:rsidRPr="004B23F6">
        <w:rPr>
          <w:lang w:val="fr-CH"/>
        </w:rPr>
        <w:t>) a défini les finalités et les missions de l’École publique qui reposent notamment sur les valeurs de développement de l'esprit de tolérance et de coopération, le sens de la solidarité, le développement de la faculté de discernement et d'indépendance de jugement, mais aussi la correction des inégalités de chance et de</w:t>
      </w:r>
      <w:r w:rsidR="001A3546">
        <w:rPr>
          <w:lang w:val="fr-CH"/>
        </w:rPr>
        <w:t>s</w:t>
      </w:r>
      <w:r w:rsidRPr="004B23F6">
        <w:rPr>
          <w:lang w:val="fr-CH"/>
        </w:rPr>
        <w:t xml:space="preserve"> réussite</w:t>
      </w:r>
      <w:r w:rsidR="001A3546">
        <w:rPr>
          <w:lang w:val="fr-CH"/>
        </w:rPr>
        <w:t>s</w:t>
      </w:r>
      <w:r w:rsidRPr="004B23F6">
        <w:rPr>
          <w:lang w:val="fr-CH"/>
        </w:rPr>
        <w:t xml:space="preserve"> scolaires. C’est pour comprendre quels concepts, valeurs et principes, vingt ans après, ont présidé au document « Mise en application du Plan d’études romand pour les élèves présentant des besoins éducatifs particuliers dans les écoles ordinaires et les écoles spécialisées » publié par la Direction de l’instruction publique et de la culture du canton (</w:t>
      </w:r>
      <w:hyperlink r:id="rId18" w:history="1">
        <w:r w:rsidRPr="009E53C4">
          <w:rPr>
            <w:rStyle w:val="Hyperlink"/>
            <w:lang w:val="fr-CH"/>
          </w:rPr>
          <w:t>INC</w:t>
        </w:r>
      </w:hyperlink>
      <w:r w:rsidRPr="004B23F6">
        <w:rPr>
          <w:lang w:val="fr-CH"/>
        </w:rPr>
        <w:t>) de Berne en juin 2022,  que nous avons souhaité interroger Andréa Fuchs Fateh, responsable de l’enseignement spécialisé francophone au sein de l’INC (Matthey et Fuchs Fateh).</w:t>
      </w:r>
    </w:p>
    <w:p w14:paraId="222ACF53" w14:textId="31460465" w:rsidR="00C266B9" w:rsidRDefault="004B23F6" w:rsidP="00C266B9">
      <w:pPr>
        <w:pStyle w:val="Textkrper"/>
        <w:spacing w:after="0"/>
        <w:rPr>
          <w:lang w:val="fr-CH"/>
        </w:rPr>
      </w:pPr>
      <w:r w:rsidRPr="004B23F6">
        <w:rPr>
          <w:lang w:val="fr-CH"/>
        </w:rPr>
        <w:t>Nous vous souhaitons une bonne lecture enrichie des points de vue d’expertes et experts du domaine qui réactualisent de manière innovante et complémentaire les définitions des concepts, les pratiques et les réflexions</w:t>
      </w:r>
      <w:r w:rsidR="0030631D">
        <w:rPr>
          <w:lang w:val="fr-CH"/>
        </w:rPr>
        <w:t> !</w:t>
      </w:r>
    </w:p>
    <w:p w14:paraId="34341744" w14:textId="77777777" w:rsidR="00C266B9" w:rsidRDefault="00C266B9" w:rsidP="00C266B9">
      <w:pPr>
        <w:pStyle w:val="Textkrper"/>
        <w:spacing w:before="0" w:after="0"/>
        <w:rPr>
          <w:lang w:val="fr-CH"/>
        </w:rPr>
      </w:pPr>
    </w:p>
    <w:tbl>
      <w:tblPr>
        <w:tblW w:w="9355" w:type="dxa"/>
        <w:tblLayout w:type="fixed"/>
        <w:tblLook w:val="0000" w:firstRow="0" w:lastRow="0" w:firstColumn="0" w:lastColumn="0" w:noHBand="0" w:noVBand="0"/>
      </w:tblPr>
      <w:tblGrid>
        <w:gridCol w:w="3404"/>
        <w:gridCol w:w="1131"/>
        <w:gridCol w:w="286"/>
        <w:gridCol w:w="3259"/>
        <w:gridCol w:w="1275"/>
      </w:tblGrid>
      <w:tr w:rsidR="003A40DD" w14:paraId="0E3E89FE" w14:textId="77777777" w:rsidTr="00C266B9">
        <w:trPr>
          <w:trHeight w:val="1134"/>
        </w:trPr>
        <w:tc>
          <w:tcPr>
            <w:tcW w:w="3404" w:type="dxa"/>
            <w:tcBorders>
              <w:top w:val="nil"/>
              <w:left w:val="nil"/>
              <w:bottom w:val="nil"/>
              <w:right w:val="nil"/>
            </w:tcBorders>
          </w:tcPr>
          <w:p w14:paraId="2221EF6D" w14:textId="14D82F0F" w:rsidR="003A40DD" w:rsidRDefault="003A40DD" w:rsidP="00C266B9">
            <w:pPr>
              <w:pStyle w:val="Textkrper3"/>
              <w:rPr>
                <w:rFonts w:ascii="Calibri" w:hAnsi="Calibri" w:cs="Calibri"/>
              </w:rPr>
            </w:pPr>
            <w:r>
              <w:t>Marie-Paule Matthey</w:t>
            </w:r>
            <w:r>
              <w:br/>
              <w:t xml:space="preserve">Responsable de la </w:t>
            </w:r>
            <w:proofErr w:type="spellStart"/>
            <w:r>
              <w:t>formation</w:t>
            </w:r>
            <w:proofErr w:type="spellEnd"/>
            <w:r>
              <w:t xml:space="preserve"> </w:t>
            </w:r>
            <w:proofErr w:type="spellStart"/>
            <w:r>
              <w:t>pratique</w:t>
            </w:r>
            <w:proofErr w:type="spellEnd"/>
            <w:r>
              <w:t xml:space="preserve"> Haute </w:t>
            </w:r>
            <w:proofErr w:type="spellStart"/>
            <w:r>
              <w:t>école</w:t>
            </w:r>
            <w:proofErr w:type="spellEnd"/>
            <w:r>
              <w:t xml:space="preserve"> </w:t>
            </w:r>
            <w:proofErr w:type="spellStart"/>
            <w:r>
              <w:t>pédagogique</w:t>
            </w:r>
            <w:proofErr w:type="spellEnd"/>
            <w:r>
              <w:t xml:space="preserve"> du </w:t>
            </w:r>
            <w:proofErr w:type="spellStart"/>
            <w:r>
              <w:t>Valais</w:t>
            </w:r>
            <w:proofErr w:type="spellEnd"/>
            <w:r>
              <w:t xml:space="preserve"> </w:t>
            </w:r>
            <w:r>
              <w:br/>
            </w:r>
            <w:hyperlink r:id="rId19" w:history="1">
              <w:r w:rsidRPr="00F3004B">
                <w:rPr>
                  <w:rStyle w:val="Hyperlink"/>
                </w:rPr>
                <w:t>marie-paule.matthey@hepvs.ch</w:t>
              </w:r>
            </w:hyperlink>
          </w:p>
        </w:tc>
        <w:tc>
          <w:tcPr>
            <w:tcW w:w="1131" w:type="dxa"/>
            <w:tcBorders>
              <w:top w:val="nil"/>
              <w:left w:val="nil"/>
              <w:bottom w:val="nil"/>
              <w:right w:val="nil"/>
            </w:tcBorders>
          </w:tcPr>
          <w:p w14:paraId="0AEAF75A" w14:textId="23BD5119" w:rsidR="003A40DD" w:rsidRDefault="003A40DD" w:rsidP="00C266B9">
            <w:pPr>
              <w:pStyle w:val="Textkrper3"/>
              <w:rPr>
                <w:lang w:val="fr-CH"/>
              </w:rPr>
            </w:pPr>
            <w:r>
              <w:rPr>
                <w:noProof/>
              </w:rPr>
              <w:drawing>
                <wp:inline distT="0" distB="0" distL="0" distR="0" wp14:anchorId="2F786EE1" wp14:editId="0DBE00E9">
                  <wp:extent cx="675498" cy="723265"/>
                  <wp:effectExtent l="0" t="0" r="0" b="635"/>
                  <wp:docPr id="1451651985"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651985" name="Grafik 6">
                            <a:extLst>
                              <a:ext uri="{C183D7F6-B498-43B3-948B-1728B52AA6E4}">
                                <adec:decorative xmlns:adec="http://schemas.microsoft.com/office/drawing/2017/decorative" val="1"/>
                              </a:ext>
                            </a:extLst>
                          </pic:cNvPr>
                          <pic:cNvPicPr>
                            <a:picLocks noChangeAspect="1" noChangeArrowheads="1"/>
                          </pic:cNvPicPr>
                        </pic:nvPicPr>
                        <pic:blipFill rotWithShape="1">
                          <a:blip r:embed="rId20">
                            <a:extLst>
                              <a:ext uri="{28A0092B-C50C-407E-A947-70E740481C1C}">
                                <a14:useLocalDpi xmlns:a14="http://schemas.microsoft.com/office/drawing/2010/main" val="0"/>
                              </a:ext>
                            </a:extLst>
                          </a:blip>
                          <a:srcRect l="6605" r="-1"/>
                          <a:stretch/>
                        </pic:blipFill>
                        <pic:spPr bwMode="auto">
                          <a:xfrm>
                            <a:off x="0" y="0"/>
                            <a:ext cx="675498" cy="7232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6" w:type="dxa"/>
            <w:tcBorders>
              <w:top w:val="nil"/>
              <w:left w:val="nil"/>
              <w:bottom w:val="nil"/>
              <w:right w:val="nil"/>
            </w:tcBorders>
          </w:tcPr>
          <w:p w14:paraId="731FE77F" w14:textId="77777777" w:rsidR="003A40DD" w:rsidRDefault="003A40DD" w:rsidP="00C266B9">
            <w:pPr>
              <w:pStyle w:val="Textkrper3"/>
            </w:pPr>
          </w:p>
        </w:tc>
        <w:tc>
          <w:tcPr>
            <w:tcW w:w="3259" w:type="dxa"/>
            <w:tcBorders>
              <w:top w:val="nil"/>
              <w:left w:val="nil"/>
              <w:bottom w:val="nil"/>
              <w:right w:val="nil"/>
            </w:tcBorders>
          </w:tcPr>
          <w:p w14:paraId="2A00EEFF" w14:textId="77777777" w:rsidR="003A40DD" w:rsidRDefault="003A40DD" w:rsidP="00C266B9">
            <w:pPr>
              <w:pStyle w:val="Textkrper3"/>
            </w:pPr>
            <w:r>
              <w:t>Corinne Monney, PhD.</w:t>
            </w:r>
          </w:p>
          <w:p w14:paraId="00DD69DB" w14:textId="77777777" w:rsidR="003A40DD" w:rsidRDefault="003A40DD" w:rsidP="00C266B9">
            <w:pPr>
              <w:pStyle w:val="Textkrper3"/>
            </w:pPr>
            <w:r>
              <w:t>Responsable du Master en ES</w:t>
            </w:r>
          </w:p>
          <w:p w14:paraId="4932B965" w14:textId="373CB28D" w:rsidR="0012261E" w:rsidRDefault="003A40DD" w:rsidP="00C266B9">
            <w:pPr>
              <w:pStyle w:val="Textkrper3"/>
              <w:rPr>
                <w:rFonts w:ascii="Calibri" w:hAnsi="Calibri" w:cs="Calibri"/>
              </w:rPr>
            </w:pPr>
            <w:r>
              <w:t xml:space="preserve">Haute </w:t>
            </w:r>
            <w:proofErr w:type="spellStart"/>
            <w:r>
              <w:t>école</w:t>
            </w:r>
            <w:proofErr w:type="spellEnd"/>
            <w:r>
              <w:t xml:space="preserve"> </w:t>
            </w:r>
            <w:proofErr w:type="spellStart"/>
            <w:r>
              <w:t>pédagogique</w:t>
            </w:r>
            <w:proofErr w:type="spellEnd"/>
            <w:r>
              <w:t xml:space="preserve"> du </w:t>
            </w:r>
            <w:proofErr w:type="spellStart"/>
            <w:r>
              <w:t>Valais</w:t>
            </w:r>
            <w:proofErr w:type="spellEnd"/>
            <w:r>
              <w:br/>
            </w:r>
            <w:hyperlink r:id="rId21" w:history="1">
              <w:r w:rsidRPr="00F3004B">
                <w:rPr>
                  <w:rStyle w:val="Hyperlink"/>
                </w:rPr>
                <w:t>corinne.monney@hepvs.ch</w:t>
              </w:r>
            </w:hyperlink>
          </w:p>
        </w:tc>
        <w:tc>
          <w:tcPr>
            <w:tcW w:w="1275" w:type="dxa"/>
            <w:tcBorders>
              <w:top w:val="nil"/>
              <w:left w:val="nil"/>
              <w:bottom w:val="nil"/>
              <w:right w:val="nil"/>
            </w:tcBorders>
          </w:tcPr>
          <w:p w14:paraId="39FF326E" w14:textId="2CE294F9" w:rsidR="003A40DD" w:rsidRDefault="003A40DD" w:rsidP="00C266B9">
            <w:pPr>
              <w:pStyle w:val="Textkrper3"/>
              <w:rPr>
                <w:rFonts w:cs="Open Sans SemiCondensed"/>
              </w:rPr>
            </w:pPr>
            <w:r>
              <w:rPr>
                <w:noProof/>
              </w:rPr>
              <w:drawing>
                <wp:inline distT="0" distB="0" distL="0" distR="0" wp14:anchorId="3A427226" wp14:editId="0C94323B">
                  <wp:extent cx="661689" cy="716280"/>
                  <wp:effectExtent l="0" t="0" r="5080" b="7620"/>
                  <wp:docPr id="592281125"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281125" name="Grafik 5">
                            <a:extLst>
                              <a:ext uri="{C183D7F6-B498-43B3-948B-1728B52AA6E4}">
                                <adec:decorative xmlns:adec="http://schemas.microsoft.com/office/drawing/2017/decorative" val="1"/>
                              </a:ext>
                            </a:extLst>
                          </pic:cNvPr>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7621"/>
                          <a:stretch/>
                        </pic:blipFill>
                        <pic:spPr bwMode="auto">
                          <a:xfrm>
                            <a:off x="0" y="0"/>
                            <a:ext cx="661689" cy="71628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41E1997" w14:textId="77777777" w:rsidR="00C266B9" w:rsidRPr="001A4056" w:rsidRDefault="00C266B9" w:rsidP="00C266B9">
      <w:pPr>
        <w:pStyle w:val="Textkrper3"/>
      </w:pPr>
    </w:p>
    <w:sectPr w:rsidR="00C266B9" w:rsidRPr="001A4056" w:rsidSect="0030447C">
      <w:headerReference w:type="default" r:id="rId23"/>
      <w:footerReference w:type="default" r:id="rId24"/>
      <w:pgSz w:w="11907" w:h="16840" w:code="9"/>
      <w:pgMar w:top="1418" w:right="1418" w:bottom="1134" w:left="141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4DEA5" w14:textId="77777777" w:rsidR="00A54051" w:rsidRDefault="00A54051">
      <w:pPr>
        <w:spacing w:line="240" w:lineRule="auto"/>
      </w:pPr>
      <w:r>
        <w:separator/>
      </w:r>
    </w:p>
  </w:endnote>
  <w:endnote w:type="continuationSeparator" w:id="0">
    <w:p w14:paraId="10E2189F" w14:textId="77777777" w:rsidR="00A54051" w:rsidRDefault="00A540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SemiCondensed">
    <w:panose1 w:val="00000000000000000000"/>
    <w:charset w:val="00"/>
    <w:family w:val="auto"/>
    <w:pitch w:val="variable"/>
    <w:sig w:usb0="E00002FF" w:usb1="4000201B" w:usb2="00000028" w:usb3="00000000" w:csb0="0000019F" w:csb1="00000000"/>
    <w:embedRegular r:id="rId1" w:fontKey="{7320D402-36B3-41B5-8A9A-B89074F5404A}"/>
    <w:embedBold r:id="rId2" w:fontKey="{B8F74044-BFF2-400E-AAB8-5640C5057777}"/>
    <w:embedItalic r:id="rId3" w:fontKey="{6A054202-A9AE-431F-A322-C85D02B376F6}"/>
    <w:embedBoldItalic r:id="rId4" w:fontKey="{E8F39DF5-55CD-48C3-9C03-EBE9BDD3AD14}"/>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9422C84A-9F3C-4980-89AF-2241C360FB8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CE15B" w14:textId="77777777" w:rsidR="004B3A29" w:rsidRPr="007B448B" w:rsidRDefault="006E210A" w:rsidP="001D3BFB">
    <w:pPr>
      <w:pStyle w:val="Fuzeile"/>
      <w:rPr>
        <w:szCs w:val="22"/>
      </w:rPr>
    </w:pPr>
    <w:r>
      <w:rPr>
        <w:noProof/>
      </w:rPr>
      <w:drawing>
        <wp:anchor distT="0" distB="0" distL="114300" distR="114300" simplePos="0" relativeHeight="251660288" behindDoc="1" locked="0" layoutInCell="1" allowOverlap="1" wp14:anchorId="5DE14FC4" wp14:editId="27BDFD0E">
          <wp:simplePos x="0" y="0"/>
          <wp:positionH relativeFrom="column">
            <wp:posOffset>-671830</wp:posOffset>
          </wp:positionH>
          <wp:positionV relativeFrom="paragraph">
            <wp:posOffset>-726440</wp:posOffset>
          </wp:positionV>
          <wp:extent cx="101861" cy="849482"/>
          <wp:effectExtent l="0" t="0" r="0" b="0"/>
          <wp:wrapNone/>
          <wp:docPr id="242479967" name="Grafik 242479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9E600" w14:textId="77777777" w:rsidR="00A54051" w:rsidRPr="00777A2F" w:rsidRDefault="00A54051"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93C5286" w14:textId="77777777" w:rsidR="00A54051" w:rsidRDefault="00A54051">
      <w:r>
        <w:continuationSeparator/>
      </w:r>
    </w:p>
  </w:footnote>
  <w:footnote w:type="continuationNotice" w:id="1">
    <w:p w14:paraId="7E912C29" w14:textId="77777777" w:rsidR="00A54051" w:rsidRDefault="00A5405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7EE16" w14:textId="77777777" w:rsidR="007B448B" w:rsidRPr="007B448B" w:rsidRDefault="00307EC7" w:rsidP="007B448B">
    <w:pPr>
      <w:pStyle w:val="Themenschwerpunkt"/>
      <w:rPr>
        <w:lang w:val="fr-CH"/>
      </w:rPr>
    </w:pPr>
    <w:r>
      <mc:AlternateContent>
        <mc:Choice Requires="wps">
          <w:drawing>
            <wp:anchor distT="0" distB="0" distL="114299" distR="114299" simplePos="0" relativeHeight="251659264" behindDoc="0" locked="0" layoutInCell="1" allowOverlap="1" wp14:anchorId="7D676431" wp14:editId="027BAE7B">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FC7E1E" id="Connecteur droit 3" o:spid="_x0000_s1026" alt="&quot;&quot;"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52194" w:rsidRPr="00A52194">
      <w:t xml:space="preserve"> Équité tout au long de la vie</w:t>
    </w:r>
    <w:r w:rsidR="007B448B">
      <w:rPr>
        <w:lang w:val="fr-CH"/>
      </w:rPr>
      <w:tab/>
    </w:r>
    <w:r w:rsidR="007B448B">
      <w:rPr>
        <w:lang w:val="fr-CH"/>
      </w:rPr>
      <w:tab/>
    </w:r>
    <w:r w:rsidR="007B448B" w:rsidRPr="00ED473A">
      <w:rPr>
        <w:b w:val="0"/>
        <w:bCs/>
        <w:lang w:val="fr-CH"/>
      </w:rPr>
      <w:t xml:space="preserve">Revue Suisse de Pédagogie Spécialisée, Vol. </w:t>
    </w:r>
    <w:r w:rsidR="001A4056">
      <w:rPr>
        <w:b w:val="0"/>
        <w:bCs/>
        <w:lang w:val="fr-CH"/>
      </w:rPr>
      <w:t>13</w:t>
    </w:r>
    <w:r w:rsidR="007B448B" w:rsidRPr="00ED473A">
      <w:rPr>
        <w:b w:val="0"/>
        <w:bCs/>
        <w:lang w:val="fr-CH"/>
      </w:rPr>
      <w:t xml:space="preserve">, </w:t>
    </w:r>
    <w:r w:rsidR="001A4056">
      <w:rPr>
        <w:b w:val="0"/>
        <w:bCs/>
        <w:lang w:val="fr-CH"/>
      </w:rPr>
      <w:t>0</w:t>
    </w:r>
    <w:r w:rsidR="00A52194">
      <w:rPr>
        <w:b w:val="0"/>
        <w:bCs/>
        <w:lang w:val="fr-CH"/>
      </w:rPr>
      <w:t>2</w:t>
    </w:r>
    <w:r w:rsidR="007B448B" w:rsidRPr="00ED473A">
      <w:rPr>
        <w:b w:val="0"/>
        <w:bCs/>
        <w:lang w:val="fr-CH"/>
      </w:rPr>
      <w:t>/</w:t>
    </w:r>
    <w:r w:rsidR="001A4056">
      <w:rPr>
        <w:b w:val="0"/>
        <w:bCs/>
        <w:lang w:val="fr-CH"/>
      </w:rPr>
      <w:t>2023</w:t>
    </w:r>
  </w:p>
  <w:p w14:paraId="04359ED5" w14:textId="29C36912" w:rsidR="004B3A29" w:rsidRPr="00ED473A" w:rsidRDefault="00B7489C" w:rsidP="007B448B">
    <w:pPr>
      <w:pStyle w:val="Themenschwerpunkt"/>
      <w:rPr>
        <w:b w:val="0"/>
        <w:bCs/>
        <w:lang w:val="fr-CH"/>
      </w:rPr>
    </w:pPr>
    <w:r w:rsidRPr="006555BD">
      <w:rPr>
        <w:b w:val="0"/>
        <w:bCs/>
        <w:lang w:val="fr-CH"/>
      </w:rPr>
      <w:t xml:space="preserve">| </w:t>
    </w:r>
    <w:r w:rsidR="001C3C7B">
      <w:rPr>
        <w:b w:val="0"/>
        <w:bCs/>
        <w:lang w:val="fr-CH"/>
      </w:rPr>
      <w:t>ÉDITORIAL</w:t>
    </w:r>
    <w:r w:rsidR="007B448B">
      <w:rPr>
        <w:b w:val="0"/>
        <w:bCs/>
        <w:lang w:val="fr-CH"/>
      </w:rPr>
      <w:tab/>
    </w:r>
    <w:r w:rsidR="007B448B">
      <w:rPr>
        <w:b w:val="0"/>
        <w:bCs/>
        <w:lang w:val="fr-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2"/>
  </w:num>
  <w:num w:numId="3" w16cid:durableId="147961415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5E4"/>
    <w:rsid w:val="00016BFF"/>
    <w:rsid w:val="00024143"/>
    <w:rsid w:val="000302CB"/>
    <w:rsid w:val="0003314D"/>
    <w:rsid w:val="000352CE"/>
    <w:rsid w:val="00053353"/>
    <w:rsid w:val="000759D7"/>
    <w:rsid w:val="000B5BB8"/>
    <w:rsid w:val="000C0BA4"/>
    <w:rsid w:val="000E6A66"/>
    <w:rsid w:val="000F0956"/>
    <w:rsid w:val="000F129B"/>
    <w:rsid w:val="000F4B54"/>
    <w:rsid w:val="000F5288"/>
    <w:rsid w:val="0010334E"/>
    <w:rsid w:val="001114E2"/>
    <w:rsid w:val="001150A5"/>
    <w:rsid w:val="00115EF5"/>
    <w:rsid w:val="001161D6"/>
    <w:rsid w:val="00120CBF"/>
    <w:rsid w:val="0012261E"/>
    <w:rsid w:val="00151BCA"/>
    <w:rsid w:val="00153133"/>
    <w:rsid w:val="00157D7E"/>
    <w:rsid w:val="00167858"/>
    <w:rsid w:val="00170DC0"/>
    <w:rsid w:val="001A2EEC"/>
    <w:rsid w:val="001A3546"/>
    <w:rsid w:val="001A4056"/>
    <w:rsid w:val="001B05BD"/>
    <w:rsid w:val="001B16E8"/>
    <w:rsid w:val="001B25F3"/>
    <w:rsid w:val="001B7781"/>
    <w:rsid w:val="001C3C7B"/>
    <w:rsid w:val="001D3BFB"/>
    <w:rsid w:val="001E3BE9"/>
    <w:rsid w:val="00202A19"/>
    <w:rsid w:val="0020467E"/>
    <w:rsid w:val="00235A6C"/>
    <w:rsid w:val="002443A6"/>
    <w:rsid w:val="00276B2C"/>
    <w:rsid w:val="00284EA0"/>
    <w:rsid w:val="002862AA"/>
    <w:rsid w:val="002C5235"/>
    <w:rsid w:val="002E13B6"/>
    <w:rsid w:val="002E5374"/>
    <w:rsid w:val="0030447C"/>
    <w:rsid w:val="0030631D"/>
    <w:rsid w:val="00307EC7"/>
    <w:rsid w:val="00322024"/>
    <w:rsid w:val="003222A6"/>
    <w:rsid w:val="00365730"/>
    <w:rsid w:val="00366604"/>
    <w:rsid w:val="003819B7"/>
    <w:rsid w:val="00382314"/>
    <w:rsid w:val="00382F6D"/>
    <w:rsid w:val="00383074"/>
    <w:rsid w:val="00386CFF"/>
    <w:rsid w:val="003A0EA7"/>
    <w:rsid w:val="003A2717"/>
    <w:rsid w:val="003A40DD"/>
    <w:rsid w:val="003B4C81"/>
    <w:rsid w:val="003D221C"/>
    <w:rsid w:val="003D502F"/>
    <w:rsid w:val="003E022D"/>
    <w:rsid w:val="003E0578"/>
    <w:rsid w:val="003E6EB3"/>
    <w:rsid w:val="003F4BDD"/>
    <w:rsid w:val="003F6A6B"/>
    <w:rsid w:val="003F78C2"/>
    <w:rsid w:val="004027D5"/>
    <w:rsid w:val="00404F18"/>
    <w:rsid w:val="004108D3"/>
    <w:rsid w:val="00414332"/>
    <w:rsid w:val="00421D05"/>
    <w:rsid w:val="00426606"/>
    <w:rsid w:val="00441F45"/>
    <w:rsid w:val="0045144F"/>
    <w:rsid w:val="00454BCF"/>
    <w:rsid w:val="00467E46"/>
    <w:rsid w:val="0047168D"/>
    <w:rsid w:val="00486270"/>
    <w:rsid w:val="004A2854"/>
    <w:rsid w:val="004B1834"/>
    <w:rsid w:val="004B23F6"/>
    <w:rsid w:val="004B29F8"/>
    <w:rsid w:val="004B3001"/>
    <w:rsid w:val="004B3A29"/>
    <w:rsid w:val="004B7B3D"/>
    <w:rsid w:val="004C13EB"/>
    <w:rsid w:val="004C4A76"/>
    <w:rsid w:val="004D542D"/>
    <w:rsid w:val="004D58AC"/>
    <w:rsid w:val="004E232F"/>
    <w:rsid w:val="004F5C23"/>
    <w:rsid w:val="00501D38"/>
    <w:rsid w:val="005055D5"/>
    <w:rsid w:val="00521559"/>
    <w:rsid w:val="00530E98"/>
    <w:rsid w:val="00533DA1"/>
    <w:rsid w:val="00542B6E"/>
    <w:rsid w:val="00546490"/>
    <w:rsid w:val="0056578A"/>
    <w:rsid w:val="0056595B"/>
    <w:rsid w:val="00571C0D"/>
    <w:rsid w:val="00572C4C"/>
    <w:rsid w:val="0057605E"/>
    <w:rsid w:val="00576E09"/>
    <w:rsid w:val="00577261"/>
    <w:rsid w:val="00581DB2"/>
    <w:rsid w:val="00585ED0"/>
    <w:rsid w:val="00594747"/>
    <w:rsid w:val="00594844"/>
    <w:rsid w:val="005A646E"/>
    <w:rsid w:val="005A6F41"/>
    <w:rsid w:val="005A7AE7"/>
    <w:rsid w:val="005C39F5"/>
    <w:rsid w:val="005D15B8"/>
    <w:rsid w:val="005E150A"/>
    <w:rsid w:val="005E4060"/>
    <w:rsid w:val="005E5584"/>
    <w:rsid w:val="005E7DD5"/>
    <w:rsid w:val="006111D5"/>
    <w:rsid w:val="006111F5"/>
    <w:rsid w:val="00623E11"/>
    <w:rsid w:val="006411DE"/>
    <w:rsid w:val="006448C5"/>
    <w:rsid w:val="006555BD"/>
    <w:rsid w:val="006676E2"/>
    <w:rsid w:val="00682B8C"/>
    <w:rsid w:val="00685EB4"/>
    <w:rsid w:val="006A35E4"/>
    <w:rsid w:val="006A4C05"/>
    <w:rsid w:val="006B1C07"/>
    <w:rsid w:val="006B5540"/>
    <w:rsid w:val="006C2B84"/>
    <w:rsid w:val="006C3DFC"/>
    <w:rsid w:val="006D5D28"/>
    <w:rsid w:val="006E210A"/>
    <w:rsid w:val="006E260B"/>
    <w:rsid w:val="00702BE5"/>
    <w:rsid w:val="007155B8"/>
    <w:rsid w:val="00725CB5"/>
    <w:rsid w:val="00736903"/>
    <w:rsid w:val="007373E7"/>
    <w:rsid w:val="007424F5"/>
    <w:rsid w:val="0074442C"/>
    <w:rsid w:val="00755083"/>
    <w:rsid w:val="00771299"/>
    <w:rsid w:val="00777A2F"/>
    <w:rsid w:val="00787B6E"/>
    <w:rsid w:val="007A3489"/>
    <w:rsid w:val="007A75E1"/>
    <w:rsid w:val="007B448B"/>
    <w:rsid w:val="007B4F54"/>
    <w:rsid w:val="007B5701"/>
    <w:rsid w:val="007B62B5"/>
    <w:rsid w:val="007C5AB3"/>
    <w:rsid w:val="007E78D0"/>
    <w:rsid w:val="007F43B0"/>
    <w:rsid w:val="007F5E1D"/>
    <w:rsid w:val="00812756"/>
    <w:rsid w:val="008152E5"/>
    <w:rsid w:val="00830A17"/>
    <w:rsid w:val="008351F7"/>
    <w:rsid w:val="00853805"/>
    <w:rsid w:val="00855097"/>
    <w:rsid w:val="00870508"/>
    <w:rsid w:val="00882B9B"/>
    <w:rsid w:val="008854C8"/>
    <w:rsid w:val="00891E7D"/>
    <w:rsid w:val="008924D4"/>
    <w:rsid w:val="008978CB"/>
    <w:rsid w:val="008A2229"/>
    <w:rsid w:val="008B7BA3"/>
    <w:rsid w:val="008C6EDB"/>
    <w:rsid w:val="008D1807"/>
    <w:rsid w:val="008E2D98"/>
    <w:rsid w:val="008F2E4E"/>
    <w:rsid w:val="0090784D"/>
    <w:rsid w:val="00912AF6"/>
    <w:rsid w:val="00912E02"/>
    <w:rsid w:val="00920846"/>
    <w:rsid w:val="00920A21"/>
    <w:rsid w:val="00924246"/>
    <w:rsid w:val="00943B46"/>
    <w:rsid w:val="009552F9"/>
    <w:rsid w:val="009660DC"/>
    <w:rsid w:val="00967D5F"/>
    <w:rsid w:val="00985126"/>
    <w:rsid w:val="009A7FF6"/>
    <w:rsid w:val="009C6886"/>
    <w:rsid w:val="009D4CCF"/>
    <w:rsid w:val="009D7D5F"/>
    <w:rsid w:val="009E5005"/>
    <w:rsid w:val="009E53C4"/>
    <w:rsid w:val="009F4CD6"/>
    <w:rsid w:val="009F6A07"/>
    <w:rsid w:val="00A10362"/>
    <w:rsid w:val="00A11404"/>
    <w:rsid w:val="00A3591C"/>
    <w:rsid w:val="00A37E53"/>
    <w:rsid w:val="00A50A1E"/>
    <w:rsid w:val="00A52194"/>
    <w:rsid w:val="00A54051"/>
    <w:rsid w:val="00A543D6"/>
    <w:rsid w:val="00A55E72"/>
    <w:rsid w:val="00A61330"/>
    <w:rsid w:val="00AA2F41"/>
    <w:rsid w:val="00AA7D4C"/>
    <w:rsid w:val="00AB7501"/>
    <w:rsid w:val="00AC20F1"/>
    <w:rsid w:val="00AC4508"/>
    <w:rsid w:val="00AE583E"/>
    <w:rsid w:val="00AE5D15"/>
    <w:rsid w:val="00AE631D"/>
    <w:rsid w:val="00AE6406"/>
    <w:rsid w:val="00AF16EB"/>
    <w:rsid w:val="00B23FEC"/>
    <w:rsid w:val="00B50E21"/>
    <w:rsid w:val="00B54E5C"/>
    <w:rsid w:val="00B71621"/>
    <w:rsid w:val="00B7489C"/>
    <w:rsid w:val="00B7596B"/>
    <w:rsid w:val="00BB3270"/>
    <w:rsid w:val="00BC32F4"/>
    <w:rsid w:val="00BD4FAD"/>
    <w:rsid w:val="00BD74F7"/>
    <w:rsid w:val="00BF6359"/>
    <w:rsid w:val="00C201F8"/>
    <w:rsid w:val="00C24833"/>
    <w:rsid w:val="00C266B9"/>
    <w:rsid w:val="00C3505F"/>
    <w:rsid w:val="00C350DC"/>
    <w:rsid w:val="00C43705"/>
    <w:rsid w:val="00C50710"/>
    <w:rsid w:val="00C63ADB"/>
    <w:rsid w:val="00C77A77"/>
    <w:rsid w:val="00C85052"/>
    <w:rsid w:val="00C907A5"/>
    <w:rsid w:val="00C90953"/>
    <w:rsid w:val="00CC1689"/>
    <w:rsid w:val="00CE4940"/>
    <w:rsid w:val="00CF4C21"/>
    <w:rsid w:val="00CF788D"/>
    <w:rsid w:val="00D02DE1"/>
    <w:rsid w:val="00D05862"/>
    <w:rsid w:val="00D17F8E"/>
    <w:rsid w:val="00D30491"/>
    <w:rsid w:val="00D45554"/>
    <w:rsid w:val="00D55316"/>
    <w:rsid w:val="00D614DC"/>
    <w:rsid w:val="00D65100"/>
    <w:rsid w:val="00D75B90"/>
    <w:rsid w:val="00D9463F"/>
    <w:rsid w:val="00D969AF"/>
    <w:rsid w:val="00DA3CEB"/>
    <w:rsid w:val="00DB085C"/>
    <w:rsid w:val="00DB1F8B"/>
    <w:rsid w:val="00DB5151"/>
    <w:rsid w:val="00DB5625"/>
    <w:rsid w:val="00DC0AB5"/>
    <w:rsid w:val="00DC399A"/>
    <w:rsid w:val="00DE6B7F"/>
    <w:rsid w:val="00DF11B1"/>
    <w:rsid w:val="00DF5157"/>
    <w:rsid w:val="00E03695"/>
    <w:rsid w:val="00E23124"/>
    <w:rsid w:val="00E26B4F"/>
    <w:rsid w:val="00E26F3D"/>
    <w:rsid w:val="00E31225"/>
    <w:rsid w:val="00E42E44"/>
    <w:rsid w:val="00E54DD0"/>
    <w:rsid w:val="00E6236B"/>
    <w:rsid w:val="00E7780E"/>
    <w:rsid w:val="00E8625B"/>
    <w:rsid w:val="00E9142E"/>
    <w:rsid w:val="00E96E69"/>
    <w:rsid w:val="00EA4676"/>
    <w:rsid w:val="00EA484D"/>
    <w:rsid w:val="00EC0A4F"/>
    <w:rsid w:val="00ED473A"/>
    <w:rsid w:val="00EF4C1D"/>
    <w:rsid w:val="00EF7CFB"/>
    <w:rsid w:val="00F3004B"/>
    <w:rsid w:val="00F47AD4"/>
    <w:rsid w:val="00F767F6"/>
    <w:rsid w:val="00F76CB2"/>
    <w:rsid w:val="00F83A13"/>
    <w:rsid w:val="00FB2600"/>
    <w:rsid w:val="00FB2DAA"/>
    <w:rsid w:val="00FB48D2"/>
    <w:rsid w:val="00FB7742"/>
    <w:rsid w:val="00FC7512"/>
    <w:rsid w:val="00FC7953"/>
    <w:rsid w:val="00FD5708"/>
    <w:rsid w:val="00FE0B30"/>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E5DFD"/>
  <w15:docId w15:val="{B53106AD-DD2E-4265-B0D9-810CEB853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266B9"/>
    <w:pPr>
      <w:spacing w:before="0" w:after="0"/>
      <w:ind w:firstLine="0"/>
      <w:jc w:val="left"/>
    </w:pPr>
    <w:rPr>
      <w:lang w:val="de-CH"/>
    </w:rPr>
  </w:style>
  <w:style w:type="character" w:customStyle="1" w:styleId="Textkrper3Zchn">
    <w:name w:val="Textkörper 3 Zchn"/>
    <w:basedOn w:val="Absatz-Standardschriftart"/>
    <w:link w:val="Textkrper3"/>
    <w:rsid w:val="00C266B9"/>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1A4056"/>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5EB6D" w:themeFill="accent3"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file:///C:\Users\ElodieSiffert\Downloads\lehrplan-anwendung-bvsa-f.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corinne.monney@hepvs.ch"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plandetudes.ch/documents/10273/36379/Declaration_CIIP_PER_BROCHURE_PG-2.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primo.ch/fr/offres/ping-pong/general"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3-02-01"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skbf-csre.ch/fr/rapport-sur-leducation/rapport-education/"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marie-paule.matthey@hepvs.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xfind.ch/tolv/179910/fr" TargetMode="External"/><Relationship Id="rId22" Type="http://schemas.openxmlformats.org/officeDocument/2006/relationships/image" Target="media/image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3\Layout_v8.2_FR_2023.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60841EAD-3C86-4026-ACBD-1F84A0E6D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Layout_v8.2_FR_2023</Template>
  <TotalTime>0</TotalTime>
  <Pages>1</Pages>
  <Words>673</Words>
  <Characters>3788</Characters>
  <Application>Microsoft Office Word</Application>
  <DocSecurity>0</DocSecurity>
  <Lines>56</Lines>
  <Paragraphs>17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L’équité tout au long de la vie_x000d_</vt:lpstr>
      <vt:lpstr>Title</vt:lpstr>
    </vt:vector>
  </TitlesOfParts>
  <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L’équité tout au long de la vie_x000d_</dc:title>
  <dc:creator>Marie-Paule Matthey;Corinne Monney _x000d_</dc:creator>
  <cp:keywords>none</cp:keywords>
  <cp:lastModifiedBy>Siffert, Elodie</cp:lastModifiedBy>
  <cp:revision>38</cp:revision>
  <cp:lastPrinted>2022-07-01T12:31:00Z</cp:lastPrinted>
  <dcterms:created xsi:type="dcterms:W3CDTF">2023-05-23T07:50:00Z</dcterms:created>
  <dcterms:modified xsi:type="dcterms:W3CDTF">2023-06-02T07:12:00Z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