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BEBDC" w14:textId="77777777" w:rsidR="00950C95" w:rsidRPr="009F6CDD" w:rsidRDefault="00950C95" w:rsidP="009F6CDD">
      <w:pPr>
        <w:pStyle w:val="Titre"/>
      </w:pPr>
      <w:bookmarkStart w:id="0" w:name="heading-1"/>
      <w:r w:rsidRPr="009F6CDD">
        <w:t>Le cordon tournesol</w:t>
      </w:r>
    </w:p>
    <w:p w14:paraId="78242033" w14:textId="77777777" w:rsidR="00950C95" w:rsidRDefault="00950C95" w:rsidP="009F6CDD">
      <w:pPr>
        <w:pStyle w:val="Sous-titre"/>
      </w:pPr>
      <w:r>
        <w:t>R</w:t>
      </w:r>
      <w:r w:rsidRPr="00CE0BA2">
        <w:t>endre visible l</w:t>
      </w:r>
      <w:r>
        <w:t>’</w:t>
      </w:r>
      <w:r w:rsidRPr="00CE0BA2">
        <w:t>invisible ou repenser l</w:t>
      </w:r>
      <w:r>
        <w:t>’</w:t>
      </w:r>
      <w:r w:rsidRPr="00CE0BA2">
        <w:t>accessibilité ?</w:t>
      </w:r>
    </w:p>
    <w:p w14:paraId="3720D734" w14:textId="0FBBC690" w:rsidR="00CA611B" w:rsidRPr="00CA611B" w:rsidRDefault="00CA611B" w:rsidP="006616BF">
      <w:pPr>
        <w:pStyle w:val="Author"/>
      </w:pPr>
      <w:r>
        <w:t>Nadia</w:t>
      </w:r>
      <w:r w:rsidR="00AA1452">
        <w:t> </w:t>
      </w:r>
      <w:r>
        <w:t>De</w:t>
      </w:r>
      <w:r w:rsidR="00AA1452">
        <w:t> </w:t>
      </w:r>
      <w:r>
        <w:t>Angelis McKenzie et Isabelle</w:t>
      </w:r>
      <w:r w:rsidR="00AA1452">
        <w:t> </w:t>
      </w:r>
      <w:r>
        <w:t>Stefen</w:t>
      </w:r>
    </w:p>
    <w:p w14:paraId="128992A4" w14:textId="7F727AEF" w:rsidR="006616BF" w:rsidRPr="00CE7397" w:rsidRDefault="006616BF" w:rsidP="006616BF">
      <w:pPr>
        <w:pStyle w:val="Corpsdetexte3"/>
      </w:pPr>
      <w:r w:rsidRPr="00153133">
        <w:rPr>
          <w:rStyle w:val="lev"/>
          <w:rFonts w:cs="Open Sans SemiCondensed"/>
        </w:rPr>
        <w:t>DOI</w:t>
      </w:r>
      <w:r w:rsidRPr="00153133">
        <w:rPr>
          <w:rFonts w:cs="Open Sans SemiCondensed"/>
        </w:rPr>
        <w:t xml:space="preserve">: </w:t>
      </w:r>
      <w:hyperlink r:id="rId11" w:history="1">
        <w:r w:rsidR="00810983" w:rsidRPr="00182A74">
          <w:rPr>
            <w:rStyle w:val="Lienhypertexte"/>
            <w:rFonts w:cs="Open Sans SemiCondensed"/>
          </w:rPr>
          <w:t>https://doi.org/10.57161/r2026-03-09</w:t>
        </w:r>
      </w:hyperlink>
    </w:p>
    <w:p w14:paraId="0AE68A80" w14:textId="1DE3CFF2" w:rsidR="00043B3D" w:rsidRPr="00153133" w:rsidRDefault="006616BF" w:rsidP="006616BF">
      <w:pPr>
        <w:pStyle w:val="Corpsdetexte3"/>
        <w:tabs>
          <w:tab w:val="left" w:pos="6055"/>
        </w:tabs>
      </w:pPr>
      <w:r w:rsidRPr="00153133">
        <w:t xml:space="preserve">Revue </w:t>
      </w:r>
      <w:r>
        <w:t>s</w:t>
      </w:r>
      <w:r w:rsidRPr="00153133">
        <w:t xml:space="preserve">uisse de </w:t>
      </w:r>
      <w:r>
        <w:t>p</w:t>
      </w:r>
      <w:r w:rsidRPr="00153133">
        <w:t xml:space="preserve">édagogie </w:t>
      </w:r>
      <w:r>
        <w:t>s</w:t>
      </w:r>
      <w:r w:rsidRPr="00153133">
        <w:t xml:space="preserve">pécialisée, Vol. </w:t>
      </w:r>
      <w:r>
        <w:t>16</w:t>
      </w:r>
      <w:r w:rsidRPr="00153133">
        <w:t xml:space="preserve">, </w:t>
      </w:r>
      <w:r>
        <w:t>0</w:t>
      </w:r>
      <w:r w:rsidR="00745C2C">
        <w:t>3</w:t>
      </w:r>
      <w:r w:rsidRPr="00153133">
        <w:t>/</w:t>
      </w:r>
      <w:r>
        <w:t>2026</w:t>
      </w:r>
    </w:p>
    <w:p w14:paraId="0BC94515" w14:textId="77777777" w:rsidR="006616BF" w:rsidRPr="00153133" w:rsidRDefault="006616BF" w:rsidP="006616BF">
      <w:pPr>
        <w:pStyle w:val="Corpsdetexte3"/>
      </w:pPr>
      <w:r w:rsidRPr="00153133">
        <w:rPr>
          <w:noProof/>
        </w:rPr>
        <w:drawing>
          <wp:inline distT="0" distB="0" distL="0" distR="0" wp14:anchorId="436BEC21" wp14:editId="1E4E7BFE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43718" w14:textId="31E6392F" w:rsidR="00950C95" w:rsidRPr="002B1B77" w:rsidRDefault="00950C95" w:rsidP="006D1528">
      <w:pPr>
        <w:pStyle w:val="Corpsdetexte"/>
        <w:spacing w:before="240"/>
        <w:ind w:firstLine="0"/>
      </w:pPr>
      <w:r w:rsidRPr="002B1B77">
        <w:t>Le déploiement du cordon tournesol dans les transports publics suisses constitue une avancée dans la reconnaissance des handicaps invisibles.</w:t>
      </w:r>
    </w:p>
    <w:p w14:paraId="5FF26337" w14:textId="77777777" w:rsidR="00950C95" w:rsidRPr="00CE0BA2" w:rsidRDefault="00950C95" w:rsidP="009F6CDD">
      <w:pPr>
        <w:pStyle w:val="Corpsdetexte"/>
      </w:pPr>
      <w:r w:rsidRPr="00CE0BA2">
        <w:t>À première vue, l</w:t>
      </w:r>
      <w:r>
        <w:t>’</w:t>
      </w:r>
      <w:r w:rsidRPr="00CE0BA2">
        <w:t>initiative suscite une large adhésion. Pourtant, elle soulève des questions essentielles sur notre manière de penser l</w:t>
      </w:r>
      <w:r>
        <w:t>’</w:t>
      </w:r>
      <w:r w:rsidRPr="00CE0BA2">
        <w:t>inclusion et le rapport à la différence. Au fond, elle interroge le modèle de société que nous souhaitons construire.</w:t>
      </w:r>
    </w:p>
    <w:p w14:paraId="70D52A77" w14:textId="77777777" w:rsidR="00950C95" w:rsidRPr="00CA0DC1" w:rsidRDefault="00950C95" w:rsidP="00CA0DC1">
      <w:pPr>
        <w:pStyle w:val="Titre1"/>
      </w:pPr>
      <w:r w:rsidRPr="00CA0DC1">
        <w:t>La visibilité : une ressource, mais aussi une responsabilité</w:t>
      </w:r>
    </w:p>
    <w:p w14:paraId="3CCB103D" w14:textId="77777777" w:rsidR="00950C95" w:rsidRPr="00CE0BA2" w:rsidRDefault="00950C95" w:rsidP="00192C1B">
      <w:pPr>
        <w:pStyle w:val="Corpsdetexte"/>
        <w:ind w:firstLine="0"/>
      </w:pPr>
      <w:r w:rsidRPr="00CE0BA2">
        <w:t>Les personnes vivant avec un handicap invisible connaissent bien ce paradoxe. Comme</w:t>
      </w:r>
      <w:r w:rsidRPr="00245742">
        <w:t xml:space="preserve"> leur handicap ne se voit pas, leurs difficultés sont parfois minimisées, </w:t>
      </w:r>
      <w:r w:rsidRPr="00CE0BA2">
        <w:t>voire</w:t>
      </w:r>
      <w:r w:rsidRPr="00245742">
        <w:t xml:space="preserve"> contestées. Elles sont régulièrement amenées à expliquer leurs besoins ou à justifier des comportements inhabituels aux yeux des autres ; ce qui peut être très </w:t>
      </w:r>
      <w:r>
        <w:t>éprouvant,</w:t>
      </w:r>
      <w:r w:rsidRPr="00CE0BA2">
        <w:t xml:space="preserve"> par exemple pour une personne</w:t>
      </w:r>
      <w:r>
        <w:t xml:space="preserve"> ayant un trouble du spectre de l’</w:t>
      </w:r>
      <w:r w:rsidRPr="00CE0BA2">
        <w:t>autis</w:t>
      </w:r>
      <w:r>
        <w:t>m</w:t>
      </w:r>
      <w:r w:rsidRPr="00CE0BA2">
        <w:t>e.</w:t>
      </w:r>
    </w:p>
    <w:p w14:paraId="553ADB7C" w14:textId="77777777" w:rsidR="00950C95" w:rsidRPr="00CE0BA2" w:rsidRDefault="00950C95" w:rsidP="00CA0DC1">
      <w:pPr>
        <w:pStyle w:val="Corpsdetexte"/>
      </w:pPr>
      <w:r w:rsidRPr="00CE0BA2">
        <w:t>Dans ce contexte, rendre visible un besoin peut constituer un véritable levier de participation sociale. Le cordon tournesol offre une possibilité de communiquer autrement : il permet</w:t>
      </w:r>
      <w:r>
        <w:t xml:space="preserve"> à la personne concernée</w:t>
      </w:r>
      <w:r w:rsidRPr="00CE0BA2">
        <w:t xml:space="preserve"> </w:t>
      </w:r>
      <w:r>
        <w:t>de signifier sa</w:t>
      </w:r>
      <w:r w:rsidRPr="00CE0BA2">
        <w:t xml:space="preserve"> situation particulière, sans devoir exposer son histoire personnelle. Et surtout d’éviter des malentendus qui peuvent déboucher sur une situation conflictuelle.</w:t>
      </w:r>
    </w:p>
    <w:p w14:paraId="4E031065" w14:textId="77777777" w:rsidR="00950C95" w:rsidRPr="00CE0BA2" w:rsidRDefault="00950C95" w:rsidP="00CA0DC1">
      <w:pPr>
        <w:pStyle w:val="Corpsdetexte"/>
      </w:pPr>
      <w:r w:rsidRPr="00CE0BA2">
        <w:t>Choisir de porter un signe distinctif, c</w:t>
      </w:r>
      <w:r>
        <w:t>’</w:t>
      </w:r>
      <w:r w:rsidRPr="00CE0BA2">
        <w:t>est accepter de révéler une part de soi dans l</w:t>
      </w:r>
      <w:r>
        <w:t>’</w:t>
      </w:r>
      <w:r w:rsidRPr="00CE0BA2">
        <w:t>espace public. Pour certaines personnes, cette visibilité est une ressource ; pour d</w:t>
      </w:r>
      <w:r>
        <w:t>’</w:t>
      </w:r>
      <w:r w:rsidRPr="00CE0BA2">
        <w:t>autres, elle peut être vécue comme une nouvelle manière d</w:t>
      </w:r>
      <w:r>
        <w:t>’</w:t>
      </w:r>
      <w:r w:rsidRPr="00CE0BA2">
        <w:t>être défini à travers son handicap.</w:t>
      </w:r>
    </w:p>
    <w:p w14:paraId="6698BF31" w14:textId="77777777" w:rsidR="00950C95" w:rsidRPr="00CE0BA2" w:rsidRDefault="00950C95" w:rsidP="00CA0DC1">
      <w:pPr>
        <w:pStyle w:val="Corpsdetexte"/>
      </w:pPr>
      <w:r w:rsidRPr="00CE0BA2">
        <w:t>La question n</w:t>
      </w:r>
      <w:r>
        <w:t>’</w:t>
      </w:r>
      <w:r w:rsidRPr="00CE0BA2">
        <w:t>est donc pas de savoir s</w:t>
      </w:r>
      <w:r>
        <w:t>’</w:t>
      </w:r>
      <w:r w:rsidRPr="00CE0BA2">
        <w:t>il faut rendre visible le handicap invisible. La véritable question est de savoir qui décide de cette visibilité. Dans une société inclusive, cette décision appartient toujours à la personne concernée.</w:t>
      </w:r>
    </w:p>
    <w:p w14:paraId="0CEBA61A" w14:textId="77777777" w:rsidR="00950C95" w:rsidRPr="00CA0DC1" w:rsidRDefault="00950C95" w:rsidP="00CA0DC1">
      <w:pPr>
        <w:pStyle w:val="Titre1"/>
      </w:pPr>
      <w:r w:rsidRPr="00CA0DC1">
        <w:t>Un symbole n’est efficace que dans un environnement inclusif</w:t>
      </w:r>
    </w:p>
    <w:p w14:paraId="474FEB1E" w14:textId="77777777" w:rsidR="00950C95" w:rsidRPr="00CE0BA2" w:rsidRDefault="00950C95" w:rsidP="00B0549D">
      <w:pPr>
        <w:pStyle w:val="Corpsdetexte"/>
        <w:ind w:firstLine="0"/>
      </w:pPr>
      <w:r w:rsidRPr="00CE0BA2">
        <w:t>L</w:t>
      </w:r>
      <w:r>
        <w:t>’</w:t>
      </w:r>
      <w:r w:rsidRPr="00CE0BA2">
        <w:t>efficacité du cordon tournesol dépend de l</w:t>
      </w:r>
      <w:r>
        <w:t>’</w:t>
      </w:r>
      <w:r w:rsidRPr="00CE0BA2">
        <w:t>environnement dans lequel il est utilisé.</w:t>
      </w:r>
    </w:p>
    <w:p w14:paraId="5FFBB62A" w14:textId="77777777" w:rsidR="00950C95" w:rsidRPr="00CE0BA2" w:rsidRDefault="00950C95" w:rsidP="00CA0DC1">
      <w:pPr>
        <w:pStyle w:val="Corpsdetexte"/>
      </w:pPr>
      <w:r w:rsidRPr="00CE0BA2">
        <w:t>Si les professionnelles et professionnels ne connaissent pas sa signification, il devient invisible. Si le public n</w:t>
      </w:r>
      <w:r>
        <w:t>’</w:t>
      </w:r>
      <w:r w:rsidRPr="00CE0BA2">
        <w:t>est pas sensibilisé, il perd son utilité. Si les institutions ne prévoient aucune adaptation, il risque même de susciter des attentes qui resteront sans réponse. Le véritable enjeu n</w:t>
      </w:r>
      <w:r>
        <w:t>’</w:t>
      </w:r>
      <w:r w:rsidRPr="00CE0BA2">
        <w:t>est donc pas le cordon, mais les compétences collectives qu</w:t>
      </w:r>
      <w:r>
        <w:t>’</w:t>
      </w:r>
      <w:r w:rsidRPr="00CE0BA2">
        <w:t>il suppose.</w:t>
      </w:r>
    </w:p>
    <w:p w14:paraId="5688420C" w14:textId="77777777" w:rsidR="00950C95" w:rsidRPr="00CA0DC1" w:rsidRDefault="00950C95" w:rsidP="00CA0DC1">
      <w:pPr>
        <w:pStyle w:val="Titre1"/>
      </w:pPr>
      <w:r w:rsidRPr="00CA0DC1">
        <w:t>Quelle société voulons-nous construire ?</w:t>
      </w:r>
    </w:p>
    <w:p w14:paraId="445AA991" w14:textId="77777777" w:rsidR="00950C95" w:rsidRPr="00CE0BA2" w:rsidRDefault="00950C95" w:rsidP="007710EF">
      <w:pPr>
        <w:pStyle w:val="Corpsdetexte"/>
        <w:ind w:firstLine="0"/>
      </w:pPr>
      <w:r w:rsidRPr="00CE0BA2">
        <w:t>Au-delà des transports, la même réflexion se pose aujourd</w:t>
      </w:r>
      <w:r>
        <w:t>’</w:t>
      </w:r>
      <w:r w:rsidRPr="00CE0BA2">
        <w:t>hui dans de nombreux espaces de la vie quotidienne. Une personne devrait-elle signaler son handicap pour bénéficier d</w:t>
      </w:r>
      <w:r>
        <w:t>’</w:t>
      </w:r>
      <w:r w:rsidRPr="00CE0BA2">
        <w:t>un accueil ou d</w:t>
      </w:r>
      <w:r>
        <w:t>’</w:t>
      </w:r>
      <w:r w:rsidRPr="00CE0BA2">
        <w:t>un accompagnement adapté ?</w:t>
      </w:r>
    </w:p>
    <w:p w14:paraId="38AD9B59" w14:textId="77777777" w:rsidR="0007248D" w:rsidRDefault="0007248D">
      <w:pPr>
        <w:spacing w:after="200" w:line="240" w:lineRule="auto"/>
      </w:pPr>
      <w:r>
        <w:br w:type="page"/>
      </w:r>
    </w:p>
    <w:p w14:paraId="6527E608" w14:textId="72D6E21E" w:rsidR="00950C95" w:rsidRPr="00CE0BA2" w:rsidRDefault="00950C95" w:rsidP="00CA0DC1">
      <w:pPr>
        <w:pStyle w:val="Corpsdetexte"/>
      </w:pPr>
      <w:r w:rsidRPr="00CE0BA2">
        <w:lastRenderedPageBreak/>
        <w:t>Ces questions renvoient à deux conceptions de l</w:t>
      </w:r>
      <w:r>
        <w:t>’</w:t>
      </w:r>
      <w:r w:rsidRPr="00CE0BA2">
        <w:t>accessibilité. La première consiste à adapter l</w:t>
      </w:r>
      <w:r>
        <w:t>’</w:t>
      </w:r>
      <w:r w:rsidRPr="00CE0BA2">
        <w:t>environnement lorsque la personne se signale. La seconde cherche à concevoir, dès le départ, des environnements suffisamment souples pour répondre à une diversité de besoins, qu</w:t>
      </w:r>
      <w:r>
        <w:t>’</w:t>
      </w:r>
      <w:r w:rsidRPr="00CE0BA2">
        <w:t>ils soient visibles ou non.</w:t>
      </w:r>
    </w:p>
    <w:p w14:paraId="46B0B040" w14:textId="77777777" w:rsidR="00950C95" w:rsidRPr="00CE0BA2" w:rsidRDefault="00950C95" w:rsidP="00842A76">
      <w:pPr>
        <w:pStyle w:val="Corpsdetexte"/>
        <w:ind w:firstLine="0"/>
      </w:pPr>
      <w:r w:rsidRPr="00CE0BA2">
        <w:t>Le cordon tournesol peut faciliter les interactions. Il ne saurait toutefois remplacer une réflexion plus large sur la conception universelle des services, des espaces publics et des pratiques professionnelles.</w:t>
      </w:r>
    </w:p>
    <w:p w14:paraId="03665DF2" w14:textId="77777777" w:rsidR="00950C95" w:rsidRPr="00CA0DC1" w:rsidRDefault="00950C95" w:rsidP="00CA0DC1">
      <w:pPr>
        <w:pStyle w:val="Titre1"/>
      </w:pPr>
      <w:r w:rsidRPr="00CA0DC1">
        <w:t>Un révélateur plus qu’une solution</w:t>
      </w:r>
    </w:p>
    <w:p w14:paraId="092EC676" w14:textId="77777777" w:rsidR="00950C95" w:rsidRPr="00CE0BA2" w:rsidRDefault="00950C95" w:rsidP="000E1BCE">
      <w:pPr>
        <w:pStyle w:val="Corpsdetexte"/>
        <w:ind w:firstLine="0"/>
      </w:pPr>
      <w:r w:rsidRPr="00CE0BA2">
        <w:t>Le cordon tournesol ne résoudra pas, à lui seul, les difficultés rencontrées par les personnes vivant avec un handicap invisible. Il ne supprimera ni les préjugés, ni les discriminations, ni les obstacles environnementaux.</w:t>
      </w:r>
    </w:p>
    <w:p w14:paraId="62806386" w14:textId="77777777" w:rsidR="00950C95" w:rsidRPr="00CE0BA2" w:rsidRDefault="00950C95" w:rsidP="00CA0DC1">
      <w:pPr>
        <w:pStyle w:val="Corpsdetexte"/>
      </w:pPr>
      <w:r w:rsidRPr="00CE0BA2">
        <w:t>En revanche, il nous oblige à poser une question essentielle : sur qui repose aujourd</w:t>
      </w:r>
      <w:r>
        <w:t>’</w:t>
      </w:r>
      <w:r w:rsidRPr="00CE0BA2">
        <w:t>hui la responsabilité de l</w:t>
      </w:r>
      <w:r>
        <w:t>’</w:t>
      </w:r>
      <w:r w:rsidRPr="00CE0BA2">
        <w:t>inclusion ? Si celle-ci dépend principalement de la capacité des personnes à révéler leur différence, nous risquons de déplacer la charge de l</w:t>
      </w:r>
      <w:r>
        <w:t>’</w:t>
      </w:r>
      <w:r w:rsidRPr="00CE0BA2">
        <w:t>adaptation vers celles et ceux qui rencontrent déjà le plus d</w:t>
      </w:r>
      <w:r>
        <w:t>’</w:t>
      </w:r>
      <w:r w:rsidRPr="00CE0BA2">
        <w:t>obstacles.</w:t>
      </w:r>
    </w:p>
    <w:p w14:paraId="7276F088" w14:textId="77777777" w:rsidR="00950C95" w:rsidRPr="00CE0BA2" w:rsidRDefault="00950C95" w:rsidP="00CA0DC1">
      <w:pPr>
        <w:pStyle w:val="Corpsdetexte"/>
      </w:pPr>
      <w:r w:rsidRPr="00CE0BA2">
        <w:t>À l</w:t>
      </w:r>
      <w:r>
        <w:t>’</w:t>
      </w:r>
      <w:r w:rsidRPr="00CE0BA2">
        <w:t>inverse, si nous considérons que la responsabilité première appartient aux institutions et à la société, alors le cordon devient ce qu</w:t>
      </w:r>
      <w:r>
        <w:t>’</w:t>
      </w:r>
      <w:r w:rsidRPr="00CE0BA2">
        <w:t>il devrait être : un outil parmi d</w:t>
      </w:r>
      <w:r>
        <w:t>’</w:t>
      </w:r>
      <w:r w:rsidRPr="00CE0BA2">
        <w:t>autres, librement choisi, au service de l</w:t>
      </w:r>
      <w:r>
        <w:t>’</w:t>
      </w:r>
      <w:r w:rsidRPr="00CE0BA2">
        <w:t>autodétermination des personnes.</w:t>
      </w:r>
    </w:p>
    <w:bookmarkEnd w:id="0"/>
    <w:p w14:paraId="517CF52B" w14:textId="2CE2148B" w:rsidR="006E260B" w:rsidRPr="00153133" w:rsidRDefault="00037AE3" w:rsidP="00855097">
      <w:pPr>
        <w:pStyle w:val="Titre1"/>
      </w:pPr>
      <w:r>
        <w:t>Autrices</w:t>
      </w:r>
    </w:p>
    <w:tbl>
      <w:tblPr>
        <w:tblStyle w:val="Grilledutableau"/>
        <w:tblW w:w="32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563"/>
      </w:tblGrid>
      <w:tr w:rsidR="00232080" w:rsidRPr="00153133" w14:paraId="508E5501" w14:textId="77777777" w:rsidTr="00AA1452">
        <w:trPr>
          <w:trHeight w:val="865"/>
        </w:trPr>
        <w:tc>
          <w:tcPr>
            <w:tcW w:w="2800" w:type="pct"/>
          </w:tcPr>
          <w:p w14:paraId="7B1744F4" w14:textId="461DF184" w:rsidR="00232080" w:rsidRPr="00CE0BA2" w:rsidRDefault="00232080" w:rsidP="00572340">
            <w:pPr>
              <w:pStyle w:val="Corpsdetexte3"/>
              <w:ind w:left="-108"/>
            </w:pPr>
            <w:r w:rsidRPr="00CE0BA2">
              <w:t>Nadia</w:t>
            </w:r>
            <w:r w:rsidR="00AA1452">
              <w:t> </w:t>
            </w:r>
            <w:r w:rsidRPr="00CE0BA2">
              <w:t>De</w:t>
            </w:r>
            <w:r w:rsidR="00AA1452">
              <w:t> </w:t>
            </w:r>
            <w:r w:rsidRPr="00572340">
              <w:t>Angelis</w:t>
            </w:r>
            <w:r w:rsidRPr="00CE0BA2">
              <w:t xml:space="preserve"> McKenzie</w:t>
            </w:r>
            <w:r w:rsidRPr="00CE0BA2">
              <w:br/>
              <w:t>Coordinatrice</w:t>
            </w:r>
          </w:p>
          <w:p w14:paraId="46BD340F" w14:textId="77777777" w:rsidR="00232080" w:rsidRPr="00CE0BA2" w:rsidRDefault="00232080" w:rsidP="00572340">
            <w:pPr>
              <w:pStyle w:val="Corpsdetexte3"/>
              <w:ind w:left="-108"/>
              <w:rPr>
                <w:rFonts w:eastAsia="Open Sans SemiCondensed" w:cs="Times New Roman"/>
              </w:rPr>
            </w:pPr>
            <w:r w:rsidRPr="00CE0BA2">
              <w:rPr>
                <w:rFonts w:eastAsia="Open Sans SemiCondensed" w:cs="Times New Roman"/>
              </w:rPr>
              <w:t xml:space="preserve">Autisme suisse romande </w:t>
            </w:r>
          </w:p>
          <w:p w14:paraId="25581A5D" w14:textId="6383012F" w:rsidR="00232080" w:rsidRPr="00153133" w:rsidRDefault="00232080" w:rsidP="00572340">
            <w:pPr>
              <w:pStyle w:val="Corpsdetexte3"/>
              <w:ind w:left="-108"/>
            </w:pPr>
            <w:hyperlink r:id="rId14" w:history="1">
              <w:r w:rsidRPr="00182A74">
                <w:rPr>
                  <w:rStyle w:val="Lienhypertexte"/>
                  <w:rFonts w:eastAsia="Open Sans SemiCondensed" w:cs="Times New Roman"/>
                </w:rPr>
                <w:t>nadia.mckenzie@autisme.ch</w:t>
              </w:r>
            </w:hyperlink>
          </w:p>
        </w:tc>
        <w:tc>
          <w:tcPr>
            <w:tcW w:w="2200" w:type="pct"/>
          </w:tcPr>
          <w:p w14:paraId="1D390DD1" w14:textId="1466E9F1" w:rsidR="00232080" w:rsidRDefault="00232080" w:rsidP="00DE5DEC">
            <w:pPr>
              <w:pStyle w:val="Corpsdetexte3"/>
              <w:rPr>
                <w:rFonts w:eastAsia="Open Sans SemiCondensed" w:cs="Times New Roman"/>
              </w:rPr>
            </w:pPr>
            <w:r>
              <w:rPr>
                <w:rFonts w:eastAsia="Open Sans SemiCondensed" w:cs="Times New Roman"/>
              </w:rPr>
              <w:t>Isabelle</w:t>
            </w:r>
            <w:r w:rsidR="00AA1452">
              <w:rPr>
                <w:rFonts w:eastAsia="Open Sans SemiCondensed" w:cs="Times New Roman"/>
              </w:rPr>
              <w:t> </w:t>
            </w:r>
            <w:r>
              <w:rPr>
                <w:rFonts w:eastAsia="Open Sans SemiCondensed" w:cs="Times New Roman"/>
              </w:rPr>
              <w:t>Stefen</w:t>
            </w:r>
          </w:p>
          <w:p w14:paraId="30D3D9E7" w14:textId="77777777" w:rsidR="00232080" w:rsidRDefault="00232080" w:rsidP="00DE5DEC">
            <w:pPr>
              <w:pStyle w:val="Corpsdetexte3"/>
              <w:rPr>
                <w:rFonts w:eastAsia="Open Sans SemiCondensed" w:cs="Times New Roman"/>
              </w:rPr>
            </w:pPr>
            <w:r>
              <w:rPr>
                <w:rFonts w:eastAsia="Open Sans SemiCondensed" w:cs="Times New Roman"/>
              </w:rPr>
              <w:t>Co-présidente</w:t>
            </w:r>
          </w:p>
          <w:p w14:paraId="1B6EE957" w14:textId="77777777" w:rsidR="00D5683F" w:rsidRDefault="00232080" w:rsidP="00DE5DEC">
            <w:pPr>
              <w:pStyle w:val="Corpsdetexte3"/>
              <w:rPr>
                <w:rFonts w:eastAsia="Open Sans SemiCondensed" w:cs="Times New Roman"/>
              </w:rPr>
            </w:pPr>
            <w:r>
              <w:rPr>
                <w:rFonts w:eastAsia="Open Sans SemiCondensed" w:cs="Times New Roman"/>
              </w:rPr>
              <w:t>Autisme suisse romande</w:t>
            </w:r>
          </w:p>
          <w:p w14:paraId="11ACC5A8" w14:textId="114B93B9" w:rsidR="003A5B7B" w:rsidRPr="00D5683F" w:rsidRDefault="00D5683F" w:rsidP="00DE5DEC">
            <w:pPr>
              <w:pStyle w:val="Corpsdetexte3"/>
              <w:rPr>
                <w:rFonts w:eastAsia="Open Sans SemiCondensed" w:cs="Times New Roman"/>
              </w:rPr>
            </w:pPr>
            <w:hyperlink r:id="rId15" w:history="1">
              <w:r w:rsidRPr="006B1568">
                <w:rPr>
                  <w:rStyle w:val="Lienhypertexte"/>
                </w:rPr>
                <w:t>isteffen@bluewin.ch</w:t>
              </w:r>
            </w:hyperlink>
            <w:r>
              <w:t xml:space="preserve"> </w:t>
            </w:r>
          </w:p>
        </w:tc>
      </w:tr>
    </w:tbl>
    <w:p w14:paraId="53E090D3" w14:textId="77777777" w:rsidR="00870508" w:rsidRPr="00153133" w:rsidRDefault="00870508" w:rsidP="00232080">
      <w:pPr>
        <w:pStyle w:val="Bibliographie"/>
        <w:ind w:left="0" w:firstLine="0"/>
        <w:rPr>
          <w:rFonts w:cs="Open Sans SemiCondensed"/>
        </w:rPr>
      </w:pPr>
    </w:p>
    <w:sectPr w:rsidR="00870508" w:rsidRPr="00153133" w:rsidSect="008D314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1418" w:right="1418" w:bottom="1134" w:left="1418" w:header="720" w:footer="567" w:gutter="0"/>
      <w:pgNumType w:start="5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3D58F" w14:textId="77777777" w:rsidR="00CB3D32" w:rsidRDefault="00CB3D32">
      <w:pPr>
        <w:spacing w:line="240" w:lineRule="auto"/>
      </w:pPr>
      <w:r>
        <w:separator/>
      </w:r>
    </w:p>
  </w:endnote>
  <w:endnote w:type="continuationSeparator" w:id="0">
    <w:p w14:paraId="326B6CC4" w14:textId="77777777" w:rsidR="00CB3D32" w:rsidRDefault="00CB3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31A912EF-6CDF-45F3-A881-ED1FFD519E45}"/>
    <w:embedBold r:id="rId2" w:fontKey="{2B6AE882-CB61-4DAF-8675-83532C60D180}"/>
    <w:embedItalic r:id="rId3" w:fontKey="{999ED476-77E9-4704-8AF8-FB1F2CECDA01}"/>
    <w:embedBoldItalic r:id="rId4" w:fontKey="{5F11B250-0E1F-42F1-B769-90B1D6CB7D6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0F48" w14:textId="77777777" w:rsidR="008D314E" w:rsidRDefault="008D314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7AB3" w14:textId="77777777" w:rsidR="004B3A29" w:rsidRPr="007B448B" w:rsidRDefault="006E210A" w:rsidP="001D3BFB">
    <w:pPr>
      <w:pStyle w:val="Pieddepage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577B4BD" wp14:editId="6C5DA268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27880" w14:textId="77777777" w:rsidR="008D314E" w:rsidRDefault="008D31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99F05" w14:textId="77777777" w:rsidR="00CB3D32" w:rsidRPr="00777A2F" w:rsidRDefault="00CB3D32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25AFED7B" w14:textId="77777777" w:rsidR="00CB3D32" w:rsidRDefault="00CB3D32">
      <w:r>
        <w:continuationSeparator/>
      </w:r>
    </w:p>
  </w:footnote>
  <w:footnote w:type="continuationNotice" w:id="1">
    <w:p w14:paraId="61FB34E2" w14:textId="77777777" w:rsidR="00CB3D32" w:rsidRDefault="00CB3D3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2AF78" w14:textId="77777777" w:rsidR="008D314E" w:rsidRDefault="008D314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19D6" w14:textId="349597F3" w:rsidR="007B448B" w:rsidRPr="007B448B" w:rsidRDefault="00307EC7" w:rsidP="007B448B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1" behindDoc="0" locked="0" layoutInCell="1" allowOverlap="1" wp14:anchorId="1D874B6F" wp14:editId="6A6590FA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0878F1C2" id="Connecteur droit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8C483F">
      <w:rPr>
        <w:lang w:val="fr-CH"/>
      </w:rPr>
      <w:t>Adaptation</w:t>
    </w:r>
    <w:r w:rsidR="00EF61B5">
      <w:rPr>
        <w:lang w:val="fr-CH"/>
      </w:rPr>
      <w:t>s</w:t>
    </w:r>
    <w:r w:rsidR="008C483F">
      <w:rPr>
        <w:lang w:val="fr-CH"/>
      </w:rPr>
      <w:t xml:space="preserve"> du PER</w:t>
    </w:r>
    <w:r w:rsidR="007B448B">
      <w:rPr>
        <w:lang w:val="fr-CH"/>
      </w:rPr>
      <w:tab/>
    </w:r>
    <w:r w:rsidR="007B448B">
      <w:rPr>
        <w:lang w:val="fr-CH"/>
      </w:rPr>
      <w:tab/>
    </w:r>
    <w:r w:rsidR="007B448B" w:rsidRPr="00ED473A">
      <w:rPr>
        <w:b w:val="0"/>
        <w:bCs/>
        <w:lang w:val="fr-CH"/>
      </w:rPr>
      <w:t xml:space="preserve">Revue </w:t>
    </w:r>
    <w:r w:rsidR="009E4ACD">
      <w:rPr>
        <w:b w:val="0"/>
        <w:bCs/>
        <w:lang w:val="fr-CH"/>
      </w:rPr>
      <w:t>s</w:t>
    </w:r>
    <w:r w:rsidR="007B448B" w:rsidRPr="00ED473A">
      <w:rPr>
        <w:b w:val="0"/>
        <w:bCs/>
        <w:lang w:val="fr-CH"/>
      </w:rPr>
      <w:t xml:space="preserve">uisse de </w:t>
    </w:r>
    <w:r w:rsidR="009E4ACD">
      <w:rPr>
        <w:b w:val="0"/>
        <w:bCs/>
        <w:lang w:val="fr-CH"/>
      </w:rPr>
      <w:t>p</w:t>
    </w:r>
    <w:r w:rsidR="007B448B" w:rsidRPr="00ED473A">
      <w:rPr>
        <w:b w:val="0"/>
        <w:bCs/>
        <w:lang w:val="fr-CH"/>
      </w:rPr>
      <w:t xml:space="preserve">édagogie </w:t>
    </w:r>
    <w:r w:rsidR="009E4ACD">
      <w:rPr>
        <w:b w:val="0"/>
        <w:bCs/>
        <w:lang w:val="fr-CH"/>
      </w:rPr>
      <w:t>s</w:t>
    </w:r>
    <w:r w:rsidR="007B448B" w:rsidRPr="00ED473A">
      <w:rPr>
        <w:b w:val="0"/>
        <w:bCs/>
        <w:lang w:val="fr-CH"/>
      </w:rPr>
      <w:t xml:space="preserve">pécialisée, Vol. </w:t>
    </w:r>
    <w:r w:rsidR="00037AE3">
      <w:rPr>
        <w:b w:val="0"/>
        <w:bCs/>
        <w:lang w:val="fr-CH"/>
      </w:rPr>
      <w:t>1</w:t>
    </w:r>
    <w:r w:rsidR="009E4ACD">
      <w:rPr>
        <w:b w:val="0"/>
        <w:bCs/>
        <w:lang w:val="fr-CH"/>
      </w:rPr>
      <w:t>6</w:t>
    </w:r>
    <w:r w:rsidR="007B448B" w:rsidRPr="00ED473A">
      <w:rPr>
        <w:b w:val="0"/>
        <w:bCs/>
        <w:lang w:val="fr-CH"/>
      </w:rPr>
      <w:t xml:space="preserve">, </w:t>
    </w:r>
    <w:r w:rsidR="00037AE3">
      <w:rPr>
        <w:b w:val="0"/>
        <w:bCs/>
        <w:lang w:val="fr-CH"/>
      </w:rPr>
      <w:t>0</w:t>
    </w:r>
    <w:r w:rsidR="008C483F">
      <w:rPr>
        <w:b w:val="0"/>
        <w:bCs/>
        <w:lang w:val="fr-CH"/>
      </w:rPr>
      <w:t>3</w:t>
    </w:r>
    <w:r w:rsidR="007B448B" w:rsidRPr="00ED473A">
      <w:rPr>
        <w:b w:val="0"/>
        <w:bCs/>
        <w:lang w:val="fr-CH"/>
      </w:rPr>
      <w:t>/</w:t>
    </w:r>
    <w:r w:rsidR="00037AE3">
      <w:rPr>
        <w:b w:val="0"/>
        <w:bCs/>
        <w:lang w:val="fr-CH"/>
      </w:rPr>
      <w:t>202</w:t>
    </w:r>
    <w:r w:rsidR="009E4ACD">
      <w:rPr>
        <w:b w:val="0"/>
        <w:bCs/>
        <w:lang w:val="fr-CH"/>
      </w:rPr>
      <w:t>6</w:t>
    </w:r>
  </w:p>
  <w:p w14:paraId="3A03078D" w14:textId="7B331D7B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CA0DC1">
      <w:rPr>
        <w:b w:val="0"/>
        <w:bCs/>
        <w:lang w:val="fr-CH"/>
      </w:rPr>
      <w:t>TRIBUNE LIBRE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FAED" w14:textId="77777777" w:rsidR="008D314E" w:rsidRDefault="008D31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D36DF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94F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B1DE2D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5A8E96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66CAA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6150B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02E6A7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Titre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Titre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Titre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Titre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92B3CF3"/>
    <w:multiLevelType w:val="multilevel"/>
    <w:tmpl w:val="D16CDD2E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decimal"/>
      <w:pStyle w:val="Listenumros2"/>
      <w:lvlText w:val="%1.%2."/>
      <w:lvlJc w:val="left"/>
      <w:pPr>
        <w:ind w:left="792" w:hanging="432"/>
      </w:pPr>
    </w:lvl>
    <w:lvl w:ilvl="2">
      <w:start w:val="1"/>
      <w:numFmt w:val="decimal"/>
      <w:pStyle w:val="Listenumro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8"/>
  </w:num>
  <w:num w:numId="2" w16cid:durableId="379716589">
    <w:abstractNumId w:val="9"/>
  </w:num>
  <w:num w:numId="3" w16cid:durableId="1479614155">
    <w:abstractNumId w:val="7"/>
  </w:num>
  <w:num w:numId="4" w16cid:durableId="1482112388">
    <w:abstractNumId w:val="6"/>
  </w:num>
  <w:num w:numId="5" w16cid:durableId="80032041">
    <w:abstractNumId w:val="5"/>
  </w:num>
  <w:num w:numId="6" w16cid:durableId="2040273287">
    <w:abstractNumId w:val="4"/>
  </w:num>
  <w:num w:numId="7" w16cid:durableId="1306086662">
    <w:abstractNumId w:val="3"/>
  </w:num>
  <w:num w:numId="8" w16cid:durableId="1515336692">
    <w:abstractNumId w:val="2"/>
  </w:num>
  <w:num w:numId="9" w16cid:durableId="1774208637">
    <w:abstractNumId w:val="1"/>
  </w:num>
  <w:num w:numId="10" w16cid:durableId="788400714">
    <w:abstractNumId w:val="0"/>
  </w:num>
  <w:num w:numId="11" w16cid:durableId="1964382066">
    <w:abstractNumId w:val="1"/>
  </w:num>
  <w:num w:numId="12" w16cid:durableId="1552964724">
    <w:abstractNumId w:val="0"/>
  </w:num>
  <w:num w:numId="13" w16cid:durableId="1043477477">
    <w:abstractNumId w:val="1"/>
  </w:num>
  <w:num w:numId="14" w16cid:durableId="194193815">
    <w:abstractNumId w:val="0"/>
  </w:num>
  <w:num w:numId="15" w16cid:durableId="2079863293">
    <w:abstractNumId w:val="1"/>
  </w:num>
  <w:num w:numId="16" w16cid:durableId="121274101">
    <w:abstractNumId w:val="0"/>
  </w:num>
  <w:num w:numId="17" w16cid:durableId="33161323">
    <w:abstractNumId w:val="1"/>
  </w:num>
  <w:num w:numId="18" w16cid:durableId="1066418597">
    <w:abstractNumId w:val="0"/>
  </w:num>
  <w:num w:numId="19" w16cid:durableId="495533367">
    <w:abstractNumId w:val="1"/>
  </w:num>
  <w:num w:numId="20" w16cid:durableId="1633749593">
    <w:abstractNumId w:val="0"/>
  </w:num>
  <w:num w:numId="21" w16cid:durableId="402064976">
    <w:abstractNumId w:val="1"/>
  </w:num>
  <w:num w:numId="22" w16cid:durableId="1701474658">
    <w:abstractNumId w:val="0"/>
  </w:num>
  <w:num w:numId="23" w16cid:durableId="1029182237">
    <w:abstractNumId w:val="1"/>
  </w:num>
  <w:num w:numId="24" w16cid:durableId="1715688948">
    <w:abstractNumId w:val="0"/>
  </w:num>
  <w:num w:numId="25" w16cid:durableId="1776443920">
    <w:abstractNumId w:val="1"/>
  </w:num>
  <w:num w:numId="26" w16cid:durableId="745877770">
    <w:abstractNumId w:val="0"/>
  </w:num>
  <w:num w:numId="27" w16cid:durableId="637688650">
    <w:abstractNumId w:val="1"/>
  </w:num>
  <w:num w:numId="28" w16cid:durableId="497623031">
    <w:abstractNumId w:val="0"/>
  </w:num>
  <w:num w:numId="29" w16cid:durableId="578708137">
    <w:abstractNumId w:val="1"/>
  </w:num>
  <w:num w:numId="30" w16cid:durableId="812865090">
    <w:abstractNumId w:val="0"/>
  </w:num>
  <w:num w:numId="31" w16cid:durableId="2011369792">
    <w:abstractNumId w:val="1"/>
  </w:num>
  <w:num w:numId="32" w16cid:durableId="2052684409">
    <w:abstractNumId w:val="0"/>
  </w:num>
  <w:num w:numId="33" w16cid:durableId="1970436483">
    <w:abstractNumId w:val="1"/>
  </w:num>
  <w:num w:numId="34" w16cid:durableId="95382573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3F"/>
    <w:rsid w:val="00005C2A"/>
    <w:rsid w:val="00016BFF"/>
    <w:rsid w:val="00024143"/>
    <w:rsid w:val="000302CB"/>
    <w:rsid w:val="0003314D"/>
    <w:rsid w:val="000352CE"/>
    <w:rsid w:val="00037AE3"/>
    <w:rsid w:val="00043B3D"/>
    <w:rsid w:val="00046BAC"/>
    <w:rsid w:val="00053353"/>
    <w:rsid w:val="00060162"/>
    <w:rsid w:val="0007248D"/>
    <w:rsid w:val="000759D7"/>
    <w:rsid w:val="00096F04"/>
    <w:rsid w:val="000B5BB8"/>
    <w:rsid w:val="000C4F21"/>
    <w:rsid w:val="000E127B"/>
    <w:rsid w:val="000E1BCE"/>
    <w:rsid w:val="000E6A66"/>
    <w:rsid w:val="000F0956"/>
    <w:rsid w:val="000F4B54"/>
    <w:rsid w:val="000F5288"/>
    <w:rsid w:val="0010334E"/>
    <w:rsid w:val="001114E2"/>
    <w:rsid w:val="001150A5"/>
    <w:rsid w:val="00115EF5"/>
    <w:rsid w:val="001161D6"/>
    <w:rsid w:val="00120CBF"/>
    <w:rsid w:val="00151BCA"/>
    <w:rsid w:val="00153133"/>
    <w:rsid w:val="00157D7E"/>
    <w:rsid w:val="00167858"/>
    <w:rsid w:val="001852B1"/>
    <w:rsid w:val="00192C1B"/>
    <w:rsid w:val="001A2EEC"/>
    <w:rsid w:val="001B05BD"/>
    <w:rsid w:val="001B16E8"/>
    <w:rsid w:val="001B25F3"/>
    <w:rsid w:val="001B7781"/>
    <w:rsid w:val="001D3BFB"/>
    <w:rsid w:val="001E3BE9"/>
    <w:rsid w:val="001F1139"/>
    <w:rsid w:val="001F314A"/>
    <w:rsid w:val="00202A19"/>
    <w:rsid w:val="0020467E"/>
    <w:rsid w:val="00204A12"/>
    <w:rsid w:val="00207025"/>
    <w:rsid w:val="0022028B"/>
    <w:rsid w:val="00222DBC"/>
    <w:rsid w:val="00232080"/>
    <w:rsid w:val="00235A6C"/>
    <w:rsid w:val="002443A6"/>
    <w:rsid w:val="002475F4"/>
    <w:rsid w:val="00276B2C"/>
    <w:rsid w:val="00284EA0"/>
    <w:rsid w:val="002862AA"/>
    <w:rsid w:val="002B1B77"/>
    <w:rsid w:val="002C5235"/>
    <w:rsid w:val="002E13B6"/>
    <w:rsid w:val="002E5374"/>
    <w:rsid w:val="0030447C"/>
    <w:rsid w:val="00307EC7"/>
    <w:rsid w:val="00322024"/>
    <w:rsid w:val="003220F7"/>
    <w:rsid w:val="003222A6"/>
    <w:rsid w:val="0032347E"/>
    <w:rsid w:val="00365730"/>
    <w:rsid w:val="003819B7"/>
    <w:rsid w:val="00382314"/>
    <w:rsid w:val="00383074"/>
    <w:rsid w:val="00386CFF"/>
    <w:rsid w:val="003A0EA7"/>
    <w:rsid w:val="003A2717"/>
    <w:rsid w:val="003A4659"/>
    <w:rsid w:val="003A5AAA"/>
    <w:rsid w:val="003A5B7B"/>
    <w:rsid w:val="003B4C81"/>
    <w:rsid w:val="003D1209"/>
    <w:rsid w:val="003D20C3"/>
    <w:rsid w:val="003D221C"/>
    <w:rsid w:val="003D502F"/>
    <w:rsid w:val="003D741B"/>
    <w:rsid w:val="003E022D"/>
    <w:rsid w:val="003E0578"/>
    <w:rsid w:val="003F5B1B"/>
    <w:rsid w:val="003F6A6B"/>
    <w:rsid w:val="003F78C2"/>
    <w:rsid w:val="00401236"/>
    <w:rsid w:val="004027D5"/>
    <w:rsid w:val="004038D4"/>
    <w:rsid w:val="00404F18"/>
    <w:rsid w:val="004108D3"/>
    <w:rsid w:val="00413B20"/>
    <w:rsid w:val="00414332"/>
    <w:rsid w:val="00421D05"/>
    <w:rsid w:val="0042486F"/>
    <w:rsid w:val="00426606"/>
    <w:rsid w:val="0044147B"/>
    <w:rsid w:val="00441F45"/>
    <w:rsid w:val="0045144F"/>
    <w:rsid w:val="00454057"/>
    <w:rsid w:val="00454BCF"/>
    <w:rsid w:val="00467E46"/>
    <w:rsid w:val="0047168D"/>
    <w:rsid w:val="004802B5"/>
    <w:rsid w:val="00486270"/>
    <w:rsid w:val="004A2854"/>
    <w:rsid w:val="004A40BC"/>
    <w:rsid w:val="004B1834"/>
    <w:rsid w:val="004B29F8"/>
    <w:rsid w:val="004B3001"/>
    <w:rsid w:val="004B3A29"/>
    <w:rsid w:val="004B7568"/>
    <w:rsid w:val="004C13EB"/>
    <w:rsid w:val="004C4A76"/>
    <w:rsid w:val="004D542D"/>
    <w:rsid w:val="004D58AC"/>
    <w:rsid w:val="004E232F"/>
    <w:rsid w:val="004E307D"/>
    <w:rsid w:val="004F5C23"/>
    <w:rsid w:val="005055D5"/>
    <w:rsid w:val="00521066"/>
    <w:rsid w:val="00521559"/>
    <w:rsid w:val="00524BCB"/>
    <w:rsid w:val="00530E98"/>
    <w:rsid w:val="00533DA1"/>
    <w:rsid w:val="00546490"/>
    <w:rsid w:val="0055561F"/>
    <w:rsid w:val="0056578A"/>
    <w:rsid w:val="0056595B"/>
    <w:rsid w:val="00571C0D"/>
    <w:rsid w:val="00572340"/>
    <w:rsid w:val="00572C4C"/>
    <w:rsid w:val="005743D7"/>
    <w:rsid w:val="0057480A"/>
    <w:rsid w:val="0057605E"/>
    <w:rsid w:val="00576E09"/>
    <w:rsid w:val="00577261"/>
    <w:rsid w:val="00581DB2"/>
    <w:rsid w:val="0058450B"/>
    <w:rsid w:val="005857AB"/>
    <w:rsid w:val="00585ED0"/>
    <w:rsid w:val="00594747"/>
    <w:rsid w:val="00594844"/>
    <w:rsid w:val="005A646E"/>
    <w:rsid w:val="005A6F41"/>
    <w:rsid w:val="005A7AE7"/>
    <w:rsid w:val="005D15B8"/>
    <w:rsid w:val="005E150A"/>
    <w:rsid w:val="005E7DD5"/>
    <w:rsid w:val="005F364D"/>
    <w:rsid w:val="006111D5"/>
    <w:rsid w:val="006111F5"/>
    <w:rsid w:val="00623E11"/>
    <w:rsid w:val="006411DE"/>
    <w:rsid w:val="006448C5"/>
    <w:rsid w:val="006555BD"/>
    <w:rsid w:val="006616BF"/>
    <w:rsid w:val="006644A2"/>
    <w:rsid w:val="006676E2"/>
    <w:rsid w:val="0067232A"/>
    <w:rsid w:val="00682B8C"/>
    <w:rsid w:val="00685EB4"/>
    <w:rsid w:val="00694B9D"/>
    <w:rsid w:val="006A2BB4"/>
    <w:rsid w:val="006A4C05"/>
    <w:rsid w:val="006A7E90"/>
    <w:rsid w:val="006B5540"/>
    <w:rsid w:val="006C2B84"/>
    <w:rsid w:val="006C3DFC"/>
    <w:rsid w:val="006D1528"/>
    <w:rsid w:val="006D5D28"/>
    <w:rsid w:val="006E210A"/>
    <w:rsid w:val="006E260B"/>
    <w:rsid w:val="006E28FE"/>
    <w:rsid w:val="00702BE5"/>
    <w:rsid w:val="00711467"/>
    <w:rsid w:val="007155B8"/>
    <w:rsid w:val="007373E7"/>
    <w:rsid w:val="007424F5"/>
    <w:rsid w:val="007434C1"/>
    <w:rsid w:val="0074442C"/>
    <w:rsid w:val="00744AD8"/>
    <w:rsid w:val="00745C2C"/>
    <w:rsid w:val="00747B3F"/>
    <w:rsid w:val="007710EF"/>
    <w:rsid w:val="0077451D"/>
    <w:rsid w:val="007754EA"/>
    <w:rsid w:val="00777A2F"/>
    <w:rsid w:val="00784D9F"/>
    <w:rsid w:val="00787B6E"/>
    <w:rsid w:val="007A3489"/>
    <w:rsid w:val="007A75E1"/>
    <w:rsid w:val="007B448B"/>
    <w:rsid w:val="007B4F54"/>
    <w:rsid w:val="007B5701"/>
    <w:rsid w:val="007B62B5"/>
    <w:rsid w:val="007C5AB3"/>
    <w:rsid w:val="007C7474"/>
    <w:rsid w:val="007E1B29"/>
    <w:rsid w:val="007E78D0"/>
    <w:rsid w:val="007F43B0"/>
    <w:rsid w:val="007F5E1D"/>
    <w:rsid w:val="00805103"/>
    <w:rsid w:val="00810983"/>
    <w:rsid w:val="00812E94"/>
    <w:rsid w:val="008152E5"/>
    <w:rsid w:val="00822118"/>
    <w:rsid w:val="00830A17"/>
    <w:rsid w:val="008351F7"/>
    <w:rsid w:val="00842A76"/>
    <w:rsid w:val="00853805"/>
    <w:rsid w:val="00855097"/>
    <w:rsid w:val="008618C9"/>
    <w:rsid w:val="00863C53"/>
    <w:rsid w:val="00870508"/>
    <w:rsid w:val="00882B9B"/>
    <w:rsid w:val="008854C8"/>
    <w:rsid w:val="00891E7D"/>
    <w:rsid w:val="008924D4"/>
    <w:rsid w:val="008934B9"/>
    <w:rsid w:val="008A2229"/>
    <w:rsid w:val="008C483F"/>
    <w:rsid w:val="008C6EDB"/>
    <w:rsid w:val="008D1807"/>
    <w:rsid w:val="008D314E"/>
    <w:rsid w:val="008D5616"/>
    <w:rsid w:val="008D5922"/>
    <w:rsid w:val="008D5D95"/>
    <w:rsid w:val="008F2E4E"/>
    <w:rsid w:val="008F5D56"/>
    <w:rsid w:val="00903387"/>
    <w:rsid w:val="009113C7"/>
    <w:rsid w:val="00911AD9"/>
    <w:rsid w:val="00912E02"/>
    <w:rsid w:val="00920846"/>
    <w:rsid w:val="00920A21"/>
    <w:rsid w:val="0092205A"/>
    <w:rsid w:val="00943B46"/>
    <w:rsid w:val="00944DCE"/>
    <w:rsid w:val="00950C95"/>
    <w:rsid w:val="009515D7"/>
    <w:rsid w:val="009522A1"/>
    <w:rsid w:val="009552F9"/>
    <w:rsid w:val="009660DC"/>
    <w:rsid w:val="00967D5F"/>
    <w:rsid w:val="00985126"/>
    <w:rsid w:val="009A0381"/>
    <w:rsid w:val="009A7FF6"/>
    <w:rsid w:val="009C3A95"/>
    <w:rsid w:val="009C6886"/>
    <w:rsid w:val="009D0CF3"/>
    <w:rsid w:val="009D4CCF"/>
    <w:rsid w:val="009E4ACD"/>
    <w:rsid w:val="009E5005"/>
    <w:rsid w:val="009F4CD6"/>
    <w:rsid w:val="009F6A07"/>
    <w:rsid w:val="009F6CDD"/>
    <w:rsid w:val="00A075B0"/>
    <w:rsid w:val="00A10362"/>
    <w:rsid w:val="00A11404"/>
    <w:rsid w:val="00A369F3"/>
    <w:rsid w:val="00A37E53"/>
    <w:rsid w:val="00A50A1E"/>
    <w:rsid w:val="00A543D6"/>
    <w:rsid w:val="00A554D7"/>
    <w:rsid w:val="00A55E72"/>
    <w:rsid w:val="00A61330"/>
    <w:rsid w:val="00A661C3"/>
    <w:rsid w:val="00A67CA2"/>
    <w:rsid w:val="00A96D64"/>
    <w:rsid w:val="00AA1452"/>
    <w:rsid w:val="00AA2F41"/>
    <w:rsid w:val="00AA3192"/>
    <w:rsid w:val="00AA37D0"/>
    <w:rsid w:val="00AA7D4C"/>
    <w:rsid w:val="00AA7E31"/>
    <w:rsid w:val="00AB7501"/>
    <w:rsid w:val="00AC20F1"/>
    <w:rsid w:val="00AD1145"/>
    <w:rsid w:val="00AE583E"/>
    <w:rsid w:val="00AE5D15"/>
    <w:rsid w:val="00AE631D"/>
    <w:rsid w:val="00AF05B3"/>
    <w:rsid w:val="00AF16EB"/>
    <w:rsid w:val="00AF6395"/>
    <w:rsid w:val="00B01D81"/>
    <w:rsid w:val="00B0549D"/>
    <w:rsid w:val="00B12A4B"/>
    <w:rsid w:val="00B13562"/>
    <w:rsid w:val="00B23FA9"/>
    <w:rsid w:val="00B23FEC"/>
    <w:rsid w:val="00B50E21"/>
    <w:rsid w:val="00B527EA"/>
    <w:rsid w:val="00B54E5C"/>
    <w:rsid w:val="00B67519"/>
    <w:rsid w:val="00B71621"/>
    <w:rsid w:val="00B73C01"/>
    <w:rsid w:val="00B7489C"/>
    <w:rsid w:val="00B74F64"/>
    <w:rsid w:val="00B7596B"/>
    <w:rsid w:val="00B8194C"/>
    <w:rsid w:val="00BB3270"/>
    <w:rsid w:val="00BC32F4"/>
    <w:rsid w:val="00BC744B"/>
    <w:rsid w:val="00BD4FAD"/>
    <w:rsid w:val="00BD74F7"/>
    <w:rsid w:val="00BE53BD"/>
    <w:rsid w:val="00C03F59"/>
    <w:rsid w:val="00C104E0"/>
    <w:rsid w:val="00C201F8"/>
    <w:rsid w:val="00C24833"/>
    <w:rsid w:val="00C350DC"/>
    <w:rsid w:val="00C43705"/>
    <w:rsid w:val="00C50710"/>
    <w:rsid w:val="00C52240"/>
    <w:rsid w:val="00C63ADB"/>
    <w:rsid w:val="00C77A77"/>
    <w:rsid w:val="00C85052"/>
    <w:rsid w:val="00C90953"/>
    <w:rsid w:val="00C9392D"/>
    <w:rsid w:val="00CA0162"/>
    <w:rsid w:val="00CA0DC1"/>
    <w:rsid w:val="00CA3679"/>
    <w:rsid w:val="00CA611B"/>
    <w:rsid w:val="00CB3D32"/>
    <w:rsid w:val="00CC1689"/>
    <w:rsid w:val="00CD4400"/>
    <w:rsid w:val="00CE5EE5"/>
    <w:rsid w:val="00CF4C21"/>
    <w:rsid w:val="00CF788D"/>
    <w:rsid w:val="00D02DE1"/>
    <w:rsid w:val="00D177DD"/>
    <w:rsid w:val="00D17F8E"/>
    <w:rsid w:val="00D30491"/>
    <w:rsid w:val="00D33603"/>
    <w:rsid w:val="00D42C35"/>
    <w:rsid w:val="00D451A0"/>
    <w:rsid w:val="00D45554"/>
    <w:rsid w:val="00D55316"/>
    <w:rsid w:val="00D5683F"/>
    <w:rsid w:val="00D614DC"/>
    <w:rsid w:val="00D61F5E"/>
    <w:rsid w:val="00D65100"/>
    <w:rsid w:val="00D75B90"/>
    <w:rsid w:val="00D82F94"/>
    <w:rsid w:val="00D9463F"/>
    <w:rsid w:val="00D95641"/>
    <w:rsid w:val="00D969AF"/>
    <w:rsid w:val="00DA3CEB"/>
    <w:rsid w:val="00DB085C"/>
    <w:rsid w:val="00DB1F8B"/>
    <w:rsid w:val="00DB5151"/>
    <w:rsid w:val="00DB5625"/>
    <w:rsid w:val="00DC0AB5"/>
    <w:rsid w:val="00DC399A"/>
    <w:rsid w:val="00DC4236"/>
    <w:rsid w:val="00DC6667"/>
    <w:rsid w:val="00DD2843"/>
    <w:rsid w:val="00DE5DEC"/>
    <w:rsid w:val="00DE6B7F"/>
    <w:rsid w:val="00DF11B1"/>
    <w:rsid w:val="00DF5157"/>
    <w:rsid w:val="00E03695"/>
    <w:rsid w:val="00E23124"/>
    <w:rsid w:val="00E2679B"/>
    <w:rsid w:val="00E269BA"/>
    <w:rsid w:val="00E26F3D"/>
    <w:rsid w:val="00E31225"/>
    <w:rsid w:val="00E42E44"/>
    <w:rsid w:val="00E54DD0"/>
    <w:rsid w:val="00E6236B"/>
    <w:rsid w:val="00E6716E"/>
    <w:rsid w:val="00E7780E"/>
    <w:rsid w:val="00E8625B"/>
    <w:rsid w:val="00E9142E"/>
    <w:rsid w:val="00E96E69"/>
    <w:rsid w:val="00EA00C7"/>
    <w:rsid w:val="00EA4676"/>
    <w:rsid w:val="00EA484D"/>
    <w:rsid w:val="00EC0A4F"/>
    <w:rsid w:val="00EC3689"/>
    <w:rsid w:val="00ED473A"/>
    <w:rsid w:val="00EE011B"/>
    <w:rsid w:val="00EF4C1D"/>
    <w:rsid w:val="00EF61B5"/>
    <w:rsid w:val="00EF7CFB"/>
    <w:rsid w:val="00F03767"/>
    <w:rsid w:val="00F1657B"/>
    <w:rsid w:val="00F47AD4"/>
    <w:rsid w:val="00F619A7"/>
    <w:rsid w:val="00F767F6"/>
    <w:rsid w:val="00F76CB2"/>
    <w:rsid w:val="00F83A13"/>
    <w:rsid w:val="00F94CC1"/>
    <w:rsid w:val="00FB2600"/>
    <w:rsid w:val="00FB2DAA"/>
    <w:rsid w:val="00FB48D2"/>
    <w:rsid w:val="00FB7742"/>
    <w:rsid w:val="00FC7953"/>
    <w:rsid w:val="00FD5708"/>
    <w:rsid w:val="00FE2B2B"/>
    <w:rsid w:val="00FE57F9"/>
    <w:rsid w:val="00FF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AC599"/>
  <w15:docId w15:val="{86FD5C6B-2B79-4053-911C-7EE81333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53133"/>
    <w:pPr>
      <w:spacing w:after="0" w:line="276" w:lineRule="auto"/>
    </w:pPr>
    <w:rPr>
      <w:lang w:val="fr-CH"/>
    </w:rPr>
  </w:style>
  <w:style w:type="paragraph" w:styleId="Titre1">
    <w:name w:val="heading 1"/>
    <w:basedOn w:val="Normal"/>
    <w:next w:val="Corpsdetexte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Titre2">
    <w:name w:val="heading 2"/>
    <w:basedOn w:val="Normal"/>
    <w:next w:val="Corpsdetexte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Titre3">
    <w:name w:val="heading 3"/>
    <w:basedOn w:val="Normal"/>
    <w:next w:val="Corpsdetexte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Titre4">
    <w:name w:val="heading 4"/>
    <w:basedOn w:val="Normal"/>
    <w:next w:val="Corpsdetexte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Titre5">
    <w:name w:val="heading 5"/>
    <w:basedOn w:val="Normal"/>
    <w:next w:val="Corpsdetexte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Titre6">
    <w:name w:val="heading 6"/>
    <w:basedOn w:val="Normal"/>
    <w:next w:val="Corpsdetexte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Titre7">
    <w:name w:val="heading 7"/>
    <w:basedOn w:val="Normal"/>
    <w:next w:val="Corpsdetexte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Titre8">
    <w:name w:val="heading 8"/>
    <w:basedOn w:val="Normal"/>
    <w:next w:val="Corpsdetexte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Titre9">
    <w:name w:val="heading 9"/>
    <w:basedOn w:val="Normal"/>
    <w:next w:val="Corpsdetexte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Corpsdetexte"/>
    <w:next w:val="Corpsdetexte"/>
  </w:style>
  <w:style w:type="paragraph" w:customStyle="1" w:styleId="Compact">
    <w:name w:val="Compact"/>
    <w:basedOn w:val="Corpsdetexte2"/>
    <w:pPr>
      <w:spacing w:before="36" w:after="36"/>
    </w:pPr>
  </w:style>
  <w:style w:type="paragraph" w:styleId="Titre">
    <w:name w:val="Title"/>
    <w:basedOn w:val="Normal"/>
    <w:next w:val="Corpsdetexte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ous-titre">
    <w:name w:val="Subtitle"/>
    <w:basedOn w:val="Titre"/>
    <w:next w:val="Corpsdetexte"/>
    <w:link w:val="Sous-titreC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Corpsdetexte"/>
    <w:qFormat/>
    <w:rsid w:val="000352CE"/>
    <w:pPr>
      <w:keepNext/>
      <w:keepLines/>
      <w:spacing w:after="240"/>
    </w:pPr>
    <w:rPr>
      <w:szCs w:val="18"/>
    </w:rPr>
  </w:style>
  <w:style w:type="paragraph" w:styleId="Date">
    <w:name w:val="Date"/>
    <w:next w:val="Corpsdetexte"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ie">
    <w:name w:val="Bibliography"/>
    <w:basedOn w:val="Normal"/>
    <w:qFormat/>
    <w:rsid w:val="00CF788D"/>
    <w:pPr>
      <w:ind w:left="567" w:hanging="567"/>
    </w:pPr>
  </w:style>
  <w:style w:type="paragraph" w:styleId="Normalcentr">
    <w:name w:val="Block Text"/>
    <w:basedOn w:val="Corpsdetexte"/>
    <w:next w:val="Corpsdetexte"/>
    <w:uiPriority w:val="9"/>
    <w:unhideWhenUsed/>
    <w:pPr>
      <w:spacing w:before="100" w:after="100"/>
      <w:ind w:left="480" w:right="480"/>
    </w:pPr>
  </w:style>
  <w:style w:type="paragraph" w:styleId="Notedebasdepage">
    <w:name w:val="footnote text"/>
    <w:basedOn w:val="Normal"/>
    <w:link w:val="NotedebasdepageCar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LegendeAbbildung">
    <w:name w:val="Legende Abbildung"/>
    <w:basedOn w:val="LegendeTabelle"/>
    <w:qFormat/>
    <w:rsid w:val="0047168D"/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Appelnotedebasdep">
    <w:name w:val="footnote reference"/>
    <w:basedOn w:val="Policepardfau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Lienhypertexte">
    <w:name w:val="Hyperlink"/>
    <w:basedOn w:val="NotedebasdepageC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En-ttedetabledesmatires">
    <w:name w:val="TOC Heading"/>
    <w:basedOn w:val="Titre1"/>
    <w:next w:val="Corpsdetexte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En-tte">
    <w:name w:val="header"/>
    <w:basedOn w:val="Normal"/>
    <w:link w:val="En-tteCar"/>
    <w:unhideWhenUsed/>
    <w:rsid w:val="004B3A29"/>
    <w:pPr>
      <w:tabs>
        <w:tab w:val="center" w:pos="4513"/>
        <w:tab w:val="right" w:pos="9026"/>
      </w:tabs>
    </w:pPr>
  </w:style>
  <w:style w:type="character" w:customStyle="1" w:styleId="CorpsdetexteCar">
    <w:name w:val="Corps de texte Car"/>
    <w:basedOn w:val="Policepardfaut"/>
    <w:link w:val="Corpsdetexte"/>
    <w:rsid w:val="007F5E1D"/>
  </w:style>
  <w:style w:type="character" w:customStyle="1" w:styleId="En-tteCar">
    <w:name w:val="En-tête Car"/>
    <w:basedOn w:val="Policepardfaut"/>
    <w:link w:val="En-tte"/>
    <w:rsid w:val="004B3A29"/>
    <w:rPr>
      <w:rFonts w:ascii="Open Sans SemiCondensed" w:hAnsi="Open Sans SemiCondensed"/>
      <w:sz w:val="20"/>
    </w:rPr>
  </w:style>
  <w:style w:type="paragraph" w:styleId="Pieddepage">
    <w:name w:val="footer"/>
    <w:basedOn w:val="Normal"/>
    <w:link w:val="PieddepageCar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PieddepageCar">
    <w:name w:val="Pied de page Car"/>
    <w:basedOn w:val="Policepardfaut"/>
    <w:link w:val="Pieddepag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En-tt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En-tteC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Corpsdetexte2">
    <w:name w:val="Body Text 2"/>
    <w:basedOn w:val="Corpsdetexte"/>
    <w:link w:val="Corpsdetexte2Car"/>
    <w:rsid w:val="007F5E1D"/>
    <w:pPr>
      <w:ind w:firstLine="0"/>
    </w:pPr>
  </w:style>
  <w:style w:type="character" w:customStyle="1" w:styleId="Corpsdetexte2Car">
    <w:name w:val="Corps de texte 2 Car"/>
    <w:basedOn w:val="Policepardfaut"/>
    <w:link w:val="Corpsdetexte2"/>
    <w:rsid w:val="007F5E1D"/>
  </w:style>
  <w:style w:type="paragraph" w:styleId="Corpsdetexte3">
    <w:name w:val="Body Text 3"/>
    <w:basedOn w:val="Corpsdetexte"/>
    <w:link w:val="Corpsdetexte3Car"/>
    <w:rsid w:val="00C24833"/>
    <w:pPr>
      <w:spacing w:before="0" w:after="0"/>
      <w:ind w:firstLine="0"/>
      <w:jc w:val="left"/>
    </w:pPr>
  </w:style>
  <w:style w:type="character" w:customStyle="1" w:styleId="Corpsdetexte3Car">
    <w:name w:val="Corps de texte 3 Car"/>
    <w:basedOn w:val="Policepardfaut"/>
    <w:link w:val="Corpsdetexte3"/>
    <w:rsid w:val="00C24833"/>
    <w:rPr>
      <w:lang w:val="de-CH"/>
    </w:rPr>
  </w:style>
  <w:style w:type="paragraph" w:customStyle="1" w:styleId="LegendeTabelle">
    <w:name w:val="Legende Tabelle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Policepardfaut"/>
    <w:uiPriority w:val="99"/>
    <w:unhideWhenUsed/>
    <w:rsid w:val="00EA4676"/>
    <w:rPr>
      <w:color w:val="2B579A"/>
      <w:shd w:val="clear" w:color="auto" w:fill="E1DFDD"/>
    </w:rPr>
  </w:style>
  <w:style w:type="character" w:styleId="lev">
    <w:name w:val="Strong"/>
    <w:basedOn w:val="Policepardfaut"/>
    <w:rsid w:val="00EA4676"/>
    <w:rPr>
      <w:b/>
      <w:bCs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TableauGrille1Clair">
    <w:name w:val="Grid Table 1 Light"/>
    <w:basedOn w:val="Tableau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02D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2DE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Grilledutableau">
    <w:name w:val="Table Grid"/>
    <w:basedOn w:val="Tableau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Policepardfau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Corpsdetexte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302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umros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</w:style>
  <w:style w:type="character" w:styleId="ClavierHTML">
    <w:name w:val="HTML Keyboard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CodeHTML">
    <w:name w:val="HTML Code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Explorateurdedocuments">
    <w:name w:val="Document Map"/>
    <w:basedOn w:val="Normal"/>
    <w:link w:val="ExplorateurdedocumentsC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ExempleHTML">
    <w:name w:val="HTML Sample"/>
    <w:basedOn w:val="Policepardfau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Listemoyenne2">
    <w:name w:val="Medium List 2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dressedestinataire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En-ttedemessage">
    <w:name w:val="Message Header"/>
    <w:basedOn w:val="Normal"/>
    <w:link w:val="En-ttedemessageC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Grillemoyenne2">
    <w:name w:val="Medium Grid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-Accent2">
    <w:name w:val="Medium List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semiHidden/>
    <w:unhideWhenUsed/>
    <w:rsid w:val="006676E2"/>
    <w:rPr>
      <w:rFonts w:cs="Times New Roman"/>
      <w:sz w:val="24"/>
      <w:szCs w:val="24"/>
    </w:rPr>
  </w:style>
  <w:style w:type="paragraph" w:styleId="PrformatHTML">
    <w:name w:val="HTML Preformatted"/>
    <w:basedOn w:val="Normal"/>
    <w:link w:val="PrformatHTMLCar"/>
    <w:semiHidden/>
    <w:unhideWhenUsed/>
    <w:rsid w:val="006676E2"/>
    <w:pPr>
      <w:spacing w:line="240" w:lineRule="auto"/>
    </w:pPr>
  </w:style>
  <w:style w:type="character" w:customStyle="1" w:styleId="PrformatHTMLCar">
    <w:name w:val="Préformaté HTML Car"/>
    <w:basedOn w:val="Policepardfaut"/>
    <w:link w:val="PrformatHTML"/>
    <w:semiHidden/>
    <w:rsid w:val="006676E2"/>
  </w:style>
  <w:style w:type="paragraph" w:styleId="Textebrut">
    <w:name w:val="Plain Text"/>
    <w:basedOn w:val="Normal"/>
    <w:link w:val="TextebrutC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6676E2"/>
    <w:rPr>
      <w:sz w:val="21"/>
      <w:szCs w:val="21"/>
    </w:rPr>
  </w:style>
  <w:style w:type="paragraph" w:styleId="Textedebulles">
    <w:name w:val="Balloon Text"/>
    <w:basedOn w:val="Normal"/>
    <w:link w:val="TextedebullesC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6676E2"/>
    <w:rPr>
      <w:rFonts w:ascii="Open Sans SemiCondensed" w:hAnsi="Open Sans SemiCondensed"/>
      <w:sz w:val="18"/>
      <w:szCs w:val="18"/>
    </w:rPr>
  </w:style>
  <w:style w:type="paragraph" w:styleId="Textedemacro">
    <w:name w:val="macro"/>
    <w:link w:val="TextedemacroC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TextedemacroCar">
    <w:name w:val="Texte de macro Car"/>
    <w:basedOn w:val="Policepardfaut"/>
    <w:link w:val="Textedemacro"/>
    <w:semiHidden/>
    <w:rsid w:val="006676E2"/>
  </w:style>
  <w:style w:type="paragraph" w:styleId="Titreindex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itreTR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Aucuneliste"/>
    <w:semiHidden/>
    <w:unhideWhenUsed/>
    <w:rsid w:val="00153133"/>
    <w:pPr>
      <w:numPr>
        <w:numId w:val="3"/>
      </w:numPr>
    </w:pPr>
  </w:style>
  <w:style w:type="paragraph" w:styleId="Listenumros2">
    <w:name w:val="List Number 2"/>
    <w:basedOn w:val="Listenumros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umros3">
    <w:name w:val="List Number 3"/>
    <w:basedOn w:val="Listenumros"/>
    <w:unhideWhenUsed/>
    <w:rsid w:val="00382314"/>
    <w:pPr>
      <w:numPr>
        <w:ilvl w:val="2"/>
      </w:numPr>
    </w:pPr>
    <w:rPr>
      <w:rFonts w:cs="Open Sans SemiCondensed"/>
    </w:rPr>
  </w:style>
  <w:style w:type="character" w:styleId="Lienhypertextesuivivisit">
    <w:name w:val="FollowedHyperlink"/>
    <w:basedOn w:val="Policepardfau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Corpsdetexte"/>
    <w:qFormat/>
    <w:rsid w:val="00037AE3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9EC5D6" w:themeFill="accent5" w:themeFillTint="99"/>
    </w:pPr>
  </w:style>
  <w:style w:type="paragraph" w:customStyle="1" w:styleId="Fragen">
    <w:name w:val="Fragen"/>
    <w:basedOn w:val="Corpsdetexte"/>
    <w:next w:val="Corpsdetexte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TableauGrille2">
    <w:name w:val="Grid Table 2"/>
    <w:basedOn w:val="Tableau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4">
    <w:name w:val="List Table 3 Accent 4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TableauListe4-Accentuation6">
    <w:name w:val="List Table 4 Accent 6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4-Accentuation1">
    <w:name w:val="List Table 4 Accent 1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2-Accentuation5">
    <w:name w:val="List Table 2 Accent 5"/>
    <w:basedOn w:val="Tableau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TableauGrille5Fonc-Accentuation6">
    <w:name w:val="Grid Table 5 Dark Accent 6"/>
    <w:basedOn w:val="Tableau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Grille3-Accentuation6">
    <w:name w:val="Grid Table 3 Accent 6"/>
    <w:basedOn w:val="Tableau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TableauGrille4-Accentuation6">
    <w:name w:val="Grid Table 4 Accent 6"/>
    <w:basedOn w:val="Tableau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Liste3-Accentuation6">
    <w:name w:val="List Table 3 Accent 6"/>
    <w:basedOn w:val="Tableau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">
    <w:name w:val="List Table 3"/>
    <w:basedOn w:val="Tableau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Grilledutableau1">
    <w:name w:val="Grille du tableau1"/>
    <w:basedOn w:val="TableauNormal"/>
    <w:next w:val="Grilledutableau"/>
    <w:rsid w:val="00950C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unhideWhenUsed/>
    <w:rsid w:val="00572340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572340"/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6-03-09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steffen@bluewin.ch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adia.mckenzie@autisme.ch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o\SZH%20CSPS\Daten_Allgemein%20-%20General\2_Produkte\52_Revue\RV02_Redaction\Revue_2026\03_Adaptation%20du%20PER\Layout_R03-2026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D6900A3-1ACE-4546-94EE-A419374F0F71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5385365f-6f92-4b31-af27-e875b1d9e65c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681858B7D484080A6C8E6830BC98C" ma:contentTypeVersion="19" ma:contentTypeDescription="Crée un document." ma:contentTypeScope="" ma:versionID="a60f16be11dc258eb817fbd8358c30bd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20d7f00eca0135c6f88dedcd41bd2e0f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0166FE-FABD-43C7-AD06-22B9BDF1ED37}"/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Layout_R03-2026.dotx</Template>
  <TotalTime>0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 cordon tournesol</vt:lpstr>
      <vt:lpstr>Title</vt:lpstr>
    </vt:vector>
  </TitlesOfParts>
  <Company/>
  <LinksUpToDate>false</LinksUpToDate>
  <CharactersWithSpaces>4418</CharactersWithSpaces>
  <SharedDoc>false</SharedDoc>
  <HLinks>
    <vt:vector size="18" baseType="variant">
      <vt:variant>
        <vt:i4>5308478</vt:i4>
      </vt:variant>
      <vt:variant>
        <vt:i4>6</vt:i4>
      </vt:variant>
      <vt:variant>
        <vt:i4>0</vt:i4>
      </vt:variant>
      <vt:variant>
        <vt:i4>5</vt:i4>
      </vt:variant>
      <vt:variant>
        <vt:lpwstr>mailto:Isabelle.stefen@autisme.ch</vt:lpwstr>
      </vt:variant>
      <vt:variant>
        <vt:lpwstr/>
      </vt:variant>
      <vt:variant>
        <vt:i4>8323093</vt:i4>
      </vt:variant>
      <vt:variant>
        <vt:i4>3</vt:i4>
      </vt:variant>
      <vt:variant>
        <vt:i4>0</vt:i4>
      </vt:variant>
      <vt:variant>
        <vt:i4>5</vt:i4>
      </vt:variant>
      <vt:variant>
        <vt:lpwstr>mailto:nadia.mckenzie@autisme.ch</vt:lpwstr>
      </vt:variant>
      <vt:variant>
        <vt:lpwstr/>
      </vt:variant>
      <vt:variant>
        <vt:i4>5767258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https://doi.org/10.57161/r2026-03-09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cordon tournesol : Rendre visible l’invisible ou repenser l’accessibilité ?</dc:title>
  <dc:subject/>
  <dc:creator>Nadia De Angelis McKenzie;Isabelle Stefen</dc:creator>
  <cp:keywords/>
  <cp:lastModifiedBy>Morand, Robin</cp:lastModifiedBy>
  <cp:revision>45</cp:revision>
  <cp:lastPrinted>2022-07-01T21:31:00Z</cp:lastPrinted>
  <dcterms:created xsi:type="dcterms:W3CDTF">2026-07-23T17:03:00Z</dcterms:created>
  <dcterms:modified xsi:type="dcterms:W3CDTF">2026-08-21T14:54:00Z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