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1327E" w14:textId="161B22D5" w:rsidR="001114E2" w:rsidRPr="00FF2E2B" w:rsidRDefault="00FF7873" w:rsidP="00CE79D6">
      <w:pPr>
        <w:pStyle w:val="Titre"/>
      </w:pPr>
      <w:r w:rsidRPr="00FF7873">
        <w:t>Compensation des désavantages et universités en Suisse romande</w:t>
      </w:r>
    </w:p>
    <w:p w14:paraId="1AAADA9A" w14:textId="2E0CDF05" w:rsidR="001114E2" w:rsidRPr="00153133" w:rsidRDefault="00FF7873" w:rsidP="002E5374">
      <w:pPr>
        <w:pStyle w:val="Sous-titre"/>
        <w:rPr>
          <w:rFonts w:cs="Open Sans SemiCondensed"/>
        </w:rPr>
      </w:pPr>
      <w:r w:rsidRPr="00FF7873">
        <w:rPr>
          <w:rFonts w:cs="Open Sans SemiCondensed"/>
          <w:lang w:val="fr-FR"/>
        </w:rPr>
        <w:t>Entretiens qualitatifs auprès de</w:t>
      </w:r>
      <w:r w:rsidR="005F52EE">
        <w:rPr>
          <w:rFonts w:cs="Open Sans SemiCondensed"/>
          <w:lang w:val="fr-FR"/>
        </w:rPr>
        <w:t xml:space="preserve"> responsables</w:t>
      </w:r>
    </w:p>
    <w:p w14:paraId="2790FCB8" w14:textId="06F3D4C9" w:rsidR="001114E2" w:rsidRPr="00153133" w:rsidRDefault="00FF7873" w:rsidP="006C2B84">
      <w:pPr>
        <w:pStyle w:val="Author"/>
        <w:rPr>
          <w:rFonts w:cs="Open Sans SemiCondensed"/>
        </w:rPr>
      </w:pPr>
      <w:r w:rsidRPr="00FF7873">
        <w:rPr>
          <w:rFonts w:cs="Open Sans SemiCondensed"/>
        </w:rPr>
        <w:t>Amélie</w:t>
      </w:r>
      <w:r w:rsidR="002D77EA">
        <w:rPr>
          <w:rFonts w:cs="Open Sans SemiCondensed"/>
        </w:rPr>
        <w:t> </w:t>
      </w:r>
      <w:r w:rsidRPr="00FF7873">
        <w:rPr>
          <w:rFonts w:cs="Open Sans SemiCondensed"/>
        </w:rPr>
        <w:t xml:space="preserve">Dentz, Bianca </w:t>
      </w:r>
      <w:r w:rsidR="00584209">
        <w:rPr>
          <w:rFonts w:cs="Open Sans SemiCondensed"/>
        </w:rPr>
        <w:t>Frank Baud</w:t>
      </w:r>
      <w:r w:rsidRPr="00FF7873">
        <w:rPr>
          <w:rFonts w:cs="Open Sans SemiCondensed"/>
        </w:rPr>
        <w:t>, Nicolas</w:t>
      </w:r>
      <w:r w:rsidR="002D77EA">
        <w:rPr>
          <w:rFonts w:cs="Open Sans SemiCondensed"/>
        </w:rPr>
        <w:t> </w:t>
      </w:r>
      <w:r w:rsidRPr="00FF7873">
        <w:rPr>
          <w:rFonts w:cs="Open Sans SemiCondensed"/>
        </w:rPr>
        <w:t>Ruffieux et Chantal Martin Sölch</w:t>
      </w:r>
    </w:p>
    <w:p w14:paraId="003BF038" w14:textId="06EB1D6D" w:rsidR="000352CE" w:rsidRPr="00153133" w:rsidRDefault="004C13EB" w:rsidP="000352CE">
      <w:pPr>
        <w:pStyle w:val="Abstract"/>
        <w:rPr>
          <w:rFonts w:cs="Open Sans SemiCondensed"/>
        </w:rPr>
      </w:pPr>
      <w:r w:rsidRPr="00153133">
        <w:rPr>
          <w:rFonts w:cs="Open Sans SemiCondensed"/>
        </w:rPr>
        <w:t>Résumé</w:t>
      </w:r>
      <w:r w:rsidR="000352CE" w:rsidRPr="00153133">
        <w:rPr>
          <w:rFonts w:cs="Open Sans SemiCondensed"/>
        </w:rPr>
        <w:br/>
      </w:r>
      <w:r w:rsidR="00E56972" w:rsidRPr="00E56972">
        <w:rPr>
          <w:rFonts w:cs="Open Sans SemiCondensed"/>
        </w:rPr>
        <w:t>Cet article examine les mesures de compensation des désavantages et les procédures associées que les universités suisses romandes proposent aux étudiantes et étudiants présentant des besoins spécifiques. Les points de vue des personnes chargées de la gestion des mesures d’aménagement dans trois universités de Suisse romande ont été recueillis par le biais d’entretiens. Les résultats de cette étude montrent une grande variabilité des mesures et des procédures proposées suivant les universités. Cet article suggère des pistes visant à favoriser la mise en place de procédures standardisées entre les différentes universités suisses afin de garantir une meilleure égalité des chances pour les étudiantes et étudiants universitaires présentant des besoins spécifiques.</w:t>
      </w:r>
      <w:r w:rsidR="00D02DE1" w:rsidRPr="00153133">
        <w:rPr>
          <w:rFonts w:cs="Open Sans SemiCondensed"/>
        </w:rPr>
        <w:t xml:space="preserve"> </w:t>
      </w:r>
    </w:p>
    <w:p w14:paraId="1F472ABB" w14:textId="77777777" w:rsidR="00B52035" w:rsidRPr="00DB466C" w:rsidRDefault="00B52035" w:rsidP="00B52035">
      <w:pPr>
        <w:pStyle w:val="Abstract"/>
        <w:rPr>
          <w:rFonts w:cs="Open Sans SemiCondensed SemiCon"/>
          <w:lang w:val="de-CH"/>
        </w:rPr>
      </w:pPr>
      <w:r w:rsidRPr="2D3F49BE">
        <w:rPr>
          <w:rFonts w:cs="Open Sans SemiCondensed SemiCon"/>
          <w:lang w:val="de-CH"/>
        </w:rPr>
        <w:t>Zusammenfassung</w:t>
      </w:r>
      <w:r w:rsidRPr="00C90357">
        <w:rPr>
          <w:lang w:val="de-CH"/>
        </w:rPr>
        <w:br/>
      </w:r>
      <w:r w:rsidRPr="2D3F49BE">
        <w:rPr>
          <w:rFonts w:cs="Open Sans SemiCondensed SemiCon"/>
          <w:lang w:val="de-CH"/>
        </w:rPr>
        <w:t>Dieser Artikel befasst sich mit den Massnahmen zum Nachteilsausgleich und den damit verbundenen Verfahren, die Studierenden mit besonderem Bildungsbedarf an Westschweizer Universitäten angeboten werden. Im Rahmen von Interviews wurden die Sichtweisen derjenigen Personen eingeholt, die an drei Universitäten der Westschweiz für die Anpassungsmassnahmen zuständig sind. Die Ergebnisse dieser Studie zeigen, dass die Massnahmen und Verfahren je nach Universität sehr unterschiedlich sind. Dieser Artikel schlägt Ansätze vor, wie die standardisierten Verfahren an den verschiedenen Schweizer Universitäten gefördert werden können, um eine bessere Chancengleichheit für Studierende mit besonderem Bildungsbedarf zu gewährleisten.</w:t>
      </w:r>
    </w:p>
    <w:p w14:paraId="083F1902" w14:textId="126F0DEE" w:rsidR="00B52035" w:rsidRPr="005B1032" w:rsidRDefault="00B52035" w:rsidP="00B52035">
      <w:pPr>
        <w:pStyle w:val="Corpsdetexte3"/>
        <w:rPr>
          <w:rFonts w:cs="Times New Roman"/>
          <w:lang w:val="de-CH"/>
        </w:rPr>
      </w:pPr>
      <w:r w:rsidRPr="005B1032">
        <w:rPr>
          <w:rStyle w:val="lev"/>
          <w:rFonts w:cs="Open Sans SemiCondensed SemiCon"/>
          <w:lang w:val="de-CH"/>
        </w:rPr>
        <w:t>Keywords</w:t>
      </w:r>
      <w:r w:rsidRPr="005B1032">
        <w:rPr>
          <w:lang w:val="de-CH"/>
        </w:rPr>
        <w:t xml:space="preserve">: </w:t>
      </w:r>
      <w:proofErr w:type="spellStart"/>
      <w:r w:rsidRPr="005B1032">
        <w:rPr>
          <w:rStyle w:val="Corpsdetexte2Car"/>
          <w:lang w:val="de-CH"/>
        </w:rPr>
        <w:t>besoins</w:t>
      </w:r>
      <w:proofErr w:type="spellEnd"/>
      <w:r w:rsidRPr="005B1032">
        <w:rPr>
          <w:rStyle w:val="Corpsdetexte2Car"/>
          <w:lang w:val="de-CH"/>
        </w:rPr>
        <w:t xml:space="preserve"> </w:t>
      </w:r>
      <w:proofErr w:type="spellStart"/>
      <w:r w:rsidRPr="005B1032">
        <w:rPr>
          <w:rStyle w:val="Corpsdetexte2Car"/>
          <w:lang w:val="de-CH"/>
        </w:rPr>
        <w:t>spécifiques</w:t>
      </w:r>
      <w:proofErr w:type="spellEnd"/>
      <w:r w:rsidRPr="005B1032">
        <w:rPr>
          <w:rStyle w:val="Corpsdetexte2Car"/>
          <w:lang w:val="de-CH"/>
        </w:rPr>
        <w:t xml:space="preserve">, </w:t>
      </w:r>
      <w:proofErr w:type="spellStart"/>
      <w:r w:rsidRPr="005B1032">
        <w:rPr>
          <w:rStyle w:val="Corpsdetexte2Car"/>
          <w:lang w:val="de-CH"/>
        </w:rPr>
        <w:t>compensation</w:t>
      </w:r>
      <w:proofErr w:type="spellEnd"/>
      <w:r w:rsidRPr="005B1032">
        <w:rPr>
          <w:rStyle w:val="Corpsdetexte2Car"/>
          <w:lang w:val="de-CH"/>
        </w:rPr>
        <w:t xml:space="preserve"> des </w:t>
      </w:r>
      <w:proofErr w:type="spellStart"/>
      <w:r w:rsidRPr="005B1032">
        <w:rPr>
          <w:rStyle w:val="Corpsdetexte2Car"/>
          <w:lang w:val="de-CH"/>
        </w:rPr>
        <w:t>désavantages</w:t>
      </w:r>
      <w:proofErr w:type="spellEnd"/>
      <w:r w:rsidRPr="005B1032">
        <w:rPr>
          <w:rStyle w:val="Corpsdetexte2Car"/>
          <w:lang w:val="de-CH"/>
        </w:rPr>
        <w:t xml:space="preserve">, </w:t>
      </w:r>
      <w:proofErr w:type="spellStart"/>
      <w:r w:rsidRPr="005B1032">
        <w:rPr>
          <w:rStyle w:val="Corpsdetexte2Car"/>
          <w:lang w:val="de-CH"/>
        </w:rPr>
        <w:t>étudiante</w:t>
      </w:r>
      <w:proofErr w:type="spellEnd"/>
      <w:r w:rsidRPr="005B1032">
        <w:rPr>
          <w:rStyle w:val="Corpsdetexte2Car"/>
          <w:lang w:val="de-CH"/>
        </w:rPr>
        <w:t xml:space="preserve"> et </w:t>
      </w:r>
      <w:proofErr w:type="spellStart"/>
      <w:r w:rsidRPr="005B1032">
        <w:rPr>
          <w:rStyle w:val="Corpsdetexte2Car"/>
          <w:lang w:val="de-CH"/>
        </w:rPr>
        <w:t>étudiant</w:t>
      </w:r>
      <w:proofErr w:type="spellEnd"/>
      <w:r w:rsidRPr="005B1032">
        <w:rPr>
          <w:rStyle w:val="Corpsdetexte2Car"/>
          <w:lang w:val="de-CH"/>
        </w:rPr>
        <w:t xml:space="preserve">, </w:t>
      </w:r>
      <w:proofErr w:type="spellStart"/>
      <w:r w:rsidRPr="005B1032">
        <w:rPr>
          <w:rStyle w:val="Corpsdetexte2Car"/>
          <w:lang w:val="de-CH"/>
        </w:rPr>
        <w:t>mesures</w:t>
      </w:r>
      <w:proofErr w:type="spellEnd"/>
      <w:r w:rsidRPr="005B1032">
        <w:rPr>
          <w:rStyle w:val="Corpsdetexte2Car"/>
          <w:lang w:val="de-CH"/>
        </w:rPr>
        <w:t xml:space="preserve"> </w:t>
      </w:r>
      <w:proofErr w:type="spellStart"/>
      <w:r w:rsidRPr="005B1032">
        <w:rPr>
          <w:rStyle w:val="Corpsdetexte2Car"/>
          <w:lang w:val="de-CH"/>
        </w:rPr>
        <w:t>renforcées</w:t>
      </w:r>
      <w:proofErr w:type="spellEnd"/>
      <w:r w:rsidRPr="005B1032">
        <w:rPr>
          <w:rStyle w:val="Corpsdetexte2Car"/>
          <w:lang w:val="de-CH"/>
        </w:rPr>
        <w:t xml:space="preserve">, </w:t>
      </w:r>
      <w:proofErr w:type="spellStart"/>
      <w:r w:rsidRPr="005B1032">
        <w:rPr>
          <w:rStyle w:val="Corpsdetexte2Car"/>
          <w:lang w:val="de-CH"/>
        </w:rPr>
        <w:t>université</w:t>
      </w:r>
      <w:proofErr w:type="spellEnd"/>
      <w:r w:rsidRPr="005B1032">
        <w:rPr>
          <w:rStyle w:val="Corpsdetexte2Car"/>
          <w:lang w:val="de-CH"/>
        </w:rPr>
        <w:t xml:space="preserve"> / </w:t>
      </w:r>
      <w:r w:rsidR="008E60BE" w:rsidRPr="005B1032">
        <w:rPr>
          <w:lang w:val="de-CH"/>
        </w:rPr>
        <w:t>besonderer Bildungsbedarf</w:t>
      </w:r>
      <w:r w:rsidR="00DE1CAB">
        <w:rPr>
          <w:lang w:val="de-CH"/>
        </w:rPr>
        <w:t>,</w:t>
      </w:r>
      <w:r w:rsidR="008E60BE" w:rsidRPr="005B1032">
        <w:rPr>
          <w:rStyle w:val="Corpsdetexte2Car"/>
          <w:lang w:val="de-CH"/>
        </w:rPr>
        <w:t xml:space="preserve"> </w:t>
      </w:r>
      <w:r w:rsidRPr="005B1032">
        <w:rPr>
          <w:rStyle w:val="Corpsdetexte2Car"/>
          <w:lang w:val="de-CH"/>
        </w:rPr>
        <w:t>Nachteilsausgleich, Studierende, Universität, verstärkte Massnahmen</w:t>
      </w:r>
    </w:p>
    <w:p w14:paraId="692F7679" w14:textId="17E7B130" w:rsidR="001D3BFB" w:rsidRPr="00B52035" w:rsidRDefault="00EA4676" w:rsidP="00B6033A">
      <w:pPr>
        <w:pStyle w:val="Corpsdetexte3"/>
        <w:rPr>
          <w:rFonts w:cs="Open Sans SemiCondensed"/>
          <w:bCs/>
          <w:iCs/>
          <w:color w:val="CF3649"/>
        </w:rPr>
      </w:pPr>
      <w:proofErr w:type="gramStart"/>
      <w:r w:rsidRPr="00B52035">
        <w:rPr>
          <w:rStyle w:val="lev"/>
          <w:rFonts w:cs="Open Sans SemiCondensed"/>
        </w:rPr>
        <w:t>DOI</w:t>
      </w:r>
      <w:r w:rsidRPr="00B52035">
        <w:rPr>
          <w:rFonts w:cs="Open Sans SemiCondensed"/>
        </w:rPr>
        <w:t>:</w:t>
      </w:r>
      <w:proofErr w:type="gramEnd"/>
      <w:r w:rsidRPr="00B52035">
        <w:rPr>
          <w:rFonts w:cs="Open Sans SemiCondensed"/>
        </w:rPr>
        <w:t xml:space="preserve"> </w:t>
      </w:r>
      <w:hyperlink r:id="rId11" w:history="1">
        <w:r w:rsidR="00295C48" w:rsidRPr="00B52035">
          <w:rPr>
            <w:rStyle w:val="Lienhypertexte"/>
            <w:rFonts w:cs="Open Sans SemiCondensed"/>
          </w:rPr>
          <w:t>https://doi.org/10.57161/r2026-03-08</w:t>
        </w:r>
      </w:hyperlink>
    </w:p>
    <w:p w14:paraId="5CE0DD13" w14:textId="7B2A01DF" w:rsidR="00EA4676" w:rsidRPr="00153133" w:rsidRDefault="00EA4676" w:rsidP="00F34734">
      <w:pPr>
        <w:pStyle w:val="Corpsdetexte3"/>
        <w:jc w:val="both"/>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355E1A">
        <w:t>6</w:t>
      </w:r>
      <w:r w:rsidRPr="00153133">
        <w:t xml:space="preserve">, </w:t>
      </w:r>
      <w:r w:rsidR="00037AE3">
        <w:t>0</w:t>
      </w:r>
      <w:r w:rsidR="00C6441E">
        <w:t>3</w:t>
      </w:r>
      <w:r w:rsidRPr="00153133">
        <w:t>/</w:t>
      </w:r>
      <w:r w:rsidR="00037AE3">
        <w:t>202</w:t>
      </w:r>
      <w:r w:rsidR="009E4ACD">
        <w:t>6</w:t>
      </w:r>
    </w:p>
    <w:p w14:paraId="398DFB25" w14:textId="77777777" w:rsidR="000E6A66" w:rsidRPr="00153133" w:rsidRDefault="000E6A66" w:rsidP="00C24833">
      <w:pPr>
        <w:pStyle w:val="Corpsdetexte3"/>
      </w:pPr>
      <w:r w:rsidRPr="00153133">
        <w:rPr>
          <w:noProof/>
        </w:rPr>
        <w:drawing>
          <wp:inline distT="0" distB="0" distL="0" distR="0" wp14:anchorId="6F1CFAD0" wp14:editId="45CEEA9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AB1BC28" w14:textId="06405CB1" w:rsidR="00C6441E" w:rsidRDefault="00C6441E" w:rsidP="00C6441E">
      <w:pPr>
        <w:pStyle w:val="Titre1"/>
      </w:pPr>
      <w:bookmarkStart w:id="0" w:name="heading-1"/>
      <w:r>
        <w:t>Introduction</w:t>
      </w:r>
      <w:r w:rsidR="00386CFF" w:rsidRPr="00855097">
        <w:t xml:space="preserve"> </w:t>
      </w:r>
      <w:bookmarkStart w:id="1" w:name="heading-2"/>
      <w:bookmarkEnd w:id="0"/>
    </w:p>
    <w:p w14:paraId="730C6966" w14:textId="786174EA" w:rsidR="007B5361" w:rsidRPr="00B26E14" w:rsidRDefault="007B5361" w:rsidP="00CC0188">
      <w:pPr>
        <w:pStyle w:val="Corpsdetexte"/>
        <w:ind w:firstLine="0"/>
      </w:pPr>
      <w:r w:rsidRPr="00B26E14">
        <w:t>Le nombre d’étudiantes et étudiants présentant des besoins spécifiques au niveau postsecondaire est en constante augmentation</w:t>
      </w:r>
      <w:r w:rsidRPr="00B26E14">
        <w:rPr>
          <w:rStyle w:val="apple-converted-space"/>
        </w:rPr>
        <w:t> </w:t>
      </w:r>
      <w:r w:rsidRPr="00B26E14">
        <w:t>(Zeidan et al., 2022)</w:t>
      </w:r>
      <w:r w:rsidRPr="00B26E14">
        <w:rPr>
          <w:rStyle w:val="Titre1Car"/>
          <w:rFonts w:eastAsiaTheme="minorHAnsi" w:cstheme="minorBidi"/>
          <w:b w:val="0"/>
          <w:bCs w:val="0"/>
          <w:color w:val="auto"/>
          <w:sz w:val="20"/>
          <w:szCs w:val="20"/>
        </w:rPr>
        <w:t xml:space="preserve">. </w:t>
      </w:r>
      <w:r w:rsidRPr="00B26E14">
        <w:t>En Suisse, les personnes en situation de handicap bénéficient du droit de participation à la société et de l’accès à une éducation sans discrimination</w:t>
      </w:r>
      <w:r w:rsidRPr="00B26E14">
        <w:fldChar w:fldCharType="begin"/>
      </w:r>
      <w:r w:rsidRPr="00B26E14">
        <w:instrText xml:space="preserve"> ADDIN ZOTERO_ITEM CSL_CITATION {"citationID":"I1n12VkM","properties":{"formattedCitation":"(Convention relative aux droits des personnes handicap\\uc0\\u233{}es, 2014)","plainCitation":"(Convention relative aux droits des personnes handicapées, 2014)","noteIndex":0},"citationItems":[{"id":8641,"uris":["http://zotero.org/groups/4701646/items/4QZZW629"],"itemData":{"id":8641,"type":"legislation","container-title":"RS 0.109","language":"fr","title":"Convention relative aux droits des personnes handicapées","URL":"https://www.fedlex.admin.ch/eli/cc/2014/245/fr","author":[{"family":"Organisation des Nations Unies","given":""}],"accessed":{"date-parts":[["2022",5,31]]},"issued":{"date-parts":[["2014",5,15]]}}}],"schema":"https://github.com/citation-style-language/schema/raw/master/csl-citation.json"} </w:instrText>
      </w:r>
      <w:r w:rsidRPr="00B26E14">
        <w:fldChar w:fldCharType="separate"/>
      </w:r>
      <w:r w:rsidRPr="00B26E14">
        <w:t>(Convention relative aux droits des personnes handicapées, 2014)</w:t>
      </w:r>
      <w:r w:rsidRPr="00B26E14">
        <w:fldChar w:fldCharType="end"/>
      </w:r>
      <w:r w:rsidRPr="00B26E14">
        <w:t>. La responsabilité d’identifier et de remédier aux lacune</w:t>
      </w:r>
      <w:r w:rsidR="00B333C0">
        <w:t>s</w:t>
      </w:r>
      <w:r w:rsidRPr="00B26E14">
        <w:t xml:space="preserve"> présentes dans le système afin de favoriser une éducation sans discrimination incombe aux institutions fédérales </w:t>
      </w:r>
      <w:r w:rsidRPr="00B26E14">
        <w:fldChar w:fldCharType="begin"/>
      </w:r>
      <w:r w:rsidRPr="00B26E14">
        <w:instrText xml:space="preserve"> ADDIN ZOTERO_ITEM CSL_CITATION {"citationID":"fBNglwle","properties":{"formattedCitation":"(R\\uc0\\u233{}seau \\uc0\\u201{}tudes et handicap Suisse, 2019)","plainCitation":"(Réseau Études et handicap Suisse, 2019)","noteIndex":0},"citationItems":[{"id":8620,"uris":["http://zotero.org/groups/4701646/items/JIM2PR6S"],"itemData":{"id":8620,"type":"report","title":"Compensation du handicap dans le cadre des études : Guide à l'intention des hautes écoles","URL":"https://www.swissuniability.ch/index.cfm?action=act_getfile&amp;doc_id=100021&amp;spr=fr","author":[{"family":"Réseau Études et handicap Suisse","given":""}],"issued":{"date-parts":[["2019"]]}}}],"schema":"https://github.com/citation-style-language/schema/raw/master/csl-citation.json"} </w:instrText>
      </w:r>
      <w:r w:rsidRPr="00B26E14">
        <w:fldChar w:fldCharType="separate"/>
      </w:r>
      <w:r w:rsidRPr="00B26E14">
        <w:t>(Réseau Études et handicap Suisse, 2019)</w:t>
      </w:r>
      <w:r w:rsidRPr="00B26E14">
        <w:fldChar w:fldCharType="end"/>
      </w:r>
      <w:r w:rsidRPr="00B26E14">
        <w:t xml:space="preserve">. Actuellement, un enseignement postsecondaire inclusif est progressivement mis en place, notamment au niveau universitaire et dans les hautes écoles (Martin et al., 2025). L’accès aux mesures de compensation des désavantages est primordial pour penser l’inclusion des étudiantes et étudiants présentant des besoins spécifiques à l’université </w:t>
      </w:r>
      <w:r w:rsidRPr="00B26E14">
        <w:fldChar w:fldCharType="begin"/>
      </w:r>
      <w:r w:rsidRPr="00B26E14">
        <w:instrText xml:space="preserve"> ADDIN ZOTERO_ITEM CSL_CITATION {"citationID":"GZIlSVef","properties":{"formattedCitation":"(Fournier et al., 2020b; Lindsay et al., 2018)","plainCitation":"(Fournier et al., 2020b; Lindsay et al., 2018)","dontUpdate":true,"noteIndex":0},"citationItems":[{"id":1053,"uris":["http://zotero.org/users/7710187/items/6INY8X6W"],"itemData":{"id":1053,"type":"article-journal","abstract":"Recognizing the diversity of educational pathways for students with disabilities (SD), a large consultation was conducted with all students who consulted the office of support services of a Canadian university. Thus, 417 respondents completed an online survey. The findings highlight some barriers perceived by SD, such as financial barriers, inappropriate teaching methods and the fear of being discriminated against. However, a significant proportion of respondents report that they have experienced no barriers, and identify facilitators, such as support services, faculty openness and the use of accommodations.","language":"fr","source":"Zotero","title":"Obstacles et facilitateurs perçus par les étudiants en situation de handicap à l’université et l’appréciation des services","author":[{"family":"Fournier","given":"Anne-Louise"},{"family":"Hubert","given":"Bruno"},{"family":"Careau","given":"Louise"}],"issued":{"date-parts":[["2020"]]}}},{"id":1027,"uris":["http://zotero.org/users/7710187/items/2RBWAFUR"],"itemData":{"id":1027,"type":"article-journal","abstract":"This review critically appraised the literature on disability disclosure and accommodations for youth with disabilities in post-secondary education (PSE). Systematic searches of 8 databases identified 36 studies meeting our inclusion criteria. These studies were analysed with respect to the characteristics of the participants, methodology, results of the studies and quality of evidence. Five thousand, one hundred and seventy four participants (mean age 26.4) were represented across six countries. Barriers to disability disclosure and requests for accommodations in PSE included stigma, discrimination, lack of knowledge of supports and how to access them, type of course and instructor, coping styles, and nature of the disability. Facilitators included supports and resources, coping and self-advocacy skills, mentorship, and realising the benefits of disclosure. Factors affecting the process and timing of disability disclosure in PSE included the type of disability, and mode of disclosure. There was a lack of consensus on the timing of disclosure.","container-title":"International Journal of Disability, Development and Education","DOI":"10.1080/1034912X.2018.1430352","ISSN":"1034-912X, 1465-346X","journalAbbreviation":"International Journal of Disability, Development and Education","language":"en","page":"1-31","source":"DOI.org (Crossref)","title":"A Systematic Review of Barriers and Facilitators of Disability Disclosure and Accommodations for Youth in Post-Secondary Education","author":[{"family":"Lindsay","given":"Sally"},{"family":"Cagliostro","given":"Elaine"},{"family":"Carafa","given":"Gabriella"}],"issued":{"date-parts":[["2018",2,18]]}}}],"schema":"https://github.com/citation-style-language/schema/raw/master/csl-citation.json"} </w:instrText>
      </w:r>
      <w:r w:rsidRPr="00B26E14">
        <w:fldChar w:fldCharType="separate"/>
      </w:r>
      <w:r w:rsidRPr="00B26E14">
        <w:t xml:space="preserve">(Fournier et al., 2020). </w:t>
      </w:r>
      <w:r w:rsidRPr="00B26E14">
        <w:fldChar w:fldCharType="end"/>
      </w:r>
    </w:p>
    <w:p w14:paraId="22C85E82" w14:textId="7D084224" w:rsidR="007E0117" w:rsidRPr="00334FA3" w:rsidRDefault="007B5361" w:rsidP="007E0117">
      <w:pPr>
        <w:pStyle w:val="Corpsdetexte"/>
        <w:rPr>
          <w:rFonts w:cs="Times New Roman"/>
          <w:color w:val="000000" w:themeColor="text1"/>
        </w:rPr>
      </w:pPr>
      <w:r>
        <w:rPr>
          <w:rFonts w:cs="Times New Roman"/>
          <w:color w:val="000000" w:themeColor="text1"/>
          <w:spacing w:val="-2"/>
          <w:w w:val="105"/>
        </w:rPr>
        <w:t xml:space="preserve">L’adaptation des </w:t>
      </w:r>
      <w:r w:rsidRPr="00334FA3">
        <w:rPr>
          <w:rFonts w:cs="Times New Roman"/>
          <w:color w:val="000000" w:themeColor="text1"/>
          <w:spacing w:val="-2"/>
          <w:w w:val="105"/>
        </w:rPr>
        <w:t xml:space="preserve">conditions </w:t>
      </w:r>
      <w:r w:rsidRPr="00334FA3">
        <w:rPr>
          <w:rFonts w:cs="Times New Roman"/>
          <w:color w:val="000000" w:themeColor="text1"/>
          <w:w w:val="105"/>
        </w:rPr>
        <w:t>d</w:t>
      </w:r>
      <w:r>
        <w:rPr>
          <w:rFonts w:cs="Times New Roman"/>
          <w:color w:val="000000" w:themeColor="text1"/>
          <w:w w:val="105"/>
        </w:rPr>
        <w:t>’</w:t>
      </w:r>
      <w:r w:rsidRPr="00334FA3">
        <w:rPr>
          <w:rFonts w:cs="Times New Roman"/>
          <w:color w:val="000000" w:themeColor="text1"/>
          <w:w w:val="105"/>
        </w:rPr>
        <w:t>étude et d</w:t>
      </w:r>
      <w:r>
        <w:rPr>
          <w:rFonts w:cs="Times New Roman"/>
          <w:color w:val="000000" w:themeColor="text1"/>
          <w:w w:val="105"/>
        </w:rPr>
        <w:t>’</w:t>
      </w:r>
      <w:r w:rsidRPr="00334FA3">
        <w:rPr>
          <w:rFonts w:cs="Times New Roman"/>
          <w:color w:val="000000" w:themeColor="text1"/>
          <w:w w:val="105"/>
        </w:rPr>
        <w:t>examen est un moyen pour les universités d</w:t>
      </w:r>
      <w:r>
        <w:rPr>
          <w:rFonts w:cs="Times New Roman"/>
          <w:color w:val="000000" w:themeColor="text1"/>
          <w:w w:val="105"/>
        </w:rPr>
        <w:t>’</w:t>
      </w:r>
      <w:r w:rsidRPr="00334FA3">
        <w:rPr>
          <w:rFonts w:cs="Times New Roman"/>
          <w:color w:val="000000" w:themeColor="text1"/>
          <w:w w:val="105"/>
        </w:rPr>
        <w:t>offrir une compensation des inégalités permettant</w:t>
      </w:r>
      <w:r w:rsidRPr="00334FA3">
        <w:rPr>
          <w:rFonts w:cs="Times New Roman"/>
          <w:color w:val="000000" w:themeColor="text1"/>
          <w:spacing w:val="-3"/>
          <w:w w:val="105"/>
        </w:rPr>
        <w:t xml:space="preserve"> </w:t>
      </w:r>
      <w:r w:rsidRPr="00334FA3">
        <w:rPr>
          <w:rFonts w:cs="Times New Roman"/>
          <w:color w:val="000000" w:themeColor="text1"/>
          <w:w w:val="105"/>
        </w:rPr>
        <w:t>de</w:t>
      </w:r>
      <w:r w:rsidRPr="00334FA3">
        <w:rPr>
          <w:rFonts w:cs="Times New Roman"/>
          <w:color w:val="000000" w:themeColor="text1"/>
          <w:spacing w:val="-3"/>
          <w:w w:val="105"/>
        </w:rPr>
        <w:t xml:space="preserve"> </w:t>
      </w:r>
      <w:r w:rsidRPr="00334FA3">
        <w:rPr>
          <w:rFonts w:cs="Times New Roman"/>
          <w:color w:val="000000" w:themeColor="text1"/>
          <w:w w:val="105"/>
        </w:rPr>
        <w:t>pallier</w:t>
      </w:r>
      <w:r w:rsidRPr="00334FA3">
        <w:rPr>
          <w:rFonts w:cs="Times New Roman"/>
          <w:color w:val="000000" w:themeColor="text1"/>
          <w:spacing w:val="-3"/>
          <w:w w:val="105"/>
        </w:rPr>
        <w:t xml:space="preserve"> </w:t>
      </w:r>
      <w:r>
        <w:rPr>
          <w:rFonts w:cs="Times New Roman"/>
          <w:color w:val="000000" w:themeColor="text1"/>
          <w:w w:val="105"/>
        </w:rPr>
        <w:t>les</w:t>
      </w:r>
      <w:r w:rsidRPr="00334FA3">
        <w:rPr>
          <w:rFonts w:cs="Times New Roman"/>
          <w:color w:val="000000" w:themeColor="text1"/>
          <w:spacing w:val="-3"/>
          <w:w w:val="105"/>
        </w:rPr>
        <w:t xml:space="preserve"> </w:t>
      </w:r>
      <w:r w:rsidRPr="00334FA3">
        <w:rPr>
          <w:rFonts w:cs="Times New Roman"/>
          <w:color w:val="000000" w:themeColor="text1"/>
          <w:w w:val="105"/>
        </w:rPr>
        <w:t>difficultés</w:t>
      </w:r>
      <w:r w:rsidRPr="00334FA3">
        <w:rPr>
          <w:rFonts w:cs="Times New Roman"/>
          <w:color w:val="000000" w:themeColor="text1"/>
          <w:spacing w:val="-3"/>
          <w:w w:val="105"/>
        </w:rPr>
        <w:t xml:space="preserve"> </w:t>
      </w:r>
      <w:r w:rsidRPr="00334FA3">
        <w:rPr>
          <w:rFonts w:cs="Times New Roman"/>
          <w:color w:val="000000" w:themeColor="text1"/>
          <w:w w:val="105"/>
        </w:rPr>
        <w:t>rencontrées</w:t>
      </w:r>
      <w:r w:rsidRPr="00334FA3">
        <w:rPr>
          <w:rFonts w:cs="Times New Roman"/>
          <w:color w:val="000000" w:themeColor="text1"/>
          <w:spacing w:val="-3"/>
          <w:w w:val="105"/>
        </w:rPr>
        <w:t xml:space="preserve"> </w:t>
      </w:r>
      <w:r w:rsidRPr="00334FA3">
        <w:rPr>
          <w:rFonts w:cs="Times New Roman"/>
          <w:color w:val="000000" w:themeColor="text1"/>
          <w:w w:val="105"/>
        </w:rPr>
        <w:t xml:space="preserve">en lien avec le trouble présenté </w:t>
      </w:r>
      <w:r w:rsidRPr="00334FA3">
        <w:rPr>
          <w:rFonts w:cs="Times New Roman"/>
          <w:color w:val="000000" w:themeColor="text1"/>
          <w:w w:val="105"/>
        </w:rPr>
        <w:fldChar w:fldCharType="begin"/>
      </w:r>
      <w:r w:rsidRPr="00334FA3">
        <w:rPr>
          <w:rFonts w:cs="Times New Roman"/>
          <w:color w:val="000000" w:themeColor="text1"/>
          <w:w w:val="105"/>
        </w:rPr>
        <w:instrText xml:space="preserve"> ADDIN ZOTERO_ITEM CSL_CITATION {"citationID":"xYTFV3P5","properties":{"formattedCitation":"(Ayer &amp; Fondation Centre suisse de p\\uc0\\u233{}dagogie sp\\uc0\\u233{}cialis\\uc0\\u233{}e, 2021; R\\uc0\\u233{}seau \\uc0\\u201{}tudes et handicap Suisse, 2019)","plainCitation":"(Ayer &amp; Fondation Centre suisse de pédagogie spécialisée, 2021; Réseau Études et handicap Suisse, 2019)","noteIndex":0},"citationItems":[{"id":9000,"uris":["http://zotero.org/groups/4701646/items/J846V3G9"],"itemData":{"id":9000,"type":"report","title":"Trouble du déficit de l’attention avec ou sans hyperactivité à l’école régulière : Informations à l’intention du corps enseignant sur le trouble, les mesures de différenciation pédagogiques et la compensation des désavantages","URL":"https://edudoc.ch/record/130165?ln=fr","author":[{"family":"Ayer","given":"G."},{"family":"Fondation Centre suisse de pédagogie spécialisée","given":""}],"issued":{"date-parts":[["2021"]]}}},{"id":8620,"uris":["http://zotero.org/groups/4701646/items/JIM2PR6S"],"itemData":{"id":8620,"type":"report","title":"Compensation du handicap dans le cadre des études : Guide à l'intention des hautes écoles","URL":"https://www.swissuniability.ch/index.cfm?action=act_getfile&amp;doc_id=100021&amp;spr=fr","author":[{"family":"Réseau Études et handicap Suisse","given":""}],"issued":{"date-parts":[["2019"]]}}}],"schema":"https://github.com/citation-style-language/schema/raw/master/csl-citation.json"} </w:instrText>
      </w:r>
      <w:r w:rsidRPr="00334FA3">
        <w:rPr>
          <w:rFonts w:cs="Times New Roman"/>
          <w:color w:val="000000" w:themeColor="text1"/>
          <w:w w:val="105"/>
        </w:rPr>
        <w:fldChar w:fldCharType="separate"/>
      </w:r>
      <w:r w:rsidRPr="00334FA3">
        <w:rPr>
          <w:rFonts w:cs="Times New Roman"/>
          <w:color w:val="000000" w:themeColor="text1"/>
        </w:rPr>
        <w:t>(Ayer, 2021; Réseau Études et handicap Suisse, 2019)</w:t>
      </w:r>
      <w:r w:rsidRPr="00334FA3">
        <w:rPr>
          <w:rFonts w:cs="Times New Roman"/>
          <w:color w:val="000000" w:themeColor="text1"/>
          <w:w w:val="105"/>
        </w:rPr>
        <w:fldChar w:fldCharType="end"/>
      </w:r>
      <w:r w:rsidRPr="00334FA3">
        <w:rPr>
          <w:rFonts w:cs="Times New Roman"/>
          <w:color w:val="000000" w:themeColor="text1"/>
          <w:w w:val="105"/>
        </w:rPr>
        <w:t>.</w:t>
      </w:r>
      <w:r w:rsidRPr="00334FA3">
        <w:rPr>
          <w:rFonts w:cs="Times New Roman"/>
          <w:color w:val="000000" w:themeColor="text1"/>
        </w:rPr>
        <w:t xml:space="preserve"> </w:t>
      </w:r>
      <w:r>
        <w:rPr>
          <w:rFonts w:cs="Times New Roman"/>
          <w:color w:val="000000" w:themeColor="text1"/>
        </w:rPr>
        <w:t>À ce jour, l</w:t>
      </w:r>
      <w:r w:rsidRPr="00334FA3">
        <w:rPr>
          <w:rFonts w:cs="Times New Roman"/>
          <w:color w:val="000000" w:themeColor="text1"/>
        </w:rPr>
        <w:t xml:space="preserve">a majorité des études portent sur des </w:t>
      </w:r>
      <w:r>
        <w:rPr>
          <w:rFonts w:cs="Times New Roman"/>
          <w:color w:val="000000" w:themeColor="text1"/>
        </w:rPr>
        <w:t>u</w:t>
      </w:r>
      <w:r w:rsidRPr="00334FA3">
        <w:rPr>
          <w:rFonts w:cs="Times New Roman"/>
          <w:color w:val="000000" w:themeColor="text1"/>
        </w:rPr>
        <w:t xml:space="preserve">niversités aux </w:t>
      </w:r>
      <w:r>
        <w:rPr>
          <w:rFonts w:cs="Times New Roman"/>
          <w:color w:val="000000" w:themeColor="text1"/>
        </w:rPr>
        <w:t>É</w:t>
      </w:r>
      <w:r w:rsidRPr="00334FA3">
        <w:rPr>
          <w:rFonts w:cs="Times New Roman"/>
          <w:color w:val="000000" w:themeColor="text1"/>
        </w:rPr>
        <w:t xml:space="preserve">tats-Unis et montrent que les procédures d’octroi </w:t>
      </w:r>
      <w:r>
        <w:rPr>
          <w:rFonts w:cs="Times New Roman"/>
          <w:color w:val="000000" w:themeColor="text1"/>
        </w:rPr>
        <w:t>varient</w:t>
      </w:r>
      <w:r w:rsidRPr="00334FA3">
        <w:rPr>
          <w:rFonts w:cs="Times New Roman"/>
          <w:color w:val="000000" w:themeColor="text1"/>
        </w:rPr>
        <w:t xml:space="preserve"> selon les universités interrogées</w:t>
      </w:r>
      <w:r>
        <w:rPr>
          <w:rFonts w:cs="Times New Roman"/>
          <w:color w:val="000000" w:themeColor="text1"/>
        </w:rPr>
        <w:t xml:space="preserve"> </w:t>
      </w:r>
      <w:r w:rsidRPr="00334FA3">
        <w:rPr>
          <w:rFonts w:cs="Times New Roman"/>
          <w:color w:val="000000" w:themeColor="text1"/>
        </w:rPr>
        <w:t>(W</w:t>
      </w:r>
      <w:r>
        <w:rPr>
          <w:rFonts w:cs="Times New Roman"/>
          <w:color w:val="000000" w:themeColor="text1"/>
        </w:rPr>
        <w:t>eis</w:t>
      </w:r>
      <w:r w:rsidRPr="00334FA3">
        <w:rPr>
          <w:rFonts w:cs="Times New Roman"/>
          <w:color w:val="000000" w:themeColor="text1"/>
        </w:rPr>
        <w:t xml:space="preserve"> et al., 2022). Une récente étude </w:t>
      </w:r>
      <w:r w:rsidRPr="00334FA3">
        <w:rPr>
          <w:rFonts w:cs="Times New Roman"/>
          <w:color w:val="000000" w:themeColor="text1"/>
        </w:rPr>
        <w:lastRenderedPageBreak/>
        <w:t>examine les conditions d’a</w:t>
      </w:r>
      <w:r>
        <w:rPr>
          <w:rFonts w:cs="Times New Roman"/>
          <w:color w:val="000000" w:themeColor="text1"/>
        </w:rPr>
        <w:t>dmission</w:t>
      </w:r>
      <w:r w:rsidRPr="00334FA3">
        <w:rPr>
          <w:rFonts w:cs="Times New Roman"/>
          <w:color w:val="000000" w:themeColor="text1"/>
        </w:rPr>
        <w:t xml:space="preserve"> dans les </w:t>
      </w:r>
      <w:r>
        <w:rPr>
          <w:rFonts w:cs="Times New Roman"/>
          <w:color w:val="000000" w:themeColor="text1"/>
        </w:rPr>
        <w:t>u</w:t>
      </w:r>
      <w:r w:rsidRPr="00334FA3">
        <w:rPr>
          <w:rFonts w:cs="Times New Roman"/>
          <w:color w:val="000000" w:themeColor="text1"/>
        </w:rPr>
        <w:t xml:space="preserve">niversités </w:t>
      </w:r>
      <w:r w:rsidR="00D4043A">
        <w:rPr>
          <w:rFonts w:cs="Times New Roman"/>
          <w:color w:val="000000" w:themeColor="text1"/>
        </w:rPr>
        <w:t>e</w:t>
      </w:r>
      <w:r w:rsidRPr="00334FA3">
        <w:rPr>
          <w:rFonts w:cs="Times New Roman"/>
          <w:color w:val="000000" w:themeColor="text1"/>
        </w:rPr>
        <w:t>uropéennes (</w:t>
      </w:r>
      <w:proofErr w:type="spellStart"/>
      <w:r w:rsidRPr="00334FA3">
        <w:rPr>
          <w:rFonts w:cs="Times New Roman"/>
          <w:color w:val="000000" w:themeColor="text1"/>
        </w:rPr>
        <w:t>Krejtz</w:t>
      </w:r>
      <w:proofErr w:type="spellEnd"/>
      <w:r w:rsidRPr="00334FA3">
        <w:rPr>
          <w:rFonts w:cs="Times New Roman"/>
          <w:color w:val="000000" w:themeColor="text1"/>
        </w:rPr>
        <w:t xml:space="preserve"> et al., 2025). Les résultats montrent des différences importantes selon les pays. Les mesures de compensation des désavantages sont plus importantes et plus facilement visibles sur les sites </w:t>
      </w:r>
      <w:r>
        <w:rPr>
          <w:rFonts w:cs="Times New Roman"/>
          <w:color w:val="000000" w:themeColor="text1"/>
        </w:rPr>
        <w:t>web</w:t>
      </w:r>
      <w:r w:rsidRPr="00334FA3">
        <w:rPr>
          <w:rFonts w:cs="Times New Roman"/>
          <w:color w:val="000000" w:themeColor="text1"/>
        </w:rPr>
        <w:t xml:space="preserve"> des </w:t>
      </w:r>
      <w:r>
        <w:rPr>
          <w:rFonts w:cs="Times New Roman"/>
          <w:color w:val="000000" w:themeColor="text1"/>
        </w:rPr>
        <w:t>u</w:t>
      </w:r>
      <w:r w:rsidRPr="00334FA3">
        <w:rPr>
          <w:rFonts w:cs="Times New Roman"/>
          <w:color w:val="000000" w:themeColor="text1"/>
        </w:rPr>
        <w:t xml:space="preserve">niversités du nord de l’Europe, du Royaume-Uni et de l’Ireland. Une étude </w:t>
      </w:r>
      <w:r>
        <w:rPr>
          <w:rFonts w:cs="Times New Roman"/>
          <w:color w:val="000000" w:themeColor="text1"/>
        </w:rPr>
        <w:t xml:space="preserve">qui </w:t>
      </w:r>
      <w:r w:rsidRPr="00334FA3">
        <w:rPr>
          <w:rFonts w:cs="Times New Roman"/>
          <w:color w:val="000000" w:themeColor="text1"/>
        </w:rPr>
        <w:t>s’intéresse spécifiquement à l’Italie et</w:t>
      </w:r>
      <w:r>
        <w:rPr>
          <w:rFonts w:cs="Times New Roman"/>
          <w:color w:val="000000" w:themeColor="text1"/>
        </w:rPr>
        <w:t xml:space="preserve"> à</w:t>
      </w:r>
      <w:r w:rsidRPr="00334FA3">
        <w:rPr>
          <w:rFonts w:cs="Times New Roman"/>
          <w:color w:val="000000" w:themeColor="text1"/>
        </w:rPr>
        <w:t xml:space="preserve"> l’Espagne (Biagiotti et al, 2025)</w:t>
      </w:r>
      <w:r>
        <w:rPr>
          <w:rFonts w:cs="Times New Roman"/>
          <w:color w:val="000000" w:themeColor="text1"/>
        </w:rPr>
        <w:t xml:space="preserve"> relève</w:t>
      </w:r>
      <w:r w:rsidRPr="00334FA3">
        <w:rPr>
          <w:rFonts w:cs="Times New Roman"/>
          <w:color w:val="000000" w:themeColor="text1"/>
        </w:rPr>
        <w:t xml:space="preserve"> notamment que les services d’aides sont peu visibles. </w:t>
      </w:r>
      <w:r>
        <w:rPr>
          <w:rFonts w:cs="Times New Roman"/>
          <w:color w:val="000000" w:themeColor="text1"/>
        </w:rPr>
        <w:t>À</w:t>
      </w:r>
      <w:r w:rsidRPr="00334FA3">
        <w:rPr>
          <w:rFonts w:cs="Times New Roman"/>
          <w:color w:val="000000" w:themeColor="text1"/>
        </w:rPr>
        <w:t xml:space="preserve"> ce jour, peu d</w:t>
      </w:r>
      <w:r>
        <w:rPr>
          <w:rFonts w:cs="Times New Roman"/>
          <w:color w:val="000000" w:themeColor="text1"/>
        </w:rPr>
        <w:t>e recherches</w:t>
      </w:r>
      <w:r w:rsidRPr="00334FA3">
        <w:rPr>
          <w:rFonts w:cs="Times New Roman"/>
          <w:color w:val="000000" w:themeColor="text1"/>
        </w:rPr>
        <w:t xml:space="preserve"> ont </w:t>
      </w:r>
      <w:r>
        <w:rPr>
          <w:rFonts w:cs="Times New Roman"/>
          <w:color w:val="000000" w:themeColor="text1"/>
        </w:rPr>
        <w:t>étudié</w:t>
      </w:r>
      <w:r w:rsidRPr="00334FA3">
        <w:rPr>
          <w:rFonts w:cs="Times New Roman"/>
          <w:color w:val="000000" w:themeColor="text1"/>
        </w:rPr>
        <w:t xml:space="preserve"> les mesures de compensation mises en place spécifiquement</w:t>
      </w:r>
      <w:r w:rsidR="00545970">
        <w:rPr>
          <w:rFonts w:cs="Times New Roman"/>
          <w:color w:val="000000" w:themeColor="text1"/>
        </w:rPr>
        <w:t>.</w:t>
      </w:r>
      <w:r w:rsidRPr="00334FA3">
        <w:rPr>
          <w:rFonts w:cs="Times New Roman"/>
          <w:color w:val="000000" w:themeColor="text1"/>
        </w:rPr>
        <w:t xml:space="preserve"> </w:t>
      </w:r>
      <w:r w:rsidR="00244535" w:rsidRPr="00037AE3">
        <w:rPr>
          <w:noProof/>
        </w:rPr>
        <mc:AlternateContent>
          <mc:Choice Requires="wps">
            <w:drawing>
              <wp:anchor distT="45720" distB="45720" distL="46990" distR="46990" simplePos="0" relativeHeight="251658240" behindDoc="0" locked="0" layoutInCell="1" allowOverlap="0" wp14:anchorId="3D8BFB15" wp14:editId="2835E85E">
                <wp:simplePos x="0" y="0"/>
                <wp:positionH relativeFrom="column">
                  <wp:posOffset>-900430</wp:posOffset>
                </wp:positionH>
                <wp:positionV relativeFrom="paragraph">
                  <wp:posOffset>1216660</wp:posOffset>
                </wp:positionV>
                <wp:extent cx="5796000" cy="468000"/>
                <wp:effectExtent l="0" t="0" r="0" b="0"/>
                <wp:wrapTopAndBottom/>
                <wp:docPr id="209722546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000" cy="468000"/>
                        </a:xfrm>
                        <a:prstGeom prst="rect">
                          <a:avLst/>
                        </a:prstGeom>
                        <a:noFill/>
                        <a:ln w="9525">
                          <a:noFill/>
                          <a:miter lim="800000"/>
                          <a:headEnd/>
                          <a:tailEnd/>
                        </a:ln>
                      </wps:spPr>
                      <wps:txbx>
                        <w:txbxContent>
                          <w:p w14:paraId="5BE4A6E7" w14:textId="29A8C4EF" w:rsidR="007E0117" w:rsidRPr="00C51DBF" w:rsidRDefault="00C51DBF" w:rsidP="00FC1251">
                            <w:pPr>
                              <w:pStyle w:val="Hervorhebung1"/>
                              <w:jc w:val="both"/>
                            </w:pPr>
                            <w:r w:rsidRPr="00334FA3">
                              <w:t>L’accès aux mesures de compensation des désavantages est primordial pour penser l’inclusion des étudiant</w:t>
                            </w:r>
                            <w:r>
                              <w:t>es et étudiants</w:t>
                            </w:r>
                            <w:r w:rsidRPr="00334FA3">
                              <w:t xml:space="preserve"> présentant des besoins spécifiques à l’université</w:t>
                            </w:r>
                            <w:r>
                              <w:t>.</w:t>
                            </w:r>
                          </w:p>
                          <w:p w14:paraId="6DE3D87D" w14:textId="77777777" w:rsidR="007E0117" w:rsidRPr="0047168D" w:rsidRDefault="007E0117" w:rsidP="007E0117">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8BFB15" id="_x0000_t202" coordsize="21600,21600" o:spt="202" path="m,l,21600r21600,l21600,xe">
                <v:stroke joinstyle="miter"/>
                <v:path gradientshapeok="t" o:connecttype="rect"/>
              </v:shapetype>
              <v:shape id="Zone de texte 2" o:spid="_x0000_s1026" type="#_x0000_t202" alt="&quot;&quot;" style="position:absolute;left:0;text-align:left;margin-left:-70.9pt;margin-top:95.8pt;width:456.4pt;height:36.8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" o:allowoverlap="f" filled="f" stroked="f">
                <v:textbox inset="29mm,,2.5mm">
                  <w:txbxContent>
                    <w:p w14:paraId="5BE4A6E7" w14:textId="29A8C4EF" w:rsidR="007E0117" w:rsidRPr="00C51DBF" w:rsidRDefault="00C51DBF" w:rsidP="00FC1251">
                      <w:pPr>
                        <w:pStyle w:val="Hervorhebung1"/>
                        <w:jc w:val="both"/>
                      </w:pPr>
                      <w:r w:rsidRPr="00334FA3">
                        <w:t>L’accès aux mesures de compensation des désavantages est primordial pour penser l’inclusion des étudiant</w:t>
                      </w:r>
                      <w:r>
                        <w:t>es et étudiants</w:t>
                      </w:r>
                      <w:r w:rsidRPr="00334FA3">
                        <w:t xml:space="preserve"> présentant des besoins spécifiques à l’université</w:t>
                      </w:r>
                      <w:r>
                        <w:t>.</w:t>
                      </w:r>
                    </w:p>
                    <w:p w14:paraId="6DE3D87D" w14:textId="77777777" w:rsidR="007E0117" w:rsidRPr="0047168D" w:rsidRDefault="007E0117" w:rsidP="007E0117">
                      <w:pPr>
                        <w:pStyle w:val="Hervorhebung1"/>
                      </w:pPr>
                    </w:p>
                  </w:txbxContent>
                </v:textbox>
                <w10:wrap type="topAndBottom"/>
              </v:shape>
            </w:pict>
          </mc:Fallback>
        </mc:AlternateContent>
      </w:r>
      <w:proofErr w:type="gramStart"/>
      <w:r w:rsidRPr="00334FA3">
        <w:rPr>
          <w:rFonts w:cs="Times New Roman"/>
          <w:color w:val="000000" w:themeColor="text1"/>
        </w:rPr>
        <w:t>en</w:t>
      </w:r>
      <w:proofErr w:type="gramEnd"/>
      <w:r w:rsidRPr="00334FA3">
        <w:rPr>
          <w:rFonts w:cs="Times New Roman"/>
          <w:color w:val="000000" w:themeColor="text1"/>
        </w:rPr>
        <w:t xml:space="preserve"> Suisse au niveau universitaire.</w:t>
      </w:r>
    </w:p>
    <w:p w14:paraId="66B6533D" w14:textId="2FC8EA02" w:rsidR="00C6441E" w:rsidRPr="0008445F" w:rsidRDefault="007B5361" w:rsidP="00421ECB">
      <w:pPr>
        <w:pStyle w:val="Corpsdetexte"/>
        <w:ind w:firstLine="0"/>
      </w:pPr>
      <w:r w:rsidRPr="0008445F">
        <w:t xml:space="preserve">Face à ces constats, cet article examine les conditions d’étude et d’examen proposées aux étudiantes et étudiants présentant des besoins spécifiques dans les universités suisses romandes. Il s’agit de déterminer si les mesures de compensation des désavantages et les mesures d’octroi associées sont standardisées ou variables selon les universités. Pour répondre à cette problématique, les questions suivantes sont examinées : </w:t>
      </w:r>
      <w:r w:rsidR="00545970" w:rsidRPr="0008445F">
        <w:t>q</w:t>
      </w:r>
      <w:r w:rsidRPr="0008445F">
        <w:t>uels sont les troubles pris en compte ? Comment fonctionnent les organismes décisionnels ? Comment sont prises les décisions d’octroi et quelle est la durée de validité associée ? Quelles sont les mesures de compensation des désavantages proposées ? Comment le corps enseignant est-il informé des mesures proposées ? Des retours sont-ils demandés au corps enseignant et aux étudiantes et étudiants afin d’améliorer les mesures et les procédures ? Ces questionnements sont abordés en fonction des démarches proposées par trois universités romandes</w:t>
      </w:r>
      <w:r w:rsidR="00C6441E" w:rsidRPr="0008445F">
        <w:t>.</w:t>
      </w:r>
    </w:p>
    <w:p w14:paraId="665E593A" w14:textId="214D695A" w:rsidR="00E24449" w:rsidRDefault="00E24449" w:rsidP="00E24449">
      <w:pPr>
        <w:pStyle w:val="Titre1"/>
      </w:pPr>
      <w:r>
        <w:t>Méthode</w:t>
      </w:r>
    </w:p>
    <w:p w14:paraId="052C65A8" w14:textId="060B7C6D" w:rsidR="009F69D8" w:rsidRPr="0008445F" w:rsidRDefault="00020DA6" w:rsidP="00CC0188">
      <w:pPr>
        <w:pStyle w:val="Corpsdetexte"/>
        <w:ind w:firstLine="0"/>
      </w:pPr>
      <w:r w:rsidRPr="0008445F">
        <w:t>Une approche qualitative a été utilisée. Trois entretiens semi-directifs ont été effectués auprès de trois universités suisses romandes. Une quatrième université a été contactée</w:t>
      </w:r>
      <w:r w:rsidR="00545970" w:rsidRPr="0008445F">
        <w:t>,</w:t>
      </w:r>
      <w:r w:rsidRPr="0008445F">
        <w:t xml:space="preserve"> mais n’a pas donné suite à la demande. Les trois universités participantes proposent toutes des offres d’études complètes, des formations à tous les niveaux et accueillent entre 10</w:t>
      </w:r>
      <w:r w:rsidR="00244535" w:rsidRPr="0008445F">
        <w:t> </w:t>
      </w:r>
      <w:r w:rsidRPr="0008445F">
        <w:t>000 et 18</w:t>
      </w:r>
      <w:r w:rsidR="00244535" w:rsidRPr="0008445F">
        <w:t> </w:t>
      </w:r>
      <w:r w:rsidRPr="0008445F">
        <w:t>000</w:t>
      </w:r>
      <w:r w:rsidR="002D77EA" w:rsidRPr="0008445F">
        <w:t> </w:t>
      </w:r>
      <w:r w:rsidRPr="0008445F">
        <w:t xml:space="preserve">étudiantes et étudiants. Au total, quatre personnes chargées de la gestion des mesures d’aménagements ont été interviewées en 2022 par une étudiante de master en psychologie sous la supervision d’enseignantes et enseignants universitaires. Un entretien a été réalisé auprès de deux personnes conjointement pour une même université. Un formulaire de consentement a été signé par les personnes interrogées. </w:t>
      </w:r>
    </w:p>
    <w:p w14:paraId="7FAB0B6B" w14:textId="16925C9A" w:rsidR="0081500B" w:rsidRPr="0008445F" w:rsidRDefault="00020DA6" w:rsidP="0008445F">
      <w:pPr>
        <w:pStyle w:val="Corpsdetexte"/>
      </w:pPr>
      <w:r w:rsidRPr="0008445F">
        <w:t>La grille utilisée pour les entretiens cible</w:t>
      </w:r>
      <w:r w:rsidR="00C44E61" w:rsidRPr="0008445F">
        <w:t> </w:t>
      </w:r>
      <w:r w:rsidRPr="0008445F">
        <w:t>:</w:t>
      </w:r>
      <w:r w:rsidR="000C28F0" w:rsidRPr="0008445F">
        <w:t xml:space="preserve"> </w:t>
      </w:r>
      <w:r w:rsidRPr="0008445F">
        <w:t xml:space="preserve">(1) la liste des troubles pris en compte pour les aménagements, (2) le fonctionnement des organismes décisionnels, (3) la procédure d’octroi et la durée associée, (4) les aménagements proposés, (5) la manière d’informer le corps enseignant et (6) les retours reçus par le corps étudiant et le corps enseignant. Une analyse thématique de contenu a été réalisée par deux personnes indépendamment afin d’analyser les retranscriptions des entretiens et d’assurer une fidélité </w:t>
      </w:r>
      <w:proofErr w:type="spellStart"/>
      <w:r w:rsidRPr="0008445F">
        <w:t>interjuge</w:t>
      </w:r>
      <w:proofErr w:type="spellEnd"/>
      <w:r w:rsidRPr="0008445F">
        <w:t>. Les informations disponibles sur les sites internet des trois universités ont également été utilisées. Les principaux résultats issus de ces analyses sont présentés ci-dessous en référence à la grille des entretiens. Les universités ont été numérotées de 1 à 3 pour faciliter la comparaison des résultats.</w:t>
      </w:r>
    </w:p>
    <w:p w14:paraId="5AEA39C0" w14:textId="1AF9A91E" w:rsidR="00C6441E" w:rsidRPr="00080CA5" w:rsidRDefault="00840005" w:rsidP="00080CA5">
      <w:pPr>
        <w:pStyle w:val="Titre1"/>
      </w:pPr>
      <w:r>
        <w:t>Résultats et d</w:t>
      </w:r>
      <w:r w:rsidR="005302D4">
        <w:t>iscussions</w:t>
      </w:r>
    </w:p>
    <w:bookmarkEnd w:id="1"/>
    <w:p w14:paraId="6FB92BED" w14:textId="386C4A44" w:rsidR="00A543D6" w:rsidRPr="00855097" w:rsidRDefault="00497B14" w:rsidP="00855097">
      <w:pPr>
        <w:pStyle w:val="Titre2"/>
      </w:pPr>
      <w:r>
        <w:t>La liste des troubles pris en compte pour les aménagements</w:t>
      </w:r>
    </w:p>
    <w:p w14:paraId="2DD714B1" w14:textId="11520C92" w:rsidR="001161D6" w:rsidRPr="0008445F" w:rsidRDefault="00BF2D48" w:rsidP="00CC0188">
      <w:pPr>
        <w:pStyle w:val="Corpsdetexte"/>
        <w:ind w:firstLine="0"/>
      </w:pPr>
      <w:r w:rsidRPr="0008445F">
        <w:rPr>
          <w:rStyle w:val="CorpsdetexteCar"/>
        </w:rPr>
        <w:t xml:space="preserve">Les résultats des entretiens montrent que la liste des troubles pris en compte varie selon les trois universités. Les universités 2 et 3 ne possèdent pas de liste alors que l’université 1 propose une liste de classification des troubles et </w:t>
      </w:r>
      <w:proofErr w:type="gramStart"/>
      <w:r w:rsidRPr="0008445F">
        <w:rPr>
          <w:rStyle w:val="CorpsdetexteCar"/>
        </w:rPr>
        <w:t>des handicaps organisée</w:t>
      </w:r>
      <w:proofErr w:type="gramEnd"/>
      <w:r w:rsidRPr="0008445F">
        <w:rPr>
          <w:rStyle w:val="CorpsdetexteCar"/>
        </w:rPr>
        <w:t xml:space="preserve"> en six catégories, qui sont les suivantes : « handicap de la vue », « handicap de l’ouïe », « handicap physique », « handicap psychique », « maladies chroniques », et « autres ». La catégorie « autres » comprend tous les troubles et handicaps ne pouvant être classés dans une des autres catégories, notamment le trouble </w:t>
      </w:r>
      <w:r w:rsidRPr="0008445F">
        <w:rPr>
          <w:rStyle w:val="CorpsdetexteCar"/>
        </w:rPr>
        <w:lastRenderedPageBreak/>
        <w:t>du déficit de l’attention avec ou sans hyperactivité (TDA/H), les troubles des apprentissages (TA) et le trouble du spectre de l’autisme (TSA).</w:t>
      </w:r>
    </w:p>
    <w:p w14:paraId="75D96462" w14:textId="334A630B" w:rsidR="00501347" w:rsidRPr="00855097" w:rsidRDefault="00497B14" w:rsidP="00501347">
      <w:pPr>
        <w:pStyle w:val="Titre2"/>
      </w:pPr>
      <w:r>
        <w:t>Le fonctionnement des organismes décisionnels</w:t>
      </w:r>
    </w:p>
    <w:p w14:paraId="4B18413F" w14:textId="504BC8A7" w:rsidR="0081500B" w:rsidRPr="00334FA3" w:rsidRDefault="002A3283" w:rsidP="000A7E03">
      <w:pPr>
        <w:pStyle w:val="Corpsdetexte"/>
        <w:ind w:firstLine="0"/>
        <w:rPr>
          <w:rFonts w:cs="Times New Roman"/>
          <w:color w:val="000000" w:themeColor="text1"/>
        </w:rPr>
      </w:pPr>
      <w:r w:rsidRPr="0008445F">
        <w:rPr>
          <w:noProof/>
        </w:rPr>
        <mc:AlternateContent>
          <mc:Choice Requires="wps">
            <w:drawing>
              <wp:anchor distT="45720" distB="45720" distL="46990" distR="46990" simplePos="0" relativeHeight="251658241" behindDoc="0" locked="0" layoutInCell="1" allowOverlap="0" wp14:anchorId="63DC0F79" wp14:editId="625286D8">
                <wp:simplePos x="0" y="0"/>
                <wp:positionH relativeFrom="column">
                  <wp:posOffset>-900430</wp:posOffset>
                </wp:positionH>
                <wp:positionV relativeFrom="paragraph">
                  <wp:posOffset>1621790</wp:posOffset>
                </wp:positionV>
                <wp:extent cx="5744210" cy="675640"/>
                <wp:effectExtent l="0" t="0" r="0" b="0"/>
                <wp:wrapTopAndBottom/>
                <wp:docPr id="194849249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675640"/>
                        </a:xfrm>
                        <a:prstGeom prst="rect">
                          <a:avLst/>
                        </a:prstGeom>
                        <a:noFill/>
                        <a:ln w="9525">
                          <a:noFill/>
                          <a:miter lim="800000"/>
                          <a:headEnd/>
                          <a:tailEnd/>
                        </a:ln>
                      </wps:spPr>
                      <wps:txbx>
                        <w:txbxContent>
                          <w:p w14:paraId="301DEAB3" w14:textId="1E3EC360" w:rsidR="0081500B" w:rsidRPr="0047168D" w:rsidRDefault="00B07057" w:rsidP="000A7E03">
                            <w:pPr>
                              <w:pStyle w:val="Hervorhebung1"/>
                              <w:jc w:val="both"/>
                            </w:pPr>
                            <w:r w:rsidRPr="00B07057">
                              <w:t>Les résultats ont montré que le fonctionnement</w:t>
                            </w:r>
                            <w:r w:rsidR="007D3638">
                              <w:t xml:space="preserve"> </w:t>
                            </w:r>
                            <w:r w:rsidRPr="00B07057">
                              <w:t>des</w:t>
                            </w:r>
                            <w:r w:rsidR="00D77BAD">
                              <w:t xml:space="preserve"> </w:t>
                            </w:r>
                            <w:r w:rsidRPr="00B07057">
                              <w:t>organismes décisionnels change selon les universités.</w:t>
                            </w:r>
                            <w:r w:rsidR="00EE7708">
                              <w:t xml:space="preserve"> […] </w:t>
                            </w:r>
                            <w:r w:rsidR="00EE7708" w:rsidRPr="00EE7708">
                              <w:t>La composition des organismes décisionnels est variable entre les trois universités, ce qui impacte la décision d’octroi des aménagements</w:t>
                            </w:r>
                            <w:r w:rsidR="00EE7708">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C0F79" id="_x0000_s1027" type="#_x0000_t202" alt="&quot;&quot;" style="position:absolute;left:0;text-align:left;margin-left:-70.9pt;margin-top:127.7pt;width:452.3pt;height:53.2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" o:allowoverlap="f" filled="f" stroked="f">
                <v:textbox inset="29mm,,2.5mm">
                  <w:txbxContent>
                    <w:p w14:paraId="301DEAB3" w14:textId="1E3EC360" w:rsidR="0081500B" w:rsidRPr="0047168D" w:rsidRDefault="00B07057" w:rsidP="000A7E03">
                      <w:pPr>
                        <w:pStyle w:val="Hervorhebung1"/>
                        <w:jc w:val="both"/>
                      </w:pPr>
                      <w:r w:rsidRPr="00B07057">
                        <w:t>Les résultats ont montré que le fonctionnement</w:t>
                      </w:r>
                      <w:r w:rsidR="007D3638">
                        <w:t xml:space="preserve"> </w:t>
                      </w:r>
                      <w:r w:rsidRPr="00B07057">
                        <w:t>des</w:t>
                      </w:r>
                      <w:r w:rsidR="00D77BAD">
                        <w:t xml:space="preserve"> </w:t>
                      </w:r>
                      <w:r w:rsidRPr="00B07057">
                        <w:t>organismes décisionnels change selon les universités.</w:t>
                      </w:r>
                      <w:r w:rsidR="00EE7708">
                        <w:t xml:space="preserve"> […] </w:t>
                      </w:r>
                      <w:r w:rsidR="00EE7708" w:rsidRPr="00EE7708">
                        <w:t>La composition des organismes décisionnels est variable entre les trois universités, ce qui impacte la décision d’octroi des aménagements</w:t>
                      </w:r>
                      <w:r w:rsidR="00EE7708">
                        <w:t xml:space="preserve">. </w:t>
                      </w:r>
                    </w:p>
                  </w:txbxContent>
                </v:textbox>
                <w10:wrap type="topAndBottom"/>
              </v:shape>
            </w:pict>
          </mc:Fallback>
        </mc:AlternateContent>
      </w:r>
      <w:r w:rsidR="00132543" w:rsidRPr="0008445F">
        <w:t>Les résultats ont montré que le fonctionnement des organismes décisionnels change selon les universités. En effet, dans l’université 1, une personne de la direction universitaire répond aux questions générales sur le handicap, tandis qu’une personne de l’administration facultaire est responsable des aménagements spécifiques. De plus, trois membres du personnel administratif constituent une cellule responsable de la gestion des certificats médicaux. Enfin, cette cellule constituant l’organisme décisionnel est rejointe par une ou un médecin de conseil et/ou un ou une autre prestataire de santé professionnel. Ce sont les facultés qui prennent les décisions pour l’octroi des aménagements. Cependant, si celles-ci n’arrivent pas à statuer sur un cas, elles peuvent demander de l’aide à l’organisme décisionnel, qui est toujours averti de toute décision prise</w:t>
      </w:r>
      <w:r w:rsidR="00132543" w:rsidRPr="00334FA3">
        <w:rPr>
          <w:rFonts w:cs="Times New Roman"/>
          <w:color w:val="000000" w:themeColor="text1"/>
        </w:rPr>
        <w:t>.</w:t>
      </w:r>
    </w:p>
    <w:p w14:paraId="2D1FA1CE" w14:textId="24143EF5" w:rsidR="00132543" w:rsidRPr="0008445F" w:rsidRDefault="00132543" w:rsidP="0008445F">
      <w:pPr>
        <w:pStyle w:val="Corpsdetexte"/>
        <w:ind w:firstLine="0"/>
      </w:pPr>
      <w:r w:rsidRPr="0008445F">
        <w:t>Dans l’université 2, l’organisme décisionnel comprend six membres, soit la présidente ou le président, une ou un responsable de la santé, une ou un médecin, une ou un responsable de la consultation logopédique, une ou un responsable au sein de l’université et deux spécialistes externes. Toutes les demandes de l’université sont centralisées par cet organisme qui octroie les aménagements.</w:t>
      </w:r>
    </w:p>
    <w:p w14:paraId="318F172E" w14:textId="79809D0C" w:rsidR="00132543" w:rsidRPr="00334FA3" w:rsidRDefault="00132543" w:rsidP="0008445F">
      <w:pPr>
        <w:pStyle w:val="Corpsdetexte"/>
      </w:pPr>
      <w:r w:rsidRPr="0008445F">
        <w:t>Dans l’université 3, une personne s’occupe des questions en lien avec les étudiantes et étudiants en situation de handicap. Cette personne se charge, entre autres, de conseils individualisés avant l’octroi ou non des aménagements. Ce sont les facultés qui octroient les aménagements pour</w:t>
      </w:r>
      <w:r w:rsidRPr="00334FA3">
        <w:t xml:space="preserve"> les </w:t>
      </w:r>
      <w:r>
        <w:t>personnes concernées</w:t>
      </w:r>
      <w:r w:rsidRPr="00334FA3">
        <w:t xml:space="preserve">. </w:t>
      </w:r>
      <w:r>
        <w:t>Si nécessaire, d</w:t>
      </w:r>
      <w:r w:rsidRPr="00334FA3">
        <w:t xml:space="preserve">es </w:t>
      </w:r>
      <w:r>
        <w:t>spécialistes</w:t>
      </w:r>
      <w:r w:rsidRPr="00334FA3">
        <w:t xml:space="preserve"> </w:t>
      </w:r>
      <w:r>
        <w:t>peuvent</w:t>
      </w:r>
      <w:r w:rsidRPr="00334FA3">
        <w:t xml:space="preserve"> aussi </w:t>
      </w:r>
      <w:r>
        <w:t xml:space="preserve">être </w:t>
      </w:r>
      <w:r w:rsidRPr="00334FA3">
        <w:t xml:space="preserve">contactés. </w:t>
      </w:r>
    </w:p>
    <w:p w14:paraId="2FECE981" w14:textId="3C2175D5" w:rsidR="00501347" w:rsidRPr="00132543" w:rsidRDefault="00132543" w:rsidP="00132543">
      <w:pPr>
        <w:pStyle w:val="Corpsdetexte"/>
        <w:rPr>
          <w:rFonts w:cs="Times New Roman"/>
          <w:color w:val="000000" w:themeColor="text1"/>
        </w:rPr>
      </w:pPr>
      <w:r w:rsidRPr="00334FA3">
        <w:rPr>
          <w:rFonts w:cs="Times New Roman"/>
          <w:color w:val="000000" w:themeColor="text1"/>
        </w:rPr>
        <w:t xml:space="preserve">La composition des organismes décisionnels est variable </w:t>
      </w:r>
      <w:r>
        <w:rPr>
          <w:rFonts w:cs="Times New Roman"/>
          <w:color w:val="000000" w:themeColor="text1"/>
        </w:rPr>
        <w:t>entre</w:t>
      </w:r>
      <w:r w:rsidRPr="00334FA3">
        <w:rPr>
          <w:rFonts w:cs="Times New Roman"/>
          <w:color w:val="000000" w:themeColor="text1"/>
        </w:rPr>
        <w:t xml:space="preserve"> les trois universités</w:t>
      </w:r>
      <w:r>
        <w:rPr>
          <w:rFonts w:cs="Times New Roman"/>
          <w:color w:val="000000" w:themeColor="text1"/>
        </w:rPr>
        <w:t>,</w:t>
      </w:r>
      <w:r w:rsidRPr="00334FA3">
        <w:rPr>
          <w:rFonts w:cs="Times New Roman"/>
          <w:color w:val="000000" w:themeColor="text1"/>
        </w:rPr>
        <w:t xml:space="preserve"> ce qui impacte la décision d’octroi</w:t>
      </w:r>
      <w:r>
        <w:rPr>
          <w:rFonts w:cs="Times New Roman"/>
          <w:color w:val="000000" w:themeColor="text1"/>
        </w:rPr>
        <w:t xml:space="preserve"> des aménagements</w:t>
      </w:r>
      <w:r w:rsidRPr="00334FA3">
        <w:rPr>
          <w:rFonts w:cs="Times New Roman"/>
          <w:color w:val="000000" w:themeColor="text1"/>
        </w:rPr>
        <w:t xml:space="preserve">. Il est à noter que des </w:t>
      </w:r>
      <w:r>
        <w:rPr>
          <w:rFonts w:cs="Times New Roman"/>
          <w:color w:val="000000" w:themeColor="text1"/>
        </w:rPr>
        <w:t>spécialistes</w:t>
      </w:r>
      <w:r w:rsidRPr="00334FA3">
        <w:rPr>
          <w:rFonts w:cs="Times New Roman"/>
          <w:color w:val="000000" w:themeColor="text1"/>
        </w:rPr>
        <w:t xml:space="preserve"> formés aux troubles justifiant l’octroi de mesures de compensation </w:t>
      </w:r>
      <w:r>
        <w:rPr>
          <w:rFonts w:cs="Times New Roman"/>
          <w:color w:val="000000" w:themeColor="text1"/>
        </w:rPr>
        <w:t xml:space="preserve">des désavantages </w:t>
      </w:r>
      <w:r w:rsidRPr="00334FA3">
        <w:rPr>
          <w:rFonts w:cs="Times New Roman"/>
          <w:color w:val="000000" w:themeColor="text1"/>
        </w:rPr>
        <w:t>ne sont pas systématiquement présents.</w:t>
      </w:r>
    </w:p>
    <w:p w14:paraId="19F7AAE3" w14:textId="4B58DA96" w:rsidR="00447198" w:rsidRPr="00855097" w:rsidRDefault="00497B14" w:rsidP="00447198">
      <w:pPr>
        <w:pStyle w:val="Titre2"/>
      </w:pPr>
      <w:r>
        <w:t>La procéd</w:t>
      </w:r>
      <w:r w:rsidR="00AA2610">
        <w:t>ure d’octroi et la durée associée</w:t>
      </w:r>
    </w:p>
    <w:p w14:paraId="7C82E915" w14:textId="77777777" w:rsidR="002A3283" w:rsidRDefault="008D4BB7" w:rsidP="001A57EB">
      <w:pPr>
        <w:pStyle w:val="Corpsdetexte"/>
        <w:ind w:firstLine="0"/>
      </w:pPr>
      <w:r w:rsidRPr="00334FA3">
        <w:t xml:space="preserve">Pour l’octroi d’un aménagement, les documents demandés </w:t>
      </w:r>
      <w:r>
        <w:t xml:space="preserve">varient </w:t>
      </w:r>
      <w:r w:rsidRPr="00334FA3">
        <w:t>selon les trois universités.</w:t>
      </w:r>
      <w:r>
        <w:t xml:space="preserve"> </w:t>
      </w:r>
      <w:r w:rsidRPr="00334FA3">
        <w:t xml:space="preserve">Toutefois, les trois se basent sur le certificat médical </w:t>
      </w:r>
      <w:r>
        <w:t>provenant</w:t>
      </w:r>
      <w:r w:rsidRPr="00334FA3">
        <w:t xml:space="preserve"> d’un</w:t>
      </w:r>
      <w:r>
        <w:t>e professionnelle ou d’un professionnel</w:t>
      </w:r>
      <w:r w:rsidRPr="00334FA3">
        <w:t xml:space="preserve"> de la santé. La durée de l’autorisation des aménagements est également</w:t>
      </w:r>
      <w:r>
        <w:t xml:space="preserve"> différente</w:t>
      </w:r>
      <w:r w:rsidRPr="00334FA3">
        <w:t xml:space="preserve"> selon </w:t>
      </w:r>
      <w:r>
        <w:t>l’</w:t>
      </w:r>
      <w:r w:rsidRPr="00334FA3">
        <w:t xml:space="preserve">université. </w:t>
      </w:r>
    </w:p>
    <w:p w14:paraId="0A8D88EE" w14:textId="77777777" w:rsidR="002A3283" w:rsidRDefault="008D4BB7" w:rsidP="000A7E03">
      <w:pPr>
        <w:pStyle w:val="Corpsdetexte"/>
      </w:pPr>
      <w:r w:rsidRPr="00334FA3">
        <w:t>Dans l’université</w:t>
      </w:r>
      <w:r>
        <w:t> </w:t>
      </w:r>
      <w:r w:rsidRPr="00334FA3">
        <w:t xml:space="preserve">1, </w:t>
      </w:r>
      <w:r w:rsidRPr="002A3283">
        <w:t>l’aménagement</w:t>
      </w:r>
      <w:r w:rsidRPr="00334FA3">
        <w:t xml:space="preserve"> est octroyé durant une année. En cas d’accident, c’est le certificat médical qui annonce la date d’expiration des aménagements. </w:t>
      </w:r>
    </w:p>
    <w:p w14:paraId="3338C9AF" w14:textId="77777777" w:rsidR="002A3283" w:rsidRDefault="008D4BB7" w:rsidP="000A7E03">
      <w:pPr>
        <w:pStyle w:val="Corpsdetexte"/>
      </w:pPr>
      <w:r w:rsidRPr="00334FA3">
        <w:t>Dans l’université</w:t>
      </w:r>
      <w:r>
        <w:t> </w:t>
      </w:r>
      <w:r w:rsidRPr="00334FA3">
        <w:t xml:space="preserve">2, les aménagements sont octroyés pour toute la durée des études </w:t>
      </w:r>
      <w:r>
        <w:t xml:space="preserve">de </w:t>
      </w:r>
      <w:proofErr w:type="spellStart"/>
      <w:r>
        <w:t>b</w:t>
      </w:r>
      <w:r w:rsidRPr="00334FA3">
        <w:t>achelor</w:t>
      </w:r>
      <w:proofErr w:type="spellEnd"/>
      <w:r w:rsidRPr="00334FA3">
        <w:t xml:space="preserve"> ou </w:t>
      </w:r>
      <w:r>
        <w:t>de m</w:t>
      </w:r>
      <w:r w:rsidRPr="00334FA3">
        <w:t xml:space="preserve">aster. Toutefois, les démarches doivent être renouvelées à chaque changement de cursus, notamment lors du passage du </w:t>
      </w:r>
      <w:proofErr w:type="spellStart"/>
      <w:r>
        <w:t>b</w:t>
      </w:r>
      <w:r w:rsidRPr="00334FA3">
        <w:t>achelor</w:t>
      </w:r>
      <w:proofErr w:type="spellEnd"/>
      <w:r w:rsidRPr="00334FA3">
        <w:t xml:space="preserve"> au </w:t>
      </w:r>
      <w:r>
        <w:t>m</w:t>
      </w:r>
      <w:r w:rsidRPr="00334FA3">
        <w:t xml:space="preserve">aster. </w:t>
      </w:r>
    </w:p>
    <w:p w14:paraId="60CF643C" w14:textId="4E872F92" w:rsidR="008D4BB7" w:rsidRPr="00334FA3" w:rsidRDefault="008D4BB7" w:rsidP="002A3283">
      <w:pPr>
        <w:pStyle w:val="Corpsdetexte"/>
      </w:pPr>
      <w:r w:rsidRPr="00334FA3">
        <w:t>Pour l’université</w:t>
      </w:r>
      <w:r>
        <w:t> </w:t>
      </w:r>
      <w:r w:rsidRPr="00334FA3">
        <w:t>3, les aménagements sont octroyés pour toute la durée des études</w:t>
      </w:r>
      <w:r>
        <w:t>,</w:t>
      </w:r>
      <w:r w:rsidRPr="00334FA3">
        <w:t xml:space="preserve"> </w:t>
      </w:r>
      <w:proofErr w:type="spellStart"/>
      <w:r>
        <w:t>b</w:t>
      </w:r>
      <w:r w:rsidRPr="00334FA3">
        <w:t>achelor</w:t>
      </w:r>
      <w:proofErr w:type="spellEnd"/>
      <w:r w:rsidRPr="00334FA3">
        <w:t xml:space="preserve"> et </w:t>
      </w:r>
      <w:r>
        <w:t>m</w:t>
      </w:r>
      <w:r w:rsidRPr="00334FA3">
        <w:t xml:space="preserve">aster compris. Il y a une réévaluation des aménagements en cas de changement de faculté ou </w:t>
      </w:r>
      <w:r>
        <w:t>d’évolution du trouble</w:t>
      </w:r>
      <w:r w:rsidRPr="00334FA3">
        <w:t>.</w:t>
      </w:r>
    </w:p>
    <w:p w14:paraId="1676E9D2" w14:textId="7EE1B95C" w:rsidR="00447198" w:rsidRPr="00855097" w:rsidRDefault="00E31D8C" w:rsidP="00447198">
      <w:pPr>
        <w:pStyle w:val="Titre2"/>
      </w:pPr>
      <w:r>
        <w:t>Les aménagements proposés</w:t>
      </w:r>
    </w:p>
    <w:p w14:paraId="6CC9A0F2" w14:textId="431A7A6E" w:rsidR="003606B5" w:rsidRPr="00334FA3" w:rsidRDefault="003606B5" w:rsidP="000A7E03">
      <w:pPr>
        <w:pStyle w:val="Corpsdetexte"/>
        <w:ind w:firstLine="0"/>
      </w:pPr>
      <w:r w:rsidRPr="00334FA3">
        <w:t xml:space="preserve">Le </w:t>
      </w:r>
      <w:r>
        <w:t>T</w:t>
      </w:r>
      <w:r w:rsidRPr="00334FA3">
        <w:t>ableau</w:t>
      </w:r>
      <w:r>
        <w:t> </w:t>
      </w:r>
      <w:r w:rsidRPr="00334FA3">
        <w:t xml:space="preserve">1 résume les aménagements qui peuvent être octroyés </w:t>
      </w:r>
      <w:r>
        <w:t>par</w:t>
      </w:r>
      <w:r w:rsidRPr="00334FA3">
        <w:t xml:space="preserve"> les trois universités. </w:t>
      </w:r>
      <w:r>
        <w:t xml:space="preserve">Bien qu’ils soient variables, la majorité </w:t>
      </w:r>
      <w:r w:rsidRPr="00334FA3">
        <w:t xml:space="preserve">cible principalement les examens. L’enseignement et le cursus demeurent peu adaptés. </w:t>
      </w:r>
      <w:r>
        <w:t>Seule l’université</w:t>
      </w:r>
      <w:r w:rsidR="002D77EA">
        <w:t> </w:t>
      </w:r>
      <w:r>
        <w:t>3</w:t>
      </w:r>
      <w:r w:rsidRPr="00334FA3">
        <w:t xml:space="preserve"> propose de planifier le cursus en tenant compte du trouble </w:t>
      </w:r>
      <w:r>
        <w:t>de la personne</w:t>
      </w:r>
      <w:r w:rsidRPr="00334FA3">
        <w:t xml:space="preserve">. </w:t>
      </w:r>
    </w:p>
    <w:p w14:paraId="566F307C" w14:textId="6ADBFBF8" w:rsidR="00663483" w:rsidRPr="00334FA3" w:rsidRDefault="00663483" w:rsidP="00663483">
      <w:pPr>
        <w:pStyle w:val="LegendeTabelle"/>
        <w:rPr>
          <w:b/>
          <w:w w:val="105"/>
          <w:u w:val="single"/>
        </w:rPr>
      </w:pPr>
      <w:r w:rsidRPr="00916288">
        <w:lastRenderedPageBreak/>
        <w:t>Tableau </w:t>
      </w:r>
      <w:r w:rsidR="00A34DE0">
        <w:t>1</w:t>
      </w:r>
      <w:r w:rsidRPr="00916288">
        <w:t xml:space="preserve"> : Ensemble des aménagements proposés par les trois universités </w:t>
      </w:r>
    </w:p>
    <w:tbl>
      <w:tblPr>
        <w:tblStyle w:val="TableauGrille4-Accentuation4"/>
        <w:tblW w:w="0" w:type="auto"/>
        <w:tblLook w:val="04A0" w:firstRow="1" w:lastRow="0" w:firstColumn="1" w:lastColumn="0" w:noHBand="0" w:noVBand="1"/>
      </w:tblPr>
      <w:tblGrid>
        <w:gridCol w:w="1422"/>
        <w:gridCol w:w="2546"/>
        <w:gridCol w:w="2546"/>
        <w:gridCol w:w="2547"/>
      </w:tblGrid>
      <w:tr w:rsidR="00765CF5" w:rsidRPr="006D273B" w14:paraId="24FF6060" w14:textId="77777777" w:rsidTr="00B60261">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422" w:type="dxa"/>
            <w:vAlign w:val="center"/>
          </w:tcPr>
          <w:p w14:paraId="372C7FE4" w14:textId="77777777" w:rsidR="00765CF5" w:rsidRPr="0054411E" w:rsidRDefault="00765CF5" w:rsidP="00B60261">
            <w:pPr>
              <w:pStyle w:val="Corpsdetexte3"/>
            </w:pPr>
            <w:r w:rsidRPr="0054411E">
              <w:rPr>
                <w:w w:val="105"/>
              </w:rPr>
              <w:br w:type="page"/>
            </w:r>
          </w:p>
        </w:tc>
        <w:tc>
          <w:tcPr>
            <w:tcW w:w="2546" w:type="dxa"/>
            <w:vAlign w:val="center"/>
          </w:tcPr>
          <w:p w14:paraId="4133184F" w14:textId="0FFCE447" w:rsidR="00765CF5" w:rsidRPr="0054411E" w:rsidRDefault="00765CF5" w:rsidP="00B60261">
            <w:pPr>
              <w:pStyle w:val="Corpsdetexte3"/>
              <w:cnfStyle w:val="100000000000" w:firstRow="1" w:lastRow="0" w:firstColumn="0" w:lastColumn="0" w:oddVBand="0" w:evenVBand="0" w:oddHBand="0" w:evenHBand="0" w:firstRowFirstColumn="0" w:firstRowLastColumn="0" w:lastRowFirstColumn="0" w:lastRowLastColumn="0"/>
            </w:pPr>
            <w:r w:rsidRPr="0054411E">
              <w:t>Université</w:t>
            </w:r>
            <w:r w:rsidR="002D77EA" w:rsidRPr="0054411E">
              <w:t> </w:t>
            </w:r>
            <w:r w:rsidRPr="0054411E">
              <w:t>1</w:t>
            </w:r>
          </w:p>
        </w:tc>
        <w:tc>
          <w:tcPr>
            <w:tcW w:w="2546" w:type="dxa"/>
            <w:vAlign w:val="center"/>
          </w:tcPr>
          <w:p w14:paraId="6038574E" w14:textId="4A9202E1" w:rsidR="00765CF5" w:rsidRPr="0054411E" w:rsidRDefault="00765CF5" w:rsidP="00B60261">
            <w:pPr>
              <w:pStyle w:val="Corpsdetexte3"/>
              <w:cnfStyle w:val="100000000000" w:firstRow="1" w:lastRow="0" w:firstColumn="0" w:lastColumn="0" w:oddVBand="0" w:evenVBand="0" w:oddHBand="0" w:evenHBand="0" w:firstRowFirstColumn="0" w:firstRowLastColumn="0" w:lastRowFirstColumn="0" w:lastRowLastColumn="0"/>
            </w:pPr>
            <w:r w:rsidRPr="0054411E">
              <w:t>Université</w:t>
            </w:r>
            <w:r w:rsidR="002D77EA" w:rsidRPr="0054411E">
              <w:t> </w:t>
            </w:r>
            <w:r w:rsidRPr="0054411E">
              <w:t>2</w:t>
            </w:r>
          </w:p>
        </w:tc>
        <w:tc>
          <w:tcPr>
            <w:tcW w:w="2547" w:type="dxa"/>
            <w:vAlign w:val="center"/>
          </w:tcPr>
          <w:p w14:paraId="6C7A258C" w14:textId="3CD9259B" w:rsidR="00765CF5" w:rsidRPr="0054411E" w:rsidRDefault="00765CF5" w:rsidP="00B60261">
            <w:pPr>
              <w:pStyle w:val="Corpsdetexte3"/>
              <w:cnfStyle w:val="100000000000" w:firstRow="1" w:lastRow="0" w:firstColumn="0" w:lastColumn="0" w:oddVBand="0" w:evenVBand="0" w:oddHBand="0" w:evenHBand="0" w:firstRowFirstColumn="0" w:firstRowLastColumn="0" w:lastRowFirstColumn="0" w:lastRowLastColumn="0"/>
            </w:pPr>
            <w:r w:rsidRPr="0054411E">
              <w:t>Université</w:t>
            </w:r>
            <w:r w:rsidR="002D77EA" w:rsidRPr="0054411E">
              <w:t> </w:t>
            </w:r>
            <w:r w:rsidRPr="0054411E">
              <w:t xml:space="preserve">3 </w:t>
            </w:r>
          </w:p>
        </w:tc>
      </w:tr>
      <w:tr w:rsidR="00765CF5" w:rsidRPr="006D273B" w14:paraId="6D7A1261" w14:textId="77777777" w:rsidTr="005E53D3">
        <w:trPr>
          <w:cnfStyle w:val="000000100000" w:firstRow="0" w:lastRow="0" w:firstColumn="0" w:lastColumn="0" w:oddVBand="0" w:evenVBand="0" w:oddHBand="1" w:evenHBand="0" w:firstRowFirstColumn="0" w:firstRowLastColumn="0" w:lastRowFirstColumn="0" w:lastRowLastColumn="0"/>
          <w:trHeight w:val="6375"/>
        </w:trPr>
        <w:tc>
          <w:tcPr>
            <w:cnfStyle w:val="001000000000" w:firstRow="0" w:lastRow="0" w:firstColumn="1" w:lastColumn="0" w:oddVBand="0" w:evenVBand="0" w:oddHBand="0" w:evenHBand="0" w:firstRowFirstColumn="0" w:firstRowLastColumn="0" w:lastRowFirstColumn="0" w:lastRowLastColumn="0"/>
            <w:tcW w:w="1422" w:type="dxa"/>
          </w:tcPr>
          <w:p w14:paraId="742107BB" w14:textId="28AEB7D1" w:rsidR="0034098D" w:rsidRPr="0054411E" w:rsidRDefault="00765CF5" w:rsidP="00DB403E">
            <w:pPr>
              <w:pStyle w:val="Corpsdetexte3"/>
            </w:pPr>
            <w:r w:rsidRPr="0054411E">
              <w:t xml:space="preserve">Examens </w:t>
            </w:r>
          </w:p>
        </w:tc>
        <w:tc>
          <w:tcPr>
            <w:tcW w:w="2546" w:type="dxa"/>
          </w:tcPr>
          <w:p w14:paraId="32328E5D" w14:textId="7C19F525" w:rsidR="00765CF5" w:rsidRPr="0054411E" w:rsidRDefault="00765CF5" w:rsidP="00B60261">
            <w:pPr>
              <w:pStyle w:val="Liste"/>
              <w:ind w:left="161" w:hanging="161"/>
              <w:cnfStyle w:val="000000100000" w:firstRow="0" w:lastRow="0" w:firstColumn="0" w:lastColumn="0" w:oddVBand="0" w:evenVBand="0" w:oddHBand="1" w:evenHBand="0" w:firstRowFirstColumn="0" w:firstRowLastColumn="0" w:lastRowFirstColumn="0" w:lastRowLastColumn="0"/>
            </w:pPr>
            <w:r w:rsidRPr="0054411E">
              <w:t xml:space="preserve">Temps supplémentaire (33 %) </w:t>
            </w:r>
          </w:p>
          <w:p w14:paraId="0DDC80EB" w14:textId="5DE8728D" w:rsidR="00F26A8C" w:rsidRPr="0054411E" w:rsidRDefault="00F26A8C" w:rsidP="00B60261">
            <w:pPr>
              <w:pStyle w:val="Liste"/>
              <w:ind w:left="161" w:hanging="161"/>
              <w:cnfStyle w:val="000000100000" w:firstRow="0" w:lastRow="0" w:firstColumn="0" w:lastColumn="0" w:oddVBand="0" w:evenVBand="0" w:oddHBand="1" w:evenHBand="0" w:firstRowFirstColumn="0" w:firstRowLastColumn="0" w:lastRowFirstColumn="0" w:lastRowLastColumn="0"/>
            </w:pPr>
            <w:r w:rsidRPr="0054411E">
              <w:t xml:space="preserve">Salle séparée </w:t>
            </w:r>
          </w:p>
          <w:p w14:paraId="78EBA58F" w14:textId="7E28F821" w:rsidR="00765CF5" w:rsidRPr="0054411E" w:rsidRDefault="00765CF5" w:rsidP="00B60261">
            <w:pPr>
              <w:pStyle w:val="Liste"/>
              <w:ind w:left="161" w:hanging="161"/>
              <w:cnfStyle w:val="000000100000" w:firstRow="0" w:lastRow="0" w:firstColumn="0" w:lastColumn="0" w:oddVBand="0" w:evenVBand="0" w:oddHBand="1" w:evenHBand="0" w:firstRowFirstColumn="0" w:firstRowLastColumn="0" w:lastRowFirstColumn="0" w:lastRowLastColumn="0"/>
            </w:pPr>
            <w:r w:rsidRPr="0054411E">
              <w:t xml:space="preserve">Utilisation d’un ordinateur personnel </w:t>
            </w:r>
          </w:p>
          <w:p w14:paraId="484EF2C9" w14:textId="77777777" w:rsidR="00765CF5" w:rsidRPr="0054411E" w:rsidRDefault="00765CF5" w:rsidP="00B60261">
            <w:pPr>
              <w:pStyle w:val="Liste"/>
              <w:ind w:left="161" w:hanging="161"/>
              <w:cnfStyle w:val="000000100000" w:firstRow="0" w:lastRow="0" w:firstColumn="0" w:lastColumn="0" w:oddVBand="0" w:evenVBand="0" w:oddHBand="1" w:evenHBand="0" w:firstRowFirstColumn="0" w:firstRowLastColumn="0" w:lastRowFirstColumn="0" w:lastRowLastColumn="0"/>
            </w:pPr>
            <w:r w:rsidRPr="0054411E">
              <w:t>Réservation d’une place assise</w:t>
            </w:r>
          </w:p>
          <w:p w14:paraId="033B6107" w14:textId="142320D1" w:rsidR="00864F40" w:rsidRPr="0054411E" w:rsidRDefault="00864F40" w:rsidP="00B60261">
            <w:pPr>
              <w:pStyle w:val="Liste"/>
              <w:ind w:left="161" w:hanging="161"/>
              <w:cnfStyle w:val="000000100000" w:firstRow="0" w:lastRow="0" w:firstColumn="0" w:lastColumn="0" w:oddVBand="0" w:evenVBand="0" w:oddHBand="1" w:evenHBand="0" w:firstRowFirstColumn="0" w:firstRowLastColumn="0" w:lastRowFirstColumn="0" w:lastRowLastColumn="0"/>
            </w:pPr>
            <w:r w:rsidRPr="0054411E">
              <w:t xml:space="preserve">Spécification du trouble ou handicap sur une copie d’examen ou un travail écrit </w:t>
            </w:r>
          </w:p>
        </w:tc>
        <w:tc>
          <w:tcPr>
            <w:tcW w:w="2546" w:type="dxa"/>
          </w:tcPr>
          <w:p w14:paraId="1806099C" w14:textId="46F47AE5" w:rsidR="00765CF5" w:rsidRPr="0054411E" w:rsidRDefault="00765CF5" w:rsidP="005E53D3">
            <w:pPr>
              <w:pStyle w:val="Liste"/>
              <w:ind w:left="171" w:hanging="171"/>
              <w:cnfStyle w:val="000000100000" w:firstRow="0" w:lastRow="0" w:firstColumn="0" w:lastColumn="0" w:oddVBand="0" w:evenVBand="0" w:oddHBand="1" w:evenHBand="0" w:firstRowFirstColumn="0" w:firstRowLastColumn="0" w:lastRowFirstColumn="0" w:lastRowLastColumn="0"/>
            </w:pPr>
            <w:r w:rsidRPr="0054411E">
              <w:t>Temps supplémentaire</w:t>
            </w:r>
          </w:p>
          <w:p w14:paraId="3AAB64C4" w14:textId="22D7A34C" w:rsidR="00765CF5" w:rsidRPr="0054411E" w:rsidRDefault="00765CF5" w:rsidP="005E53D3">
            <w:pPr>
              <w:pStyle w:val="Liste"/>
              <w:ind w:left="171" w:hanging="171"/>
              <w:cnfStyle w:val="000000100000" w:firstRow="0" w:lastRow="0" w:firstColumn="0" w:lastColumn="0" w:oddVBand="0" w:evenVBand="0" w:oddHBand="1" w:evenHBand="0" w:firstRowFirstColumn="0" w:firstRowLastColumn="0" w:lastRowFirstColumn="0" w:lastRowLastColumn="0"/>
            </w:pPr>
            <w:r w:rsidRPr="0054411E">
              <w:t>Salle séparée</w:t>
            </w:r>
          </w:p>
          <w:p w14:paraId="3B235CE3" w14:textId="441449A0" w:rsidR="00987015" w:rsidRPr="0054411E" w:rsidRDefault="00987015" w:rsidP="005E53D3">
            <w:pPr>
              <w:pStyle w:val="Liste"/>
              <w:ind w:left="171" w:hanging="171"/>
              <w:cnfStyle w:val="000000100000" w:firstRow="0" w:lastRow="0" w:firstColumn="0" w:lastColumn="0" w:oddVBand="0" w:evenVBand="0" w:oddHBand="1" w:evenHBand="0" w:firstRowFirstColumn="0" w:firstRowLastColumn="0" w:lastRowFirstColumn="0" w:lastRowLastColumn="0"/>
            </w:pPr>
            <w:r w:rsidRPr="0054411E">
              <w:t xml:space="preserve">Ordinateurs </w:t>
            </w:r>
          </w:p>
          <w:p w14:paraId="1ED5C5A1" w14:textId="18C3E957" w:rsidR="00864F40" w:rsidRPr="0054411E" w:rsidRDefault="00864F40" w:rsidP="005E53D3">
            <w:pPr>
              <w:pStyle w:val="Liste"/>
              <w:ind w:left="171" w:hanging="171"/>
              <w:cnfStyle w:val="000000100000" w:firstRow="0" w:lastRow="0" w:firstColumn="0" w:lastColumn="0" w:oddVBand="0" w:evenVBand="0" w:oddHBand="1" w:evenHBand="0" w:firstRowFirstColumn="0" w:firstRowLastColumn="0" w:lastRowFirstColumn="0" w:lastRowLastColumn="0"/>
            </w:pPr>
            <w:r w:rsidRPr="0054411E">
              <w:t xml:space="preserve">Réservation de place assise </w:t>
            </w:r>
          </w:p>
          <w:p w14:paraId="3B5991E3" w14:textId="010733F8" w:rsidR="00324340" w:rsidRPr="0054411E" w:rsidRDefault="00324340" w:rsidP="005E53D3">
            <w:pPr>
              <w:pStyle w:val="Liste"/>
              <w:ind w:left="171" w:hanging="171"/>
              <w:cnfStyle w:val="000000100000" w:firstRow="0" w:lastRow="0" w:firstColumn="0" w:lastColumn="0" w:oddVBand="0" w:evenVBand="0" w:oddHBand="1" w:evenHBand="0" w:firstRowFirstColumn="0" w:firstRowLastColumn="0" w:lastRowFirstColumn="0" w:lastRowLastColumn="0"/>
            </w:pPr>
            <w:r w:rsidRPr="0054411E">
              <w:t xml:space="preserve">Casque antibruit </w:t>
            </w:r>
          </w:p>
          <w:p w14:paraId="763E77AB" w14:textId="77777777" w:rsidR="00324340" w:rsidRPr="0054411E" w:rsidRDefault="00324340" w:rsidP="005E53D3">
            <w:pPr>
              <w:pStyle w:val="Liste"/>
              <w:ind w:left="171" w:hanging="171"/>
              <w:cnfStyle w:val="000000100000" w:firstRow="0" w:lastRow="0" w:firstColumn="0" w:lastColumn="0" w:oddVBand="0" w:evenVBand="0" w:oddHBand="1" w:evenHBand="0" w:firstRowFirstColumn="0" w:firstRowLastColumn="0" w:lastRowFirstColumn="0" w:lastRowLastColumn="0"/>
            </w:pPr>
            <w:r w:rsidRPr="0054411E">
              <w:t xml:space="preserve">Enregistrement des consignes </w:t>
            </w:r>
          </w:p>
          <w:p w14:paraId="1B7D9213" w14:textId="24690A66" w:rsidR="00324340" w:rsidRPr="0054411E" w:rsidRDefault="00324340" w:rsidP="005E53D3">
            <w:pPr>
              <w:pStyle w:val="Liste"/>
              <w:ind w:left="171" w:hanging="171"/>
              <w:cnfStyle w:val="000000100000" w:firstRow="0" w:lastRow="0" w:firstColumn="0" w:lastColumn="0" w:oddVBand="0" w:evenVBand="0" w:oddHBand="1" w:evenHBand="0" w:firstRowFirstColumn="0" w:firstRowLastColumn="0" w:lastRowFirstColumn="0" w:lastRowLastColumn="0"/>
            </w:pPr>
            <w:r w:rsidRPr="0054411E">
              <w:t>Pauses motrices</w:t>
            </w:r>
          </w:p>
          <w:p w14:paraId="483BDC51" w14:textId="797E90FF" w:rsidR="00525742" w:rsidRPr="0054411E" w:rsidRDefault="00525742" w:rsidP="005E53D3">
            <w:pPr>
              <w:pStyle w:val="Liste"/>
              <w:ind w:left="171" w:hanging="171"/>
              <w:cnfStyle w:val="000000100000" w:firstRow="0" w:lastRow="0" w:firstColumn="0" w:lastColumn="0" w:oddVBand="0" w:evenVBand="0" w:oddHBand="1" w:evenHBand="0" w:firstRowFirstColumn="0" w:firstRowLastColumn="0" w:lastRowFirstColumn="0" w:lastRowLastColumn="0"/>
            </w:pPr>
            <w:r w:rsidRPr="0054411E">
              <w:t xml:space="preserve">Calculatrice </w:t>
            </w:r>
          </w:p>
          <w:p w14:paraId="5C457B6F" w14:textId="4E3D1A16" w:rsidR="00765CF5" w:rsidRPr="0054411E" w:rsidRDefault="00765CF5" w:rsidP="005E53D3">
            <w:pPr>
              <w:pStyle w:val="Liste"/>
              <w:ind w:left="171" w:hanging="171"/>
              <w:cnfStyle w:val="000000100000" w:firstRow="0" w:lastRow="0" w:firstColumn="0" w:lastColumn="0" w:oddVBand="0" w:evenVBand="0" w:oddHBand="1" w:evenHBand="0" w:firstRowFirstColumn="0" w:firstRowLastColumn="0" w:lastRowFirstColumn="0" w:lastRowLastColumn="0"/>
            </w:pPr>
            <w:r w:rsidRPr="0054411E">
              <w:t xml:space="preserve">Non-pénalisation des fautes d’orthographe </w:t>
            </w:r>
          </w:p>
          <w:p w14:paraId="5089161E" w14:textId="17055443" w:rsidR="00765CF5" w:rsidRPr="0054411E" w:rsidRDefault="00765CF5" w:rsidP="005E53D3">
            <w:pPr>
              <w:pStyle w:val="Liste"/>
              <w:ind w:left="171" w:hanging="171"/>
              <w:cnfStyle w:val="000000100000" w:firstRow="0" w:lastRow="0" w:firstColumn="0" w:lastColumn="0" w:oddVBand="0" w:evenVBand="0" w:oddHBand="1" w:evenHBand="0" w:firstRowFirstColumn="0" w:firstRowLastColumn="0" w:lastRowFirstColumn="0" w:lastRowLastColumn="0"/>
            </w:pPr>
            <w:r w:rsidRPr="0054411E">
              <w:t>Consignes et feuilles adaptées</w:t>
            </w:r>
          </w:p>
        </w:tc>
        <w:tc>
          <w:tcPr>
            <w:tcW w:w="2547" w:type="dxa"/>
          </w:tcPr>
          <w:p w14:paraId="362253AB" w14:textId="7111C698" w:rsidR="00765CF5" w:rsidRPr="0054411E" w:rsidRDefault="00765CF5" w:rsidP="005E53D3">
            <w:pPr>
              <w:pStyle w:val="Liste"/>
              <w:ind w:left="181" w:hanging="181"/>
              <w:cnfStyle w:val="000000100000" w:firstRow="0" w:lastRow="0" w:firstColumn="0" w:lastColumn="0" w:oddVBand="0" w:evenVBand="0" w:oddHBand="1" w:evenHBand="0" w:firstRowFirstColumn="0" w:firstRowLastColumn="0" w:lastRowFirstColumn="0" w:lastRowLastColumn="0"/>
            </w:pPr>
            <w:r w:rsidRPr="0054411E">
              <w:t>Temps supplémentaire (20 %</w:t>
            </w:r>
            <w:r w:rsidR="00777EED">
              <w:t xml:space="preserve"> </w:t>
            </w:r>
            <w:r w:rsidR="00FF1689">
              <w:t>–</w:t>
            </w:r>
            <w:r w:rsidRPr="0054411E">
              <w:t xml:space="preserve"> 33 %) </w:t>
            </w:r>
          </w:p>
          <w:p w14:paraId="5DF087A2" w14:textId="225305D6" w:rsidR="00765CF5" w:rsidRPr="0054411E" w:rsidRDefault="00765CF5" w:rsidP="005E53D3">
            <w:pPr>
              <w:pStyle w:val="Liste"/>
              <w:ind w:left="181" w:hanging="181"/>
              <w:cnfStyle w:val="000000100000" w:firstRow="0" w:lastRow="0" w:firstColumn="0" w:lastColumn="0" w:oddVBand="0" w:evenVBand="0" w:oddHBand="1" w:evenHBand="0" w:firstRowFirstColumn="0" w:firstRowLastColumn="0" w:lastRowFirstColumn="0" w:lastRowLastColumn="0"/>
            </w:pPr>
            <w:r w:rsidRPr="0054411E">
              <w:t>Temps supplémentaire pour les oraux</w:t>
            </w:r>
            <w:r w:rsidR="00E16586" w:rsidRPr="0054411E">
              <w:t xml:space="preserve"> et </w:t>
            </w:r>
            <w:r w:rsidRPr="0054411E">
              <w:t>travaux</w:t>
            </w:r>
          </w:p>
          <w:p w14:paraId="7B60082B" w14:textId="33093562" w:rsidR="00F26A8C" w:rsidRPr="0054411E" w:rsidRDefault="00F26A8C" w:rsidP="005E53D3">
            <w:pPr>
              <w:pStyle w:val="Liste"/>
              <w:ind w:left="181" w:hanging="181"/>
              <w:cnfStyle w:val="000000100000" w:firstRow="0" w:lastRow="0" w:firstColumn="0" w:lastColumn="0" w:oddVBand="0" w:evenVBand="0" w:oddHBand="1" w:evenHBand="0" w:firstRowFirstColumn="0" w:firstRowLastColumn="0" w:lastRowFirstColumn="0" w:lastRowLastColumn="0"/>
            </w:pPr>
            <w:r w:rsidRPr="0054411E">
              <w:t>Salle séparée</w:t>
            </w:r>
          </w:p>
          <w:p w14:paraId="4AB29E98" w14:textId="228153BD" w:rsidR="00F820EE" w:rsidRPr="0054411E" w:rsidRDefault="00F820EE" w:rsidP="005E53D3">
            <w:pPr>
              <w:pStyle w:val="Liste"/>
              <w:ind w:left="181" w:hanging="181"/>
              <w:cnfStyle w:val="000000100000" w:firstRow="0" w:lastRow="0" w:firstColumn="0" w:lastColumn="0" w:oddVBand="0" w:evenVBand="0" w:oddHBand="1" w:evenHBand="0" w:firstRowFirstColumn="0" w:firstRowLastColumn="0" w:lastRowFirstColumn="0" w:lastRowLastColumn="0"/>
            </w:pPr>
            <w:r w:rsidRPr="0054411E">
              <w:t xml:space="preserve">Ordinateurs </w:t>
            </w:r>
          </w:p>
          <w:p w14:paraId="1167E187" w14:textId="0AAB0E19" w:rsidR="00F820EE" w:rsidRPr="0054411E" w:rsidRDefault="00F820EE" w:rsidP="005E53D3">
            <w:pPr>
              <w:pStyle w:val="Liste"/>
              <w:ind w:left="181" w:hanging="181"/>
              <w:cnfStyle w:val="000000100000" w:firstRow="0" w:lastRow="0" w:firstColumn="0" w:lastColumn="0" w:oddVBand="0" w:evenVBand="0" w:oddHBand="1" w:evenHBand="0" w:firstRowFirstColumn="0" w:firstRowLastColumn="0" w:lastRowFirstColumn="0" w:lastRowLastColumn="0"/>
            </w:pPr>
            <w:r w:rsidRPr="0054411E">
              <w:t xml:space="preserve">Réservation de place assise </w:t>
            </w:r>
          </w:p>
          <w:p w14:paraId="1AAF3E9F" w14:textId="7976663D" w:rsidR="00CE3D02" w:rsidRPr="0054411E" w:rsidRDefault="00CE3D02" w:rsidP="005E53D3">
            <w:pPr>
              <w:pStyle w:val="Liste"/>
              <w:ind w:left="181" w:hanging="181"/>
              <w:cnfStyle w:val="000000100000" w:firstRow="0" w:lastRow="0" w:firstColumn="0" w:lastColumn="0" w:oddVBand="0" w:evenVBand="0" w:oddHBand="1" w:evenHBand="0" w:firstRowFirstColumn="0" w:firstRowLastColumn="0" w:lastRowFirstColumn="0" w:lastRowLastColumn="0"/>
            </w:pPr>
            <w:r w:rsidRPr="0054411E">
              <w:t xml:space="preserve">Casque antibruit ou avec enregistrement des consignes </w:t>
            </w:r>
          </w:p>
          <w:p w14:paraId="38DFD268" w14:textId="54282207" w:rsidR="00B24655" w:rsidRPr="0054411E" w:rsidRDefault="00B24655" w:rsidP="005E53D3">
            <w:pPr>
              <w:pStyle w:val="Liste"/>
              <w:ind w:left="181" w:hanging="181"/>
              <w:cnfStyle w:val="000000100000" w:firstRow="0" w:lastRow="0" w:firstColumn="0" w:lastColumn="0" w:oddVBand="0" w:evenVBand="0" w:oddHBand="1" w:evenHBand="0" w:firstRowFirstColumn="0" w:firstRowLastColumn="0" w:lastRowFirstColumn="0" w:lastRowLastColumn="0"/>
            </w:pPr>
            <w:r w:rsidRPr="0054411E">
              <w:t xml:space="preserve">Pauses motrices </w:t>
            </w:r>
          </w:p>
          <w:p w14:paraId="0E8269B2" w14:textId="7D6A832A" w:rsidR="00B24655" w:rsidRPr="0054411E" w:rsidRDefault="00B24655" w:rsidP="005E53D3">
            <w:pPr>
              <w:pStyle w:val="Liste"/>
              <w:ind w:left="181" w:hanging="181"/>
              <w:cnfStyle w:val="000000100000" w:firstRow="0" w:lastRow="0" w:firstColumn="0" w:lastColumn="0" w:oddVBand="0" w:evenVBand="0" w:oddHBand="1" w:evenHBand="0" w:firstRowFirstColumn="0" w:firstRowLastColumn="0" w:lastRowFirstColumn="0" w:lastRowLastColumn="0"/>
            </w:pPr>
            <w:r w:rsidRPr="0054411E">
              <w:t xml:space="preserve">Consignes et feuilles adaptées </w:t>
            </w:r>
          </w:p>
          <w:p w14:paraId="0BF136B0" w14:textId="7069087B" w:rsidR="00765CF5" w:rsidRPr="0054411E" w:rsidRDefault="00765CF5" w:rsidP="005E53D3">
            <w:pPr>
              <w:pStyle w:val="Liste"/>
              <w:ind w:left="181" w:hanging="181"/>
              <w:cnfStyle w:val="000000100000" w:firstRow="0" w:lastRow="0" w:firstColumn="0" w:lastColumn="0" w:oddVBand="0" w:evenVBand="0" w:oddHBand="1" w:evenHBand="0" w:firstRowFirstColumn="0" w:firstRowLastColumn="0" w:lastRowFirstColumn="0" w:lastRowLastColumn="0"/>
            </w:pPr>
            <w:r w:rsidRPr="0054411E">
              <w:t>Dictionnaires</w:t>
            </w:r>
          </w:p>
          <w:p w14:paraId="06AB78A9" w14:textId="45579C30" w:rsidR="00765CF5" w:rsidRPr="0054411E" w:rsidRDefault="00765CF5" w:rsidP="005E53D3">
            <w:pPr>
              <w:pStyle w:val="Liste"/>
              <w:ind w:left="181" w:hanging="181"/>
              <w:cnfStyle w:val="000000100000" w:firstRow="0" w:lastRow="0" w:firstColumn="0" w:lastColumn="0" w:oddVBand="0" w:evenVBand="0" w:oddHBand="1" w:evenHBand="0" w:firstRowFirstColumn="0" w:firstRowLastColumn="0" w:lastRowFirstColumn="0" w:lastRowLastColumn="0"/>
            </w:pPr>
            <w:r w:rsidRPr="0054411E">
              <w:t>Objets tel</w:t>
            </w:r>
            <w:r w:rsidR="00EE7631" w:rsidRPr="0054411E">
              <w:t>s</w:t>
            </w:r>
            <w:r w:rsidRPr="0054411E">
              <w:t xml:space="preserve"> qu’une balle antistress ou </w:t>
            </w:r>
            <w:proofErr w:type="spellStart"/>
            <w:r w:rsidRPr="00A86555">
              <w:rPr>
                <w:i/>
                <w:iCs/>
              </w:rPr>
              <w:t>fidget</w:t>
            </w:r>
            <w:proofErr w:type="spellEnd"/>
            <w:r w:rsidRPr="00A86555">
              <w:rPr>
                <w:i/>
                <w:iCs/>
              </w:rPr>
              <w:t xml:space="preserve"> cube</w:t>
            </w:r>
          </w:p>
          <w:p w14:paraId="3A272FB8" w14:textId="77777777" w:rsidR="00765CF5" w:rsidRPr="0054411E" w:rsidRDefault="00765CF5" w:rsidP="005E53D3">
            <w:pPr>
              <w:pStyle w:val="Liste"/>
              <w:ind w:left="181" w:hanging="181"/>
              <w:cnfStyle w:val="000000100000" w:firstRow="0" w:lastRow="0" w:firstColumn="0" w:lastColumn="0" w:oddVBand="0" w:evenVBand="0" w:oddHBand="1" w:evenHBand="0" w:firstRowFirstColumn="0" w:firstRowLastColumn="0" w:lastRowFirstColumn="0" w:lastRowLastColumn="0"/>
            </w:pPr>
            <w:r w:rsidRPr="0054411E">
              <w:t>Correcteur orthographique</w:t>
            </w:r>
          </w:p>
          <w:p w14:paraId="3604B3FF" w14:textId="0AEA6BE0" w:rsidR="004655DA" w:rsidRPr="0054411E" w:rsidRDefault="004655DA" w:rsidP="005E53D3">
            <w:pPr>
              <w:pStyle w:val="Liste"/>
              <w:ind w:left="181" w:hanging="181"/>
              <w:cnfStyle w:val="000000100000" w:firstRow="0" w:lastRow="0" w:firstColumn="0" w:lastColumn="0" w:oddVBand="0" w:evenVBand="0" w:oddHBand="1" w:evenHBand="0" w:firstRowFirstColumn="0" w:firstRowLastColumn="0" w:lastRowFirstColumn="0" w:lastRowLastColumn="0"/>
            </w:pPr>
            <w:r w:rsidRPr="0054411E">
              <w:t>Modalité alternative comme modifier un oral pour un écrit ou vice versa</w:t>
            </w:r>
          </w:p>
        </w:tc>
      </w:tr>
      <w:tr w:rsidR="00765CF5" w:rsidRPr="006D273B" w14:paraId="70762ED2" w14:textId="77777777" w:rsidTr="00A86555">
        <w:trPr>
          <w:trHeight w:val="1972"/>
        </w:trPr>
        <w:tc>
          <w:tcPr>
            <w:cnfStyle w:val="001000000000" w:firstRow="0" w:lastRow="0" w:firstColumn="1" w:lastColumn="0" w:oddVBand="0" w:evenVBand="0" w:oddHBand="0" w:evenHBand="0" w:firstRowFirstColumn="0" w:firstRowLastColumn="0" w:lastRowFirstColumn="0" w:lastRowLastColumn="0"/>
            <w:tcW w:w="1422" w:type="dxa"/>
          </w:tcPr>
          <w:p w14:paraId="7F1FFDC8" w14:textId="77777777" w:rsidR="00765CF5" w:rsidRPr="0054411E" w:rsidRDefault="00765CF5" w:rsidP="00DB403E">
            <w:pPr>
              <w:pStyle w:val="Corpsdetexte3"/>
            </w:pPr>
            <w:r w:rsidRPr="0054411E">
              <w:t>Cursus</w:t>
            </w:r>
          </w:p>
        </w:tc>
        <w:tc>
          <w:tcPr>
            <w:tcW w:w="2546" w:type="dxa"/>
          </w:tcPr>
          <w:p w14:paraId="0957ED40" w14:textId="0F5C6831" w:rsidR="00765CF5" w:rsidRPr="0054411E" w:rsidRDefault="00765CF5" w:rsidP="005E53D3">
            <w:pPr>
              <w:pStyle w:val="Liste"/>
              <w:ind w:left="161" w:hanging="141"/>
              <w:cnfStyle w:val="000000000000" w:firstRow="0" w:lastRow="0" w:firstColumn="0" w:lastColumn="0" w:oddVBand="0" w:evenVBand="0" w:oddHBand="0" w:evenHBand="0" w:firstRowFirstColumn="0" w:firstRowLastColumn="0" w:lastRowFirstColumn="0" w:lastRowLastColumn="0"/>
            </w:pPr>
            <w:r w:rsidRPr="0054411E">
              <w:t xml:space="preserve">Aide technologique comprenant des ordinateurs et des logiciels spécifiques </w:t>
            </w:r>
          </w:p>
        </w:tc>
        <w:tc>
          <w:tcPr>
            <w:tcW w:w="2546" w:type="dxa"/>
          </w:tcPr>
          <w:p w14:paraId="0D357304" w14:textId="4E336F0B" w:rsidR="00765CF5" w:rsidRPr="0054411E" w:rsidRDefault="00765CF5" w:rsidP="005E53D3">
            <w:pPr>
              <w:pStyle w:val="Liste"/>
              <w:ind w:left="171" w:hanging="171"/>
              <w:cnfStyle w:val="000000000000" w:firstRow="0" w:lastRow="0" w:firstColumn="0" w:lastColumn="0" w:oddVBand="0" w:evenVBand="0" w:oddHBand="0" w:evenHBand="0" w:firstRowFirstColumn="0" w:firstRowLastColumn="0" w:lastRowFirstColumn="0" w:lastRowLastColumn="0"/>
            </w:pPr>
            <w:r w:rsidRPr="0054411E">
              <w:t xml:space="preserve">Aide technologique comprenant des ordinateurs et des logiciels spécifiques </w:t>
            </w:r>
          </w:p>
        </w:tc>
        <w:tc>
          <w:tcPr>
            <w:tcW w:w="2547" w:type="dxa"/>
          </w:tcPr>
          <w:p w14:paraId="09428D9D" w14:textId="3652553D" w:rsidR="00765CF5" w:rsidRPr="0054411E" w:rsidRDefault="00765CF5" w:rsidP="005E53D3">
            <w:pPr>
              <w:pStyle w:val="Liste"/>
              <w:ind w:left="181" w:hanging="181"/>
              <w:cnfStyle w:val="000000000000" w:firstRow="0" w:lastRow="0" w:firstColumn="0" w:lastColumn="0" w:oddVBand="0" w:evenVBand="0" w:oddHBand="0" w:evenHBand="0" w:firstRowFirstColumn="0" w:firstRowLastColumn="0" w:lastRowFirstColumn="0" w:lastRowLastColumn="0"/>
            </w:pPr>
            <w:r w:rsidRPr="0054411E">
              <w:t>Aide à l’organisation des études Prolongation de la durée d’études (2</w:t>
            </w:r>
            <w:r w:rsidR="00B70F89" w:rsidRPr="0054411E">
              <w:t> </w:t>
            </w:r>
            <w:r w:rsidRPr="0054411E">
              <w:t xml:space="preserve">semestres) </w:t>
            </w:r>
          </w:p>
          <w:p w14:paraId="237C87AB" w14:textId="3DBE1C8E" w:rsidR="00D71D13" w:rsidRPr="0054411E" w:rsidRDefault="00D71D13" w:rsidP="005E53D3">
            <w:pPr>
              <w:pStyle w:val="Liste"/>
              <w:ind w:left="181" w:hanging="181"/>
              <w:cnfStyle w:val="000000000000" w:firstRow="0" w:lastRow="0" w:firstColumn="0" w:lastColumn="0" w:oddVBand="0" w:evenVBand="0" w:oddHBand="0" w:evenHBand="0" w:firstRowFirstColumn="0" w:firstRowLastColumn="0" w:lastRowFirstColumn="0" w:lastRowLastColumn="0"/>
            </w:pPr>
            <w:r w:rsidRPr="0054411E">
              <w:t xml:space="preserve">Salle de repos à disposition </w:t>
            </w:r>
          </w:p>
          <w:p w14:paraId="593F6799" w14:textId="749120F3" w:rsidR="00765CF5" w:rsidRPr="0054411E" w:rsidRDefault="00765CF5" w:rsidP="005E53D3">
            <w:pPr>
              <w:pStyle w:val="Liste"/>
              <w:ind w:left="181" w:hanging="181"/>
              <w:cnfStyle w:val="000000000000" w:firstRow="0" w:lastRow="0" w:firstColumn="0" w:lastColumn="0" w:oddVBand="0" w:evenVBand="0" w:oddHBand="0" w:evenHBand="0" w:firstRowFirstColumn="0" w:firstRowLastColumn="0" w:lastRowFirstColumn="0" w:lastRowLastColumn="0"/>
            </w:pPr>
            <w:r w:rsidRPr="0054411E">
              <w:t>Plan d’étude planifié</w:t>
            </w:r>
          </w:p>
        </w:tc>
      </w:tr>
      <w:tr w:rsidR="00765CF5" w:rsidRPr="006D273B" w14:paraId="6E5EB3F7" w14:textId="77777777" w:rsidTr="00544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2" w:type="dxa"/>
          </w:tcPr>
          <w:p w14:paraId="00EF311E" w14:textId="77777777" w:rsidR="00765CF5" w:rsidRPr="0054411E" w:rsidRDefault="00765CF5" w:rsidP="00DB403E">
            <w:pPr>
              <w:pStyle w:val="Corpsdetexte3"/>
            </w:pPr>
            <w:r w:rsidRPr="0054411E">
              <w:t>Enseignement</w:t>
            </w:r>
          </w:p>
        </w:tc>
        <w:tc>
          <w:tcPr>
            <w:tcW w:w="2546" w:type="dxa"/>
          </w:tcPr>
          <w:p w14:paraId="733C0511" w14:textId="7EA9FA4B" w:rsidR="00765CF5" w:rsidRPr="0054411E" w:rsidRDefault="00765CF5" w:rsidP="005E53D3">
            <w:pPr>
              <w:pStyle w:val="Liste"/>
              <w:ind w:left="161" w:hanging="141"/>
              <w:cnfStyle w:val="000000100000" w:firstRow="0" w:lastRow="0" w:firstColumn="0" w:lastColumn="0" w:oddVBand="0" w:evenVBand="0" w:oddHBand="1" w:evenHBand="0" w:firstRowFirstColumn="0" w:firstRowLastColumn="0" w:lastRowFirstColumn="0" w:lastRowLastColumn="0"/>
            </w:pPr>
            <w:r w:rsidRPr="0054411E">
              <w:t>Matériel pédagogique donné avant le cours</w:t>
            </w:r>
          </w:p>
        </w:tc>
        <w:tc>
          <w:tcPr>
            <w:tcW w:w="2546" w:type="dxa"/>
          </w:tcPr>
          <w:p w14:paraId="609B4DB8" w14:textId="5B792531" w:rsidR="00765CF5" w:rsidRPr="0054411E" w:rsidRDefault="00765CF5" w:rsidP="005E53D3">
            <w:pPr>
              <w:pStyle w:val="Liste"/>
              <w:ind w:left="171" w:hanging="171"/>
              <w:cnfStyle w:val="000000100000" w:firstRow="0" w:lastRow="0" w:firstColumn="0" w:lastColumn="0" w:oddVBand="0" w:evenVBand="0" w:oddHBand="1" w:evenHBand="0" w:firstRowFirstColumn="0" w:firstRowLastColumn="0" w:lastRowFirstColumn="0" w:lastRowLastColumn="0"/>
            </w:pPr>
            <w:r w:rsidRPr="0054411E">
              <w:t>Matériel pédagogique donné avant le cours</w:t>
            </w:r>
          </w:p>
        </w:tc>
        <w:tc>
          <w:tcPr>
            <w:tcW w:w="2547" w:type="dxa"/>
          </w:tcPr>
          <w:p w14:paraId="41016A7A" w14:textId="5C369DD8" w:rsidR="00765CF5" w:rsidRPr="0054411E" w:rsidRDefault="00765CF5" w:rsidP="005E53D3">
            <w:pPr>
              <w:pStyle w:val="Liste"/>
              <w:ind w:left="181" w:hanging="181"/>
              <w:cnfStyle w:val="000000100000" w:firstRow="0" w:lastRow="0" w:firstColumn="0" w:lastColumn="0" w:oddVBand="0" w:evenVBand="0" w:oddHBand="1" w:evenHBand="0" w:firstRowFirstColumn="0" w:firstRowLastColumn="0" w:lastRowFirstColumn="0" w:lastRowLastColumn="0"/>
            </w:pPr>
            <w:r w:rsidRPr="0054411E">
              <w:t>Enregistrement des cours</w:t>
            </w:r>
          </w:p>
        </w:tc>
      </w:tr>
    </w:tbl>
    <w:p w14:paraId="11F87E1D" w14:textId="030E97C5" w:rsidR="00591D29" w:rsidRPr="00855097" w:rsidRDefault="00591D29" w:rsidP="00591D29">
      <w:pPr>
        <w:pStyle w:val="Titre2"/>
      </w:pPr>
      <w:r>
        <w:t>La manière d’informer le corps enseignant</w:t>
      </w:r>
    </w:p>
    <w:p w14:paraId="06039E5D" w14:textId="4619FDE4" w:rsidR="00F517DE" w:rsidRDefault="00F517DE" w:rsidP="000A7E03">
      <w:pPr>
        <w:pStyle w:val="Corpsdetexte"/>
        <w:ind w:firstLine="0"/>
      </w:pPr>
      <w:r w:rsidRPr="00334FA3">
        <w:t xml:space="preserve">La manière d’informer le corps enseignant des mesures de compensation </w:t>
      </w:r>
      <w:r>
        <w:t>des désavantages change</w:t>
      </w:r>
      <w:r w:rsidRPr="00334FA3">
        <w:t xml:space="preserve"> selon les trois universités. </w:t>
      </w:r>
    </w:p>
    <w:p w14:paraId="53DF12DA" w14:textId="5A49C039" w:rsidR="00F517DE" w:rsidRPr="00334FA3" w:rsidRDefault="00F517DE" w:rsidP="0029522F">
      <w:pPr>
        <w:pStyle w:val="Corpsdetexte"/>
      </w:pPr>
      <w:r w:rsidRPr="00334FA3">
        <w:t>Dans l’université</w:t>
      </w:r>
      <w:r>
        <w:t> </w:t>
      </w:r>
      <w:r w:rsidRPr="00334FA3">
        <w:t>1, les étudiant</w:t>
      </w:r>
      <w:r>
        <w:t>es et étudiants</w:t>
      </w:r>
      <w:r w:rsidRPr="00334FA3">
        <w:t xml:space="preserve"> doivent informer le</w:t>
      </w:r>
      <w:r>
        <w:t>s</w:t>
      </w:r>
      <w:r w:rsidRPr="00334FA3">
        <w:t xml:space="preserve"> enseignant</w:t>
      </w:r>
      <w:r>
        <w:t>es et enseignants</w:t>
      </w:r>
      <w:r w:rsidRPr="00334FA3">
        <w:t xml:space="preserve"> des </w:t>
      </w:r>
      <w:r>
        <w:t>aménagements</w:t>
      </w:r>
      <w:r w:rsidRPr="00334FA3">
        <w:t xml:space="preserve"> dont elles et ils bénéficient. Si nécessaire, l’université peut annoncer les mesures au</w:t>
      </w:r>
      <w:r>
        <w:t xml:space="preserve"> corps enseignant</w:t>
      </w:r>
      <w:r w:rsidRPr="00334FA3">
        <w:t xml:space="preserve"> et au secrétariat. Cette demande se fait souvent sur demande d</w:t>
      </w:r>
      <w:r>
        <w:t xml:space="preserve">u ou de la </w:t>
      </w:r>
      <w:r w:rsidR="009212F0">
        <w:t>bénéficiaire.</w:t>
      </w:r>
    </w:p>
    <w:p w14:paraId="2FE31076" w14:textId="4268601B" w:rsidR="00F517DE" w:rsidRPr="009212F0" w:rsidRDefault="00F517DE" w:rsidP="000A7E03">
      <w:pPr>
        <w:pStyle w:val="Corpsdetexte"/>
        <w:ind w:firstLine="0"/>
      </w:pPr>
      <w:r w:rsidRPr="00334FA3">
        <w:t>Dans l’université</w:t>
      </w:r>
      <w:r>
        <w:t> </w:t>
      </w:r>
      <w:r w:rsidRPr="00334FA3">
        <w:t xml:space="preserve">2, ce sont les conseillères </w:t>
      </w:r>
      <w:r>
        <w:t xml:space="preserve">et conseillers </w:t>
      </w:r>
      <w:r w:rsidRPr="009212F0">
        <w:t xml:space="preserve">académiques qui donnent l’information au corps enseignant. </w:t>
      </w:r>
    </w:p>
    <w:p w14:paraId="34FB3B7C" w14:textId="77777777" w:rsidR="00F517DE" w:rsidRPr="009212F0" w:rsidRDefault="00F517DE" w:rsidP="000A7E03">
      <w:pPr>
        <w:pStyle w:val="Corpsdetexte"/>
        <w:ind w:firstLine="0"/>
      </w:pPr>
      <w:r w:rsidRPr="009212F0">
        <w:t xml:space="preserve">Dans l’université 3, le décanat de l’université se charge d’informer le corps enseignant. </w:t>
      </w:r>
    </w:p>
    <w:p w14:paraId="64C1B213" w14:textId="29AF4F06" w:rsidR="00501347" w:rsidRPr="00F517DE" w:rsidRDefault="00F517DE" w:rsidP="000A7E03">
      <w:pPr>
        <w:pStyle w:val="Corpsdetexte"/>
        <w:ind w:firstLine="0"/>
      </w:pPr>
      <w:r w:rsidRPr="009212F0">
        <w:t>Dans les trois universités, les enseignantes et enseignants ne disposent pas d’aides</w:t>
      </w:r>
      <w:r w:rsidRPr="00334FA3">
        <w:t xml:space="preserve"> pour adapter leur enseignement.</w:t>
      </w:r>
    </w:p>
    <w:p w14:paraId="518F1848" w14:textId="106167C9" w:rsidR="00591D29" w:rsidRPr="00855097" w:rsidRDefault="00591D29" w:rsidP="00591D29">
      <w:pPr>
        <w:pStyle w:val="Titre2"/>
      </w:pPr>
      <w:r>
        <w:lastRenderedPageBreak/>
        <w:t>Le</w:t>
      </w:r>
      <w:r w:rsidR="00C25963">
        <w:t>s retours donnés par le corps étudiant et le corps enseignant</w:t>
      </w:r>
    </w:p>
    <w:p w14:paraId="7F3A4059" w14:textId="79323C7F" w:rsidR="00814594" w:rsidRDefault="00814594" w:rsidP="000A7E03">
      <w:pPr>
        <w:pStyle w:val="Corpsdetexte"/>
        <w:ind w:firstLine="0"/>
      </w:pPr>
      <w:r w:rsidRPr="00334FA3">
        <w:t xml:space="preserve">Certaines universités obtiennent un retour des </w:t>
      </w:r>
      <w:r>
        <w:t>enseignantes et enseignants</w:t>
      </w:r>
      <w:r w:rsidRPr="00334FA3">
        <w:t xml:space="preserve"> ou des étudiant</w:t>
      </w:r>
      <w:r>
        <w:t>es et étudiants</w:t>
      </w:r>
      <w:r w:rsidRPr="00334FA3">
        <w:t xml:space="preserve"> sur les aménagements proposés. </w:t>
      </w:r>
    </w:p>
    <w:p w14:paraId="78C38A65" w14:textId="54D33BC3" w:rsidR="00814594" w:rsidRDefault="00814594" w:rsidP="00814594">
      <w:pPr>
        <w:pStyle w:val="Corpsdetexte"/>
      </w:pPr>
      <w:r w:rsidRPr="00334FA3">
        <w:t>Pour l’université</w:t>
      </w:r>
      <w:r>
        <w:t> </w:t>
      </w:r>
      <w:r w:rsidRPr="00334FA3">
        <w:t xml:space="preserve">1, la personne de contact de l’organisme </w:t>
      </w:r>
      <w:r>
        <w:t xml:space="preserve">universitaire </w:t>
      </w:r>
      <w:r w:rsidRPr="00334FA3">
        <w:t xml:space="preserve">des mesures d’aides organise </w:t>
      </w:r>
      <w:r>
        <w:t>annuellement</w:t>
      </w:r>
      <w:r w:rsidRPr="00334FA3">
        <w:t xml:space="preserve"> une rencontre avec les étudiant</w:t>
      </w:r>
      <w:r>
        <w:t>e</w:t>
      </w:r>
      <w:r w:rsidRPr="00334FA3">
        <w:t>s</w:t>
      </w:r>
      <w:r>
        <w:t xml:space="preserve"> et étudiants</w:t>
      </w:r>
      <w:r w:rsidRPr="00334FA3">
        <w:t xml:space="preserve"> présentant des besoins spécifiques.</w:t>
      </w:r>
      <w:r>
        <w:t xml:space="preserve"> Chaque année, u</w:t>
      </w:r>
      <w:r w:rsidRPr="00334FA3">
        <w:t xml:space="preserve">ne dizaine </w:t>
      </w:r>
      <w:r>
        <w:t>de personnes</w:t>
      </w:r>
      <w:r w:rsidRPr="00334FA3">
        <w:t xml:space="preserve"> </w:t>
      </w:r>
      <w:r>
        <w:t>participent</w:t>
      </w:r>
      <w:r w:rsidRPr="00334FA3">
        <w:t xml:space="preserve"> à ce rendez-vous</w:t>
      </w:r>
      <w:r>
        <w:t xml:space="preserve"> durant lequel</w:t>
      </w:r>
      <w:r w:rsidRPr="00334FA3">
        <w:t xml:space="preserve"> elles peuvent partager leurs ressentis sur les mesures d</w:t>
      </w:r>
      <w:r>
        <w:t>’</w:t>
      </w:r>
      <w:r w:rsidRPr="00334FA3">
        <w:t xml:space="preserve">accompagnement et </w:t>
      </w:r>
      <w:r>
        <w:t xml:space="preserve">les </w:t>
      </w:r>
      <w:r w:rsidRPr="00334FA3">
        <w:t>aménagements reçu</w:t>
      </w:r>
      <w:r>
        <w:t>s</w:t>
      </w:r>
      <w:r w:rsidRPr="00334FA3">
        <w:t xml:space="preserve">. Dans cette université, aucune information sur un retour du corps enseignant n’a été rapportée. </w:t>
      </w:r>
    </w:p>
    <w:p w14:paraId="00A12C79" w14:textId="77777777" w:rsidR="00814594" w:rsidRPr="00334FA3" w:rsidRDefault="00814594" w:rsidP="00814594">
      <w:pPr>
        <w:pStyle w:val="Corpsdetexte"/>
      </w:pPr>
      <w:r w:rsidRPr="00334FA3">
        <w:t>Dans l’université</w:t>
      </w:r>
      <w:r>
        <w:t> </w:t>
      </w:r>
      <w:r w:rsidRPr="00334FA3">
        <w:t xml:space="preserve">2, un questionnaire de satisfaction est envoyé </w:t>
      </w:r>
      <w:r>
        <w:t xml:space="preserve">aux bénéficiaires des aménagements </w:t>
      </w:r>
      <w:r w:rsidRPr="00334FA3">
        <w:t xml:space="preserve">une fois par année. Concernant le corps enseignant, un retour informel est fait </w:t>
      </w:r>
      <w:r>
        <w:t>à</w:t>
      </w:r>
      <w:r w:rsidRPr="00334FA3">
        <w:t xml:space="preserve"> la conseillère </w:t>
      </w:r>
      <w:r>
        <w:t xml:space="preserve">ou au conseiller </w:t>
      </w:r>
      <w:r w:rsidRPr="00334FA3">
        <w:t>académique, qui donne également un retour sur l</w:t>
      </w:r>
      <w:r>
        <w:t>es potentielles</w:t>
      </w:r>
      <w:r w:rsidRPr="00334FA3">
        <w:t xml:space="preserve"> difficulté</w:t>
      </w:r>
      <w:r>
        <w:t>s</w:t>
      </w:r>
      <w:r w:rsidRPr="00334FA3">
        <w:t xml:space="preserve"> de mettre </w:t>
      </w:r>
      <w:r>
        <w:t>en place certains</w:t>
      </w:r>
      <w:r w:rsidRPr="00334FA3">
        <w:t xml:space="preserve"> aménagement</w:t>
      </w:r>
      <w:r>
        <w:t>s</w:t>
      </w:r>
      <w:r w:rsidRPr="00334FA3">
        <w:t>.</w:t>
      </w:r>
    </w:p>
    <w:p w14:paraId="4233C119" w14:textId="4C3F7593" w:rsidR="00814594" w:rsidRPr="00334FA3" w:rsidRDefault="00814594" w:rsidP="00814594">
      <w:pPr>
        <w:pStyle w:val="Corpsdetexte"/>
      </w:pPr>
      <w:r w:rsidRPr="00334FA3">
        <w:t>Dans l’université</w:t>
      </w:r>
      <w:r>
        <w:t> </w:t>
      </w:r>
      <w:r w:rsidRPr="00334FA3">
        <w:t xml:space="preserve">3, il n’y a </w:t>
      </w:r>
      <w:r>
        <w:t>aucun</w:t>
      </w:r>
      <w:r w:rsidRPr="00334FA3">
        <w:t xml:space="preserve"> retou</w:t>
      </w:r>
      <w:r>
        <w:t>r</w:t>
      </w:r>
      <w:r w:rsidRPr="00334FA3">
        <w:t xml:space="preserve"> sauf en cas de problème. Le cas échéant, les personnes concernées doivent informer </w:t>
      </w:r>
      <w:proofErr w:type="spellStart"/>
      <w:r w:rsidRPr="00334FA3">
        <w:t>la</w:t>
      </w:r>
      <w:proofErr w:type="spellEnd"/>
      <w:r>
        <w:t xml:space="preserve"> ou le</w:t>
      </w:r>
      <w:r w:rsidRPr="00334FA3">
        <w:t xml:space="preserve"> responsable du </w:t>
      </w:r>
      <w:r>
        <w:t>D</w:t>
      </w:r>
      <w:r w:rsidRPr="00334FA3">
        <w:t>omaine d’intégration des personnes en situation de handicap. Il n’existe pas d’évaluation standardisée des effets et de la satisfaction associé</w:t>
      </w:r>
      <w:r>
        <w:t>e</w:t>
      </w:r>
      <w:r w:rsidRPr="00334FA3">
        <w:t xml:space="preserve"> aux mesures de compensation des désavantages, </w:t>
      </w:r>
      <w:r>
        <w:t>ni pour les étudiantes ou étudiants ni pour le corps enseignant</w:t>
      </w:r>
      <w:r w:rsidRPr="00334FA3">
        <w:t>.</w:t>
      </w:r>
    </w:p>
    <w:p w14:paraId="3EC4B0ED" w14:textId="123A792A" w:rsidR="00C25963" w:rsidRDefault="00C25963" w:rsidP="00C25963">
      <w:pPr>
        <w:pStyle w:val="Titre1"/>
      </w:pPr>
      <w:r>
        <w:t>Conclusion</w:t>
      </w:r>
      <w:r w:rsidRPr="00855097">
        <w:t xml:space="preserve"> </w:t>
      </w:r>
    </w:p>
    <w:p w14:paraId="4384A383" w14:textId="01AAD87B" w:rsidR="00C20FC3" w:rsidRDefault="0000419C" w:rsidP="000A7E03">
      <w:pPr>
        <w:pStyle w:val="Corpsdetexte"/>
        <w:ind w:firstLine="0"/>
      </w:pPr>
      <w:r w:rsidRPr="00037AE3">
        <w:rPr>
          <w:noProof/>
        </w:rPr>
        <mc:AlternateContent>
          <mc:Choice Requires="wps">
            <w:drawing>
              <wp:anchor distT="45720" distB="45720" distL="46990" distR="46990" simplePos="0" relativeHeight="251658242" behindDoc="0" locked="0" layoutInCell="1" allowOverlap="0" wp14:anchorId="468A68CA" wp14:editId="0BFC3D52">
                <wp:simplePos x="0" y="0"/>
                <wp:positionH relativeFrom="column">
                  <wp:posOffset>-900900</wp:posOffset>
                </wp:positionH>
                <wp:positionV relativeFrom="paragraph">
                  <wp:posOffset>646209</wp:posOffset>
                </wp:positionV>
                <wp:extent cx="5335270" cy="702310"/>
                <wp:effectExtent l="0" t="0" r="0" b="254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270" cy="702310"/>
                        </a:xfrm>
                        <a:prstGeom prst="rect">
                          <a:avLst/>
                        </a:prstGeom>
                        <a:noFill/>
                        <a:ln w="9525">
                          <a:noFill/>
                          <a:miter lim="800000"/>
                          <a:headEnd/>
                          <a:tailEnd/>
                        </a:ln>
                      </wps:spPr>
                      <wps:txbx>
                        <w:txbxContent>
                          <w:p w14:paraId="73CBADB5" w14:textId="4BA9EA04" w:rsidR="00214608" w:rsidRPr="0047168D" w:rsidRDefault="001E35C5" w:rsidP="000A7E03">
                            <w:pPr>
                              <w:pStyle w:val="Hervorhebung1"/>
                              <w:jc w:val="both"/>
                            </w:pPr>
                            <w:r w:rsidRPr="00214608">
                              <w:t xml:space="preserve">Les résultats </w:t>
                            </w:r>
                            <w:r>
                              <w:t>indiquent</w:t>
                            </w:r>
                            <w:r w:rsidRPr="00214608">
                              <w:t xml:space="preserve"> que les aménagements disponibles ciblent surtout les examens. Il semble important de pouvoir former et aider le corps enseignant à adapter leurs cours aux besoins spécifiques des étudiantes et étudiants.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A68CA" id="_x0000_s1028" type="#_x0000_t202" alt="&quot;&quot;" style="position:absolute;left:0;text-align:left;margin-left:-70.95pt;margin-top:50.9pt;width:420.1pt;height:55.3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" o:allowoverlap="f" filled="f" stroked="f">
                <v:textbox inset="29mm,,2.5mm">
                  <w:txbxContent>
                    <w:p w14:paraId="73CBADB5" w14:textId="4BA9EA04" w:rsidR="00214608" w:rsidRPr="0047168D" w:rsidRDefault="001E35C5" w:rsidP="000A7E03">
                      <w:pPr>
                        <w:pStyle w:val="Hervorhebung1"/>
                        <w:jc w:val="both"/>
                      </w:pPr>
                      <w:r w:rsidRPr="00214608">
                        <w:t xml:space="preserve">Les résultats </w:t>
                      </w:r>
                      <w:r>
                        <w:t>indiquent</w:t>
                      </w:r>
                      <w:r w:rsidRPr="00214608">
                        <w:t xml:space="preserve"> que les aménagements disponibles ciblent surtout les examens. Il semble important de pouvoir former et aider le corps enseignant à adapter leurs cours aux besoins spécifiques des étudiantes et étudiants.</w:t>
                      </w:r>
                    </w:p>
                  </w:txbxContent>
                </v:textbox>
                <w10:wrap type="topAndBottom"/>
              </v:shape>
            </w:pict>
          </mc:Fallback>
        </mc:AlternateContent>
      </w:r>
      <w:r w:rsidR="00C20FC3" w:rsidRPr="004B7C7A">
        <w:t xml:space="preserve">Les résultats de </w:t>
      </w:r>
      <w:r w:rsidR="00C20FC3">
        <w:t>notre</w:t>
      </w:r>
      <w:r w:rsidR="00C20FC3" w:rsidRPr="004B7C7A">
        <w:t xml:space="preserve"> étude </w:t>
      </w:r>
      <w:r w:rsidR="00C20FC3">
        <w:t xml:space="preserve">menée en 2023 </w:t>
      </w:r>
      <w:r w:rsidR="00C20FC3" w:rsidRPr="004B7C7A">
        <w:t xml:space="preserve">soulignent que les troubles pris en compte, les </w:t>
      </w:r>
      <w:r w:rsidR="00C20FC3" w:rsidRPr="00497FF6">
        <w:t>procédures et la durée d’octroi sont différents dans les trois universités consultées, chacune située en Suisse romande. Il reste donc à recueillir le point de vue de l’ensemble des universités suisses afin de comprendre les éléments communs et les disparités.</w:t>
      </w:r>
      <w:r w:rsidR="00C20FC3" w:rsidRPr="00334FA3">
        <w:t xml:space="preserve"> </w:t>
      </w:r>
    </w:p>
    <w:p w14:paraId="52819F65" w14:textId="52758637" w:rsidR="00C20FC3" w:rsidRPr="00214608" w:rsidRDefault="00C20FC3" w:rsidP="008C5A51">
      <w:pPr>
        <w:pStyle w:val="Corpsdetexte"/>
        <w:ind w:firstLine="0"/>
      </w:pPr>
      <w:r w:rsidRPr="00497FF6">
        <w:rPr>
          <w:rFonts w:cs="Helvetica"/>
          <w:lang w:val="fr-FR"/>
        </w:rPr>
        <w:t>Depuis 2023, les procédures ont évolué. En effet, l’université 3 utilise maintenant une liste basée sur les</w:t>
      </w:r>
      <w:r w:rsidRPr="004B7C7A">
        <w:rPr>
          <w:rFonts w:cs="Helvetica"/>
          <w:lang w:val="fr-FR"/>
        </w:rPr>
        <w:t xml:space="preserve"> critères de l</w:t>
      </w:r>
      <w:r>
        <w:rPr>
          <w:rFonts w:cs="Helvetica"/>
          <w:lang w:val="fr-FR"/>
        </w:rPr>
        <w:t>a onzième révision</w:t>
      </w:r>
      <w:r w:rsidRPr="004B7C7A">
        <w:rPr>
          <w:rFonts w:cs="Helvetica"/>
          <w:lang w:val="fr-FR"/>
        </w:rPr>
        <w:t xml:space="preserve"> de la </w:t>
      </w:r>
      <w:r w:rsidRPr="004B7C7A">
        <w:rPr>
          <w:rFonts w:cs="Arial"/>
        </w:rPr>
        <w:t>Classification internationale des maladies</w:t>
      </w:r>
      <w:r>
        <w:rPr>
          <w:rFonts w:cs="Arial"/>
        </w:rPr>
        <w:t xml:space="preserve"> (CIM-11) </w:t>
      </w:r>
      <w:r>
        <w:rPr>
          <w:rFonts w:cs="Helvetica"/>
          <w:lang w:val="fr-FR"/>
        </w:rPr>
        <w:t xml:space="preserve">de l’Organisation mondiale de la Santé (OMS, 2019) </w:t>
      </w:r>
      <w:r w:rsidRPr="004B7C7A">
        <w:rPr>
          <w:rFonts w:cs="Helvetica"/>
          <w:lang w:val="fr-FR"/>
        </w:rPr>
        <w:t>pour répertorier les troubles pris en compte</w:t>
      </w:r>
      <w:r>
        <w:rPr>
          <w:rFonts w:cs="Helvetica"/>
          <w:lang w:val="fr-FR"/>
        </w:rPr>
        <w:t xml:space="preserve">. </w:t>
      </w:r>
      <w:r w:rsidRPr="004B7C7A">
        <w:rPr>
          <w:rFonts w:cs="Arial"/>
        </w:rPr>
        <w:t>Pour l’université</w:t>
      </w:r>
      <w:r>
        <w:rPr>
          <w:rFonts w:cs="Arial"/>
        </w:rPr>
        <w:t> </w:t>
      </w:r>
      <w:r w:rsidRPr="004B7C7A">
        <w:rPr>
          <w:rFonts w:cs="Arial"/>
        </w:rPr>
        <w:t>2, l</w:t>
      </w:r>
      <w:r>
        <w:rPr>
          <w:rFonts w:cs="Arial"/>
        </w:rPr>
        <w:t xml:space="preserve">a </w:t>
      </w:r>
      <w:r w:rsidRPr="004B7C7A">
        <w:rPr>
          <w:rFonts w:cs="Arial"/>
        </w:rPr>
        <w:t>CIM-10</w:t>
      </w:r>
      <w:r>
        <w:rPr>
          <w:rFonts w:cs="Arial"/>
        </w:rPr>
        <w:t xml:space="preserve"> (OMS, 2008)</w:t>
      </w:r>
      <w:r w:rsidRPr="004B7C7A">
        <w:rPr>
          <w:rFonts w:cs="Arial"/>
        </w:rPr>
        <w:t xml:space="preserve"> ou le Manuel diagnosti</w:t>
      </w:r>
      <w:r>
        <w:rPr>
          <w:rFonts w:cs="Arial"/>
        </w:rPr>
        <w:t>que</w:t>
      </w:r>
      <w:r w:rsidRPr="004B7C7A">
        <w:rPr>
          <w:rFonts w:cs="Arial"/>
        </w:rPr>
        <w:t xml:space="preserve"> et statistique des troubles mentaux (DSM-5)</w:t>
      </w:r>
      <w:r w:rsidRPr="004B7C7A">
        <w:rPr>
          <w:rFonts w:cs="Helvetica"/>
          <w:lang w:val="fr-FR"/>
        </w:rPr>
        <w:t xml:space="preserve"> </w:t>
      </w:r>
      <w:r>
        <w:rPr>
          <w:rFonts w:cs="Helvetica"/>
          <w:lang w:val="fr-FR"/>
        </w:rPr>
        <w:t xml:space="preserve">de l’American </w:t>
      </w:r>
      <w:proofErr w:type="spellStart"/>
      <w:r>
        <w:rPr>
          <w:rFonts w:cs="Helvetica"/>
          <w:lang w:val="fr-FR"/>
        </w:rPr>
        <w:t>Psychiatric</w:t>
      </w:r>
      <w:proofErr w:type="spellEnd"/>
      <w:r w:rsidR="002D77EA">
        <w:rPr>
          <w:rFonts w:cs="Helvetica"/>
          <w:lang w:val="fr-FR"/>
        </w:rPr>
        <w:t> </w:t>
      </w:r>
      <w:r>
        <w:rPr>
          <w:rFonts w:cs="Helvetica"/>
          <w:lang w:val="fr-FR"/>
        </w:rPr>
        <w:t xml:space="preserve">Association (APA, 2013) </w:t>
      </w:r>
      <w:r w:rsidRPr="004B7C7A">
        <w:rPr>
          <w:rFonts w:cs="Helvetica"/>
          <w:lang w:val="fr-FR"/>
        </w:rPr>
        <w:t xml:space="preserve">sont </w:t>
      </w:r>
      <w:r>
        <w:rPr>
          <w:rFonts w:cs="Helvetica"/>
          <w:lang w:val="fr-FR"/>
        </w:rPr>
        <w:t xml:space="preserve">dès lors </w:t>
      </w:r>
      <w:r w:rsidRPr="004B7C7A">
        <w:rPr>
          <w:rFonts w:cs="Helvetica"/>
          <w:lang w:val="fr-FR"/>
        </w:rPr>
        <w:t>utilisés</w:t>
      </w:r>
      <w:r>
        <w:rPr>
          <w:rFonts w:cs="Helvetica"/>
          <w:lang w:val="fr-FR"/>
        </w:rPr>
        <w:t xml:space="preserve">. </w:t>
      </w:r>
      <w:r w:rsidRPr="004B7C7A">
        <w:rPr>
          <w:rFonts w:cs="Helvetica"/>
          <w:lang w:val="fr-FR"/>
        </w:rPr>
        <w:t xml:space="preserve">Ces changements </w:t>
      </w:r>
      <w:r>
        <w:rPr>
          <w:rFonts w:cs="Helvetica"/>
          <w:lang w:val="fr-FR"/>
        </w:rPr>
        <w:t xml:space="preserve">de pratique </w:t>
      </w:r>
      <w:r w:rsidRPr="004B7C7A">
        <w:rPr>
          <w:rFonts w:cs="Helvetica"/>
          <w:lang w:val="fr-FR"/>
        </w:rPr>
        <w:t>et les résultats de cette étude soulignent l’importance de pouvoir élaborer une liste de troubles et une procédure d’octroi qui soient standardisées et uniformisées</w:t>
      </w:r>
      <w:r w:rsidRPr="004B7C7A">
        <w:t xml:space="preserve"> </w:t>
      </w:r>
      <w:r w:rsidRPr="004B7C7A">
        <w:rPr>
          <w:rFonts w:cs="Helvetica"/>
          <w:lang w:val="fr-FR"/>
        </w:rPr>
        <w:t xml:space="preserve">au niveau de </w:t>
      </w:r>
      <w:r w:rsidRPr="00214608">
        <w:t>l’administration des universités et des hautes écoles suisses. Il semble également primordial que du personnel professionnel de la santé formé aux troubles considérés soit sollicité dans les organismes décisionnels ainsi que des étudiantes et étudiants concernés. Former le personnel enseignant et administratif aux troubles permet de mieux répondre aux besoins des étudiantes et étudiants (Biagiotti et al., 2025). À présent, l’université 3 sollicite sur demande l’une ou l’un des spécialistes du groupe d’expertise-conseil de l’université.</w:t>
      </w:r>
    </w:p>
    <w:p w14:paraId="3CEDC8F5" w14:textId="5AC1E86F" w:rsidR="00E33E72" w:rsidRDefault="00C20FC3" w:rsidP="00E33E72">
      <w:pPr>
        <w:pStyle w:val="Corpsdetexte"/>
      </w:pPr>
      <w:r w:rsidRPr="00214608">
        <w:t xml:space="preserve">Les résultats de cette étude indiquent également que les aménagements disponibles ciblent surtout les examens. Il semble </w:t>
      </w:r>
      <w:r w:rsidRPr="009261EA">
        <w:t>important</w:t>
      </w:r>
      <w:r w:rsidRPr="00214608">
        <w:t xml:space="preserve"> de pouvoir former et aider le corps enseignant à adapter leurs cours aux besoins spécifiques des étudiantes et étudiants. Actuellement, des études montrent que former les enseignantes et enseignants à l’utilisation de l’intelligence artificielle pour modifier leurs supports de cours en fonction des troubles présentés pourrait favoriser la mise en place des aménagements et limiter la quantité de travail associée (Medina et al, 2025). </w:t>
      </w:r>
    </w:p>
    <w:p w14:paraId="3A99CB03" w14:textId="58140F9C" w:rsidR="00C20FC3" w:rsidRPr="00E33E72" w:rsidRDefault="00C20FC3" w:rsidP="00E33E72">
      <w:pPr>
        <w:pStyle w:val="Corpsdetexte"/>
      </w:pPr>
      <w:r w:rsidRPr="00334FA3">
        <w:rPr>
          <w:rFonts w:cs="Times New Roman"/>
        </w:rPr>
        <w:t>Les cursus demeurent également peu adaptés. Depuis la réalisation de ces entretien</w:t>
      </w:r>
      <w:r>
        <w:rPr>
          <w:rFonts w:cs="Times New Roman"/>
        </w:rPr>
        <w:t>s</w:t>
      </w:r>
      <w:r w:rsidRPr="00334FA3">
        <w:rPr>
          <w:rFonts w:cs="Times New Roman"/>
        </w:rPr>
        <w:t>, l’université</w:t>
      </w:r>
      <w:r>
        <w:rPr>
          <w:rFonts w:cs="Times New Roman"/>
        </w:rPr>
        <w:t> </w:t>
      </w:r>
      <w:r w:rsidRPr="00334FA3">
        <w:rPr>
          <w:rFonts w:cs="Times New Roman"/>
        </w:rPr>
        <w:t xml:space="preserve">3 tente d’améliorer </w:t>
      </w:r>
      <w:r>
        <w:rPr>
          <w:rFonts w:cs="Times New Roman"/>
        </w:rPr>
        <w:t>la situation, notamment en proposant u</w:t>
      </w:r>
      <w:r w:rsidRPr="00334FA3">
        <w:rPr>
          <w:rFonts w:cs="Times New Roman"/>
        </w:rPr>
        <w:t xml:space="preserve">ne extension du délai de remise des travaux écrits pour le </w:t>
      </w:r>
      <w:proofErr w:type="spellStart"/>
      <w:r>
        <w:rPr>
          <w:rFonts w:cs="Times New Roman"/>
        </w:rPr>
        <w:t>b</w:t>
      </w:r>
      <w:r w:rsidRPr="00334FA3">
        <w:rPr>
          <w:rFonts w:cs="Times New Roman"/>
        </w:rPr>
        <w:t>achelor</w:t>
      </w:r>
      <w:proofErr w:type="spellEnd"/>
      <w:r w:rsidRPr="00334FA3">
        <w:rPr>
          <w:rFonts w:cs="Times New Roman"/>
        </w:rPr>
        <w:t xml:space="preserve"> et le </w:t>
      </w:r>
      <w:r>
        <w:rPr>
          <w:rFonts w:cs="Times New Roman"/>
        </w:rPr>
        <w:t>m</w:t>
      </w:r>
      <w:r w:rsidRPr="00334FA3">
        <w:rPr>
          <w:rFonts w:cs="Times New Roman"/>
        </w:rPr>
        <w:t>aster</w:t>
      </w:r>
      <w:r>
        <w:rPr>
          <w:rFonts w:cs="Times New Roman"/>
        </w:rPr>
        <w:t>. L</w:t>
      </w:r>
      <w:r w:rsidRPr="00334FA3">
        <w:rPr>
          <w:rFonts w:cs="Times New Roman"/>
        </w:rPr>
        <w:t xml:space="preserve">a prolongation de la durée des études et une aide à l’organisation sont également possibles. </w:t>
      </w:r>
      <w:r>
        <w:rPr>
          <w:rFonts w:cs="Times New Roman"/>
        </w:rPr>
        <w:t>À</w:t>
      </w:r>
      <w:r w:rsidRPr="00334FA3">
        <w:rPr>
          <w:rFonts w:cs="Times New Roman"/>
        </w:rPr>
        <w:t xml:space="preserve"> ce jour, il</w:t>
      </w:r>
      <w:r w:rsidRPr="00334FA3">
        <w:rPr>
          <w:rFonts w:eastAsia="Times New Roman" w:cs="Times New Roman"/>
          <w:color w:val="000000"/>
          <w:lang w:eastAsia="fr-FR"/>
        </w:rPr>
        <w:t xml:space="preserve"> </w:t>
      </w:r>
      <w:r w:rsidRPr="00334FA3">
        <w:rPr>
          <w:rFonts w:cs="Times New Roman"/>
        </w:rPr>
        <w:t xml:space="preserve">serait pertinent </w:t>
      </w:r>
      <w:r w:rsidRPr="00334FA3">
        <w:rPr>
          <w:rFonts w:cs="Times New Roman"/>
        </w:rPr>
        <w:lastRenderedPageBreak/>
        <w:t xml:space="preserve">de pouvoir réfléchir à une procédure commune interuniversitaire </w:t>
      </w:r>
      <w:r>
        <w:rPr>
          <w:rFonts w:cs="Times New Roman"/>
        </w:rPr>
        <w:t xml:space="preserve">pour </w:t>
      </w:r>
      <w:r w:rsidRPr="00334FA3">
        <w:rPr>
          <w:rFonts w:cs="Times New Roman"/>
        </w:rPr>
        <w:t>adapter les cursus et aider les étudiant</w:t>
      </w:r>
      <w:r>
        <w:rPr>
          <w:rFonts w:cs="Times New Roman"/>
        </w:rPr>
        <w:t>es et étudiants</w:t>
      </w:r>
      <w:r w:rsidRPr="00334FA3">
        <w:rPr>
          <w:rFonts w:cs="Times New Roman"/>
        </w:rPr>
        <w:t xml:space="preserve"> présentant des besoins spécifiques à planifier leurs études.  </w:t>
      </w:r>
    </w:p>
    <w:p w14:paraId="406993DB" w14:textId="7118F6F5" w:rsidR="004C76AA" w:rsidRDefault="00C20FC3" w:rsidP="000A7E03">
      <w:pPr>
        <w:pStyle w:val="Corpsdetexte"/>
        <w:ind w:firstLine="0"/>
      </w:pPr>
      <w:r w:rsidRPr="00334FA3">
        <w:t xml:space="preserve">De plus, il existe peu d’études examinant l’évaluation des mesures de compensation des désavantages dans les universités </w:t>
      </w:r>
      <w:r>
        <w:t>en Suisse</w:t>
      </w:r>
      <w:r w:rsidRPr="00334FA3">
        <w:t xml:space="preserve">. Il serait pertinent d’examiner les </w:t>
      </w:r>
      <w:r>
        <w:t>aménagements</w:t>
      </w:r>
      <w:r w:rsidRPr="00334FA3">
        <w:t xml:space="preserve"> proposés dans l’ensemble des universités suisses avec un questionnaire standardisé adressé a</w:t>
      </w:r>
      <w:proofErr w:type="spellStart"/>
      <w:r w:rsidRPr="00334FA3">
        <w:rPr>
          <w:rFonts w:cs="Helvetica"/>
          <w:lang w:val="fr-FR"/>
        </w:rPr>
        <w:t>ux</w:t>
      </w:r>
      <w:proofErr w:type="spellEnd"/>
      <w:r w:rsidRPr="00334FA3">
        <w:rPr>
          <w:rFonts w:cs="Helvetica"/>
          <w:lang w:val="fr-FR"/>
        </w:rPr>
        <w:t xml:space="preserve"> étudiantes</w:t>
      </w:r>
      <w:r>
        <w:rPr>
          <w:rFonts w:cs="Helvetica"/>
          <w:lang w:val="fr-FR"/>
        </w:rPr>
        <w:t xml:space="preserve"> et étudiants ainsi qu’</w:t>
      </w:r>
      <w:r w:rsidRPr="00334FA3">
        <w:rPr>
          <w:rFonts w:cs="Helvetica"/>
          <w:lang w:val="fr-FR"/>
        </w:rPr>
        <w:t>au personnel académique et administratif</w:t>
      </w:r>
      <w:r w:rsidRPr="00334FA3">
        <w:t xml:space="preserve">. </w:t>
      </w:r>
      <w:r w:rsidRPr="00334FA3">
        <w:rPr>
          <w:color w:val="000000" w:themeColor="text1"/>
        </w:rPr>
        <w:t xml:space="preserve">Le questionnaire </w:t>
      </w:r>
      <w:r w:rsidRPr="00A2611C">
        <w:rPr>
          <w:i/>
          <w:color w:val="000000" w:themeColor="text1"/>
        </w:rPr>
        <w:t xml:space="preserve">Academic </w:t>
      </w:r>
      <w:proofErr w:type="spellStart"/>
      <w:r w:rsidRPr="00A2611C">
        <w:rPr>
          <w:i/>
          <w:color w:val="000000" w:themeColor="text1"/>
        </w:rPr>
        <w:t>Impairment</w:t>
      </w:r>
      <w:proofErr w:type="spellEnd"/>
      <w:r w:rsidRPr="00A2611C">
        <w:rPr>
          <w:i/>
          <w:color w:val="000000" w:themeColor="text1"/>
        </w:rPr>
        <w:t xml:space="preserve"> </w:t>
      </w:r>
      <w:proofErr w:type="spellStart"/>
      <w:r w:rsidRPr="00A2611C">
        <w:rPr>
          <w:i/>
          <w:color w:val="000000" w:themeColor="text1"/>
        </w:rPr>
        <w:t>Measure</w:t>
      </w:r>
      <w:proofErr w:type="spellEnd"/>
      <w:r>
        <w:rPr>
          <w:color w:val="000000" w:themeColor="text1"/>
        </w:rPr>
        <w:t> </w:t>
      </w:r>
      <w:r w:rsidRPr="00334FA3">
        <w:rPr>
          <w:color w:val="000000" w:themeColor="text1"/>
        </w:rPr>
        <w:t xml:space="preserve">(AIM) a été créé pour identifier les </w:t>
      </w:r>
      <w:r>
        <w:rPr>
          <w:color w:val="000000" w:themeColor="text1"/>
        </w:rPr>
        <w:t>é</w:t>
      </w:r>
      <w:r w:rsidRPr="00334FA3">
        <w:rPr>
          <w:color w:val="000000" w:themeColor="text1"/>
        </w:rPr>
        <w:t>tudiant</w:t>
      </w:r>
      <w:r>
        <w:rPr>
          <w:color w:val="000000" w:themeColor="text1"/>
        </w:rPr>
        <w:t>es et étudiants</w:t>
      </w:r>
      <w:r w:rsidRPr="00334FA3">
        <w:rPr>
          <w:color w:val="000000" w:themeColor="text1"/>
        </w:rPr>
        <w:t xml:space="preserve"> ayant besoin d’aménagement (Weis et al., 2022)</w:t>
      </w:r>
      <w:r>
        <w:rPr>
          <w:color w:val="000000" w:themeColor="text1"/>
        </w:rPr>
        <w:t>. À notre connaissance,</w:t>
      </w:r>
      <w:r w:rsidRPr="00334FA3">
        <w:rPr>
          <w:color w:val="000000" w:themeColor="text1"/>
        </w:rPr>
        <w:t xml:space="preserve"> </w:t>
      </w:r>
      <w:r>
        <w:rPr>
          <w:color w:val="000000" w:themeColor="text1"/>
        </w:rPr>
        <w:t xml:space="preserve">il n’a pas encore été utilisé en Suisse. </w:t>
      </w:r>
      <w:r>
        <w:rPr>
          <w:rFonts w:cs="Helvetica Neue"/>
          <w:color w:val="000000"/>
        </w:rPr>
        <w:t xml:space="preserve">À </w:t>
      </w:r>
      <w:r w:rsidRPr="00334FA3">
        <w:rPr>
          <w:rFonts w:cs="Helvetica Neue"/>
          <w:color w:val="000000"/>
        </w:rPr>
        <w:t xml:space="preserve">l’avenir, l’objectif serait de </w:t>
      </w:r>
      <w:r w:rsidRPr="00334FA3">
        <w:rPr>
          <w:rFonts w:cs="Helvetica Neue"/>
          <w:color w:val="000000"/>
          <w:lang w:val="fr-FR"/>
        </w:rPr>
        <w:t xml:space="preserve">proposer des procédures plus transparentes, incluant des retours réguliers </w:t>
      </w:r>
      <w:r>
        <w:rPr>
          <w:rFonts w:cs="Helvetica Neue"/>
          <w:color w:val="000000"/>
          <w:lang w:val="fr-FR"/>
        </w:rPr>
        <w:t xml:space="preserve">du corps enseignant et des bénéficiaires. </w:t>
      </w:r>
      <w:r w:rsidRPr="00334FA3">
        <w:rPr>
          <w:rFonts w:cs="Helvetica Neue"/>
          <w:color w:val="000000"/>
          <w:lang w:val="fr-FR"/>
        </w:rPr>
        <w:t xml:space="preserve">Il semble également important de faciliter l’accès aux informations </w:t>
      </w:r>
      <w:r>
        <w:rPr>
          <w:rFonts w:cs="Helvetica Neue"/>
          <w:color w:val="000000"/>
          <w:lang w:val="fr-FR"/>
        </w:rPr>
        <w:t>en ligne</w:t>
      </w:r>
      <w:r w:rsidRPr="00334FA3">
        <w:rPr>
          <w:rFonts w:cs="Helvetica Neue"/>
          <w:color w:val="000000"/>
          <w:lang w:val="fr-FR"/>
        </w:rPr>
        <w:t xml:space="preserve"> en adaptant la présentation aux besoins spécifiques des </w:t>
      </w:r>
      <w:r>
        <w:rPr>
          <w:rFonts w:cs="Helvetica Neue"/>
          <w:color w:val="000000"/>
          <w:lang w:val="fr-FR"/>
        </w:rPr>
        <w:t>étudiantes et étudiants</w:t>
      </w:r>
      <w:r w:rsidRPr="00334FA3">
        <w:rPr>
          <w:rFonts w:cs="Helvetica Neue"/>
          <w:color w:val="000000"/>
          <w:lang w:val="fr-FR"/>
        </w:rPr>
        <w:t xml:space="preserve"> </w:t>
      </w:r>
      <w:r w:rsidRPr="00334FA3">
        <w:rPr>
          <w:color w:val="000000" w:themeColor="text1"/>
        </w:rPr>
        <w:t>(</w:t>
      </w:r>
      <w:proofErr w:type="spellStart"/>
      <w:r w:rsidRPr="00334FA3">
        <w:rPr>
          <w:color w:val="000000" w:themeColor="text1"/>
        </w:rPr>
        <w:t>Krejtz</w:t>
      </w:r>
      <w:proofErr w:type="spellEnd"/>
      <w:r w:rsidRPr="00334FA3">
        <w:rPr>
          <w:color w:val="000000" w:themeColor="text1"/>
        </w:rPr>
        <w:t xml:space="preserve"> et al., 2025). </w:t>
      </w:r>
      <w:r w:rsidRPr="00334FA3">
        <w:t>Ces démarches permettraient de promouvoir une procédure uniformisée au niveau fédéral</w:t>
      </w:r>
      <w:r w:rsidR="004713CB">
        <w:t>,</w:t>
      </w:r>
      <w:r w:rsidRPr="00334FA3">
        <w:t xml:space="preserve"> ce qui favoriserait une égalité des chances pour les étudia</w:t>
      </w:r>
      <w:r>
        <w:t>ntes et étudiants</w:t>
      </w:r>
      <w:r w:rsidRPr="00334FA3">
        <w:t xml:space="preserve"> présentant des besoins spécifiques </w:t>
      </w:r>
      <w:r>
        <w:t>de</w:t>
      </w:r>
      <w:r w:rsidRPr="00334FA3">
        <w:t xml:space="preserve"> l’ensemble des universités suisses</w:t>
      </w:r>
      <w:r w:rsidR="004C76AA">
        <w:t>.</w:t>
      </w:r>
    </w:p>
    <w:p w14:paraId="009F74A8" w14:textId="609A0DBB" w:rsidR="00B50E21" w:rsidRPr="009D6507" w:rsidRDefault="00282F4D" w:rsidP="00DE1CAB">
      <w:pPr>
        <w:pStyle w:val="WichtigBox"/>
        <w:shd w:val="clear" w:color="auto" w:fill="94CBA6" w:themeFill="accent4" w:themeFillTint="99"/>
        <w:ind w:firstLine="0"/>
      </w:pPr>
      <w:r w:rsidRPr="00282F4D">
        <w:rPr>
          <w:b/>
          <w:bCs/>
        </w:rPr>
        <w:t>Remerciements</w:t>
      </w:r>
      <w:r>
        <w:t xml:space="preserve"> : </w:t>
      </w:r>
      <w:r w:rsidR="004C76AA" w:rsidRPr="004C76AA">
        <w:t>Nous remercions vivement les personnes chargées des mesures d</w:t>
      </w:r>
      <w:r w:rsidR="00034214">
        <w:t>’</w:t>
      </w:r>
      <w:r w:rsidR="004C76AA" w:rsidRPr="004C76AA">
        <w:t xml:space="preserve">aménagements des trois </w:t>
      </w:r>
      <w:r w:rsidR="009B315D">
        <w:t>u</w:t>
      </w:r>
      <w:r w:rsidR="004C76AA" w:rsidRPr="004C76AA">
        <w:t xml:space="preserve">niversités </w:t>
      </w:r>
      <w:r w:rsidR="009B315D">
        <w:t>s</w:t>
      </w:r>
      <w:r w:rsidR="004C76AA" w:rsidRPr="004C76AA">
        <w:t>uisse</w:t>
      </w:r>
      <w:r w:rsidR="009B315D">
        <w:t>s</w:t>
      </w:r>
      <w:r w:rsidR="004C76AA" w:rsidRPr="004C76AA">
        <w:t xml:space="preserve"> pour leur disponibilité et leur parti</w:t>
      </w:r>
      <w:r w:rsidR="0050626B">
        <w:t>cipa</w:t>
      </w:r>
      <w:r w:rsidR="004C76AA" w:rsidRPr="004C76AA">
        <w:t>tion à cette étude</w:t>
      </w:r>
      <w:r w:rsidR="00C20FC3" w:rsidRPr="00334FA3">
        <w:t>.</w:t>
      </w:r>
    </w:p>
    <w:p w14:paraId="2B878A5F" w14:textId="00953A2B" w:rsidR="009440A6" w:rsidRPr="009440A6" w:rsidRDefault="00037AE3" w:rsidP="00567299">
      <w:pPr>
        <w:pStyle w:val="Titre1"/>
      </w:pPr>
      <w:r>
        <w:t>Autrices et auteur</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251"/>
      </w:tblGrid>
      <w:tr w:rsidR="00336435" w:rsidRPr="00153133" w14:paraId="63A98D57" w14:textId="77777777" w:rsidTr="00336435">
        <w:tc>
          <w:tcPr>
            <w:tcW w:w="2657" w:type="pct"/>
            <w:vAlign w:val="center"/>
          </w:tcPr>
          <w:p w14:paraId="666FD4AD" w14:textId="5CC63B0F" w:rsidR="00336435" w:rsidRPr="00153133" w:rsidRDefault="00336435" w:rsidP="00282F4D">
            <w:pPr>
              <w:pStyle w:val="Corpsdetexte3"/>
            </w:pPr>
            <w:r>
              <w:rPr>
                <w:noProof/>
              </w:rPr>
              <w:drawing>
                <wp:inline distT="0" distB="0" distL="0" distR="0" wp14:anchorId="7874D111" wp14:editId="36DF4A97">
                  <wp:extent cx="1056172" cy="1152525"/>
                  <wp:effectExtent l="0" t="0" r="0" b="0"/>
                  <wp:docPr id="736341247"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41247" name="Image 6">
                            <a:extLst>
                              <a:ext uri="{C183D7F6-B498-43B3-948B-1728B52AA6E4}">
                                <adec:decorative xmlns:adec="http://schemas.microsoft.com/office/drawing/2017/decorative" val="1"/>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816" t="15345" r="8606"/>
                          <a:stretch/>
                        </pic:blipFill>
                        <pic:spPr bwMode="auto">
                          <a:xfrm>
                            <a:off x="0" y="0"/>
                            <a:ext cx="1074860" cy="11729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43" w:type="pct"/>
            <w:vAlign w:val="center"/>
          </w:tcPr>
          <w:p w14:paraId="6B3ECEA8" w14:textId="61E16A84" w:rsidR="00336435" w:rsidRPr="00153133" w:rsidRDefault="00336435" w:rsidP="00282F4D">
            <w:pPr>
              <w:pStyle w:val="Corpsdetexte3"/>
              <w:rPr>
                <w:noProof/>
              </w:rPr>
            </w:pPr>
            <w:r>
              <w:rPr>
                <w:noProof/>
              </w:rPr>
              <w:drawing>
                <wp:inline distT="0" distB="0" distL="0" distR="0" wp14:anchorId="38FDA5B5" wp14:editId="32077C2E">
                  <wp:extent cx="1201420" cy="1097905"/>
                  <wp:effectExtent l="0" t="0" r="0" b="7620"/>
                  <wp:docPr id="977726224"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26224" name="Image 7">
                            <a:extLst>
                              <a:ext uri="{C183D7F6-B498-43B3-948B-1728B52AA6E4}">
                                <adec:decorative xmlns:adec="http://schemas.microsoft.com/office/drawing/2017/decorative" val="1"/>
                              </a:ext>
                            </a:extLst>
                          </pic:cNvP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9496" r="11906"/>
                          <a:stretch/>
                        </pic:blipFill>
                        <pic:spPr bwMode="auto">
                          <a:xfrm>
                            <a:off x="0" y="0"/>
                            <a:ext cx="1204032" cy="11002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36435" w:rsidRPr="00153133" w14:paraId="450859CC" w14:textId="77777777" w:rsidTr="00336435">
        <w:trPr>
          <w:trHeight w:val="960"/>
        </w:trPr>
        <w:tc>
          <w:tcPr>
            <w:tcW w:w="2657" w:type="pct"/>
          </w:tcPr>
          <w:p w14:paraId="7AA02BA7" w14:textId="74F4737D" w:rsidR="00336435" w:rsidRPr="00153133" w:rsidRDefault="00336435" w:rsidP="00533DA1">
            <w:pPr>
              <w:pStyle w:val="Corpsdetexte3"/>
            </w:pPr>
            <w:r>
              <w:t>Dre Amélie</w:t>
            </w:r>
            <w:r w:rsidR="002D77EA">
              <w:t> </w:t>
            </w:r>
            <w:r>
              <w:t>Dentz</w:t>
            </w:r>
            <w:r w:rsidRPr="00153133">
              <w:br/>
            </w:r>
            <w:r w:rsidRPr="00334FA3">
              <w:rPr>
                <w:rFonts w:eastAsia="Times New Roman" w:cs="Times New Roman"/>
                <w:color w:val="000000" w:themeColor="text1"/>
                <w:lang w:eastAsia="fr-FR"/>
              </w:rPr>
              <w:t>Maitresse d’enseignement de recherche en psychologie</w:t>
            </w:r>
          </w:p>
          <w:p w14:paraId="6DB798D5" w14:textId="093C7BE1" w:rsidR="00336435" w:rsidRPr="00153133" w:rsidRDefault="00336435" w:rsidP="00533DA1">
            <w:pPr>
              <w:pStyle w:val="Corpsdetexte3"/>
            </w:pPr>
            <w:r>
              <w:t>UNIL</w:t>
            </w:r>
          </w:p>
          <w:p w14:paraId="376F0443" w14:textId="3F42D7CF" w:rsidR="00336435" w:rsidRPr="00153133" w:rsidRDefault="00336435" w:rsidP="00533DA1">
            <w:pPr>
              <w:pStyle w:val="Corpsdetexte3"/>
            </w:pPr>
            <w:hyperlink r:id="rId16" w:history="1">
              <w:r w:rsidRPr="00193E28">
                <w:rPr>
                  <w:rStyle w:val="Lienhypertexte"/>
                </w:rPr>
                <w:t>Amelie.Dentz@unil.ch</w:t>
              </w:r>
            </w:hyperlink>
          </w:p>
        </w:tc>
        <w:tc>
          <w:tcPr>
            <w:tcW w:w="2343" w:type="pct"/>
          </w:tcPr>
          <w:p w14:paraId="348A25A0" w14:textId="77777777" w:rsidR="00336435" w:rsidRDefault="00336435" w:rsidP="00037AE3">
            <w:pPr>
              <w:pStyle w:val="Corpsdetexte3"/>
              <w:rPr>
                <w:rFonts w:cs="Times New Roman"/>
                <w:color w:val="000000" w:themeColor="text1"/>
                <w:shd w:val="clear" w:color="auto" w:fill="FFFFFF"/>
              </w:rPr>
            </w:pPr>
            <w:r>
              <w:t>Bianca Frank Baud</w:t>
            </w:r>
            <w:r w:rsidRPr="00153133">
              <w:br/>
            </w:r>
            <w:r w:rsidRPr="00334FA3">
              <w:rPr>
                <w:rFonts w:cs="Times New Roman"/>
                <w:color w:val="000000" w:themeColor="text1"/>
                <w:shd w:val="clear" w:color="auto" w:fill="FFFFFF"/>
              </w:rPr>
              <w:t xml:space="preserve">Psychologue </w:t>
            </w:r>
          </w:p>
          <w:p w14:paraId="4F91776F" w14:textId="2FCD8602" w:rsidR="00336435" w:rsidRPr="00153133" w:rsidRDefault="00336435" w:rsidP="00037AE3">
            <w:pPr>
              <w:pStyle w:val="Corpsdetexte3"/>
            </w:pPr>
            <w:r>
              <w:rPr>
                <w:rFonts w:cs="Times New Roman"/>
                <w:color w:val="000000" w:themeColor="text1"/>
                <w:shd w:val="clear" w:color="auto" w:fill="FFFFFF"/>
              </w:rPr>
              <w:t>T</w:t>
            </w:r>
            <w:r w:rsidRPr="00334FA3">
              <w:rPr>
                <w:rFonts w:cs="Times New Roman"/>
                <w:color w:val="000000" w:themeColor="text1"/>
                <w:shd w:val="clear" w:color="auto" w:fill="FFFFFF"/>
              </w:rPr>
              <w:t>itulaire d’un</w:t>
            </w:r>
            <w:r w:rsidRPr="00334FA3">
              <w:rPr>
                <w:rStyle w:val="Accentuation"/>
                <w:rFonts w:cs="Times New Roman"/>
                <w:b/>
                <w:bCs/>
                <w:color w:val="000000" w:themeColor="text1"/>
                <w:shd w:val="clear" w:color="auto" w:fill="FFFFFF"/>
              </w:rPr>
              <w:t xml:space="preserve"> </w:t>
            </w:r>
            <w:r>
              <w:rPr>
                <w:rStyle w:val="Accentuation"/>
                <w:rFonts w:cs="Times New Roman"/>
                <w:i w:val="0"/>
                <w:iCs w:val="0"/>
                <w:color w:val="000000" w:themeColor="text1"/>
                <w:shd w:val="clear" w:color="auto" w:fill="FFFFFF"/>
              </w:rPr>
              <w:t>m</w:t>
            </w:r>
            <w:r w:rsidRPr="00334FA3">
              <w:rPr>
                <w:rStyle w:val="Accentuation"/>
                <w:rFonts w:cs="Times New Roman"/>
                <w:i w:val="0"/>
                <w:iCs w:val="0"/>
                <w:color w:val="000000" w:themeColor="text1"/>
                <w:shd w:val="clear" w:color="auto" w:fill="FFFFFF"/>
              </w:rPr>
              <w:t>aster de Psychologie à l</w:t>
            </w:r>
            <w:r>
              <w:rPr>
                <w:rStyle w:val="Accentuation"/>
                <w:rFonts w:cs="Times New Roman"/>
                <w:i w:val="0"/>
                <w:iCs w:val="0"/>
                <w:color w:val="000000" w:themeColor="text1"/>
                <w:shd w:val="clear" w:color="auto" w:fill="FFFFFF"/>
              </w:rPr>
              <w:t>’</w:t>
            </w:r>
            <w:r w:rsidRPr="00334FA3">
              <w:rPr>
                <w:rStyle w:val="Accentuation"/>
                <w:rFonts w:cs="Times New Roman"/>
                <w:i w:val="0"/>
                <w:iCs w:val="0"/>
                <w:color w:val="000000" w:themeColor="text1"/>
                <w:shd w:val="clear" w:color="auto" w:fill="FFFFFF"/>
              </w:rPr>
              <w:t>U</w:t>
            </w:r>
            <w:r>
              <w:rPr>
                <w:rStyle w:val="Accentuation"/>
                <w:rFonts w:cs="Times New Roman"/>
                <w:i w:val="0"/>
                <w:iCs w:val="0"/>
                <w:color w:val="000000" w:themeColor="text1"/>
                <w:shd w:val="clear" w:color="auto" w:fill="FFFFFF"/>
              </w:rPr>
              <w:t>NIFR</w:t>
            </w:r>
          </w:p>
          <w:p w14:paraId="1A9FCAA6" w14:textId="717BBAAB" w:rsidR="00B64570" w:rsidRPr="00153133" w:rsidRDefault="00870D45" w:rsidP="00037AE3">
            <w:pPr>
              <w:pStyle w:val="Corpsdetexte3"/>
            </w:pPr>
            <w:hyperlink r:id="rId17" w:history="1">
              <w:r w:rsidRPr="001B7C38">
                <w:rPr>
                  <w:rStyle w:val="Lienhypertexte"/>
                </w:rPr>
                <w:t>bianca.ballaman@gmail.com</w:t>
              </w:r>
            </w:hyperlink>
            <w:r>
              <w:t xml:space="preserve"> </w:t>
            </w:r>
          </w:p>
        </w:tc>
      </w:tr>
      <w:tr w:rsidR="00336435" w:rsidRPr="00153133" w14:paraId="12EF1848" w14:textId="77777777" w:rsidTr="00336435">
        <w:trPr>
          <w:trHeight w:val="960"/>
        </w:trPr>
        <w:tc>
          <w:tcPr>
            <w:tcW w:w="2657" w:type="pct"/>
          </w:tcPr>
          <w:p w14:paraId="0AA32B98" w14:textId="7FA148B7" w:rsidR="00336435" w:rsidRPr="00282F4D" w:rsidRDefault="00336435" w:rsidP="00282F4D">
            <w:pPr>
              <w:pStyle w:val="Corpsdetexte3"/>
            </w:pPr>
            <w:r w:rsidRPr="00282F4D">
              <w:rPr>
                <w:noProof/>
              </w:rPr>
              <w:drawing>
                <wp:inline distT="0" distB="0" distL="0" distR="0" wp14:anchorId="696F9DBF" wp14:editId="694BF169">
                  <wp:extent cx="1160780" cy="1075913"/>
                  <wp:effectExtent l="0" t="0" r="1270" b="0"/>
                  <wp:docPr id="1335932670"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32670" name="Image 8">
                            <a:extLst>
                              <a:ext uri="{C183D7F6-B498-43B3-948B-1728B52AA6E4}">
                                <adec:decorative xmlns:adec="http://schemas.microsoft.com/office/drawing/2017/decorative" val="1"/>
                              </a:ext>
                            </a:extLst>
                          </pic:cNvP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311"/>
                          <a:stretch/>
                        </pic:blipFill>
                        <pic:spPr bwMode="auto">
                          <a:xfrm>
                            <a:off x="0" y="0"/>
                            <a:ext cx="1170346" cy="10847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43" w:type="pct"/>
          </w:tcPr>
          <w:p w14:paraId="30CC2A08" w14:textId="60B7883C" w:rsidR="00336435" w:rsidRDefault="00336435" w:rsidP="00037AE3">
            <w:pPr>
              <w:pStyle w:val="Corpsdetexte3"/>
            </w:pPr>
            <w:r>
              <w:rPr>
                <w:noProof/>
              </w:rPr>
              <w:drawing>
                <wp:inline distT="0" distB="0" distL="0" distR="0" wp14:anchorId="7BF25DE8" wp14:editId="5267BA1B">
                  <wp:extent cx="1142515" cy="1085850"/>
                  <wp:effectExtent l="0" t="0" r="635" b="0"/>
                  <wp:docPr id="74967452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674529" name="Image 9">
                            <a:extLst>
                              <a:ext uri="{C183D7F6-B498-43B3-948B-1728B52AA6E4}">
                                <adec:decorative xmlns:adec="http://schemas.microsoft.com/office/drawing/2017/decorative" val="1"/>
                              </a:ext>
                            </a:extLst>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856" t="9576"/>
                          <a:stretch/>
                        </pic:blipFill>
                        <pic:spPr bwMode="auto">
                          <a:xfrm>
                            <a:off x="0" y="0"/>
                            <a:ext cx="1152274" cy="1095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36435" w:rsidRPr="00153133" w14:paraId="1587A32B" w14:textId="77777777" w:rsidTr="00336435">
        <w:trPr>
          <w:trHeight w:val="960"/>
        </w:trPr>
        <w:tc>
          <w:tcPr>
            <w:tcW w:w="2657" w:type="pct"/>
          </w:tcPr>
          <w:p w14:paraId="5FDAC925" w14:textId="77777777" w:rsidR="00336435" w:rsidRDefault="00336435" w:rsidP="00336435">
            <w:pPr>
              <w:pStyle w:val="Corpsdetexte3"/>
              <w:rPr>
                <w:rFonts w:cs="Times New Roman"/>
                <w:color w:val="000000" w:themeColor="text1"/>
              </w:rPr>
            </w:pPr>
            <w:r>
              <w:t>Prof. Dre Chantal Martin Sölch</w:t>
            </w:r>
            <w:r>
              <w:rPr>
                <w:rFonts w:cs="Times New Roman"/>
                <w:color w:val="000000" w:themeColor="text1"/>
              </w:rPr>
              <w:br/>
            </w:r>
            <w:r w:rsidRPr="00334FA3">
              <w:rPr>
                <w:rFonts w:cs="Times New Roman"/>
                <w:color w:val="000000" w:themeColor="text1"/>
              </w:rPr>
              <w:t>Unité de Psychologie clinique et de psychologie de la sant</w:t>
            </w:r>
            <w:r>
              <w:rPr>
                <w:rFonts w:cs="Times New Roman"/>
                <w:color w:val="000000" w:themeColor="text1"/>
              </w:rPr>
              <w:t>é</w:t>
            </w:r>
            <w:r w:rsidRPr="00334FA3">
              <w:rPr>
                <w:rFonts w:cs="Times New Roman"/>
                <w:color w:val="000000" w:themeColor="text1"/>
              </w:rPr>
              <w:t xml:space="preserve"> </w:t>
            </w:r>
            <w:r>
              <w:rPr>
                <w:rFonts w:cs="Times New Roman"/>
                <w:color w:val="000000" w:themeColor="text1"/>
              </w:rPr>
              <w:br/>
            </w:r>
            <w:r w:rsidRPr="00334FA3">
              <w:rPr>
                <w:rFonts w:cs="Times New Roman"/>
                <w:color w:val="000000" w:themeColor="text1"/>
              </w:rPr>
              <w:t>Département de Psychologie U</w:t>
            </w:r>
            <w:r>
              <w:rPr>
                <w:rFonts w:cs="Times New Roman"/>
                <w:color w:val="000000" w:themeColor="text1"/>
              </w:rPr>
              <w:t>NIFR</w:t>
            </w:r>
          </w:p>
          <w:p w14:paraId="1012CD4D" w14:textId="676388A0" w:rsidR="00336435" w:rsidRDefault="00336435" w:rsidP="00336435">
            <w:pPr>
              <w:pStyle w:val="Corpsdetexte3"/>
            </w:pPr>
            <w:hyperlink r:id="rId20" w:history="1">
              <w:r w:rsidRPr="00FE196D">
                <w:rPr>
                  <w:rStyle w:val="Lienhypertexte"/>
                  <w:rFonts w:cs="Times New Roman"/>
                </w:rPr>
                <w:t>chantal.martinsoelch@unifr.ch</w:t>
              </w:r>
            </w:hyperlink>
          </w:p>
        </w:tc>
        <w:tc>
          <w:tcPr>
            <w:tcW w:w="2343" w:type="pct"/>
          </w:tcPr>
          <w:p w14:paraId="4DDC521F" w14:textId="445F7CEC" w:rsidR="00336435" w:rsidRPr="00153133" w:rsidRDefault="00336435" w:rsidP="00336435">
            <w:pPr>
              <w:pStyle w:val="Corpsdetexte3"/>
            </w:pPr>
            <w:r>
              <w:t>Prof. Dr Nicolas</w:t>
            </w:r>
            <w:r w:rsidR="002D77EA">
              <w:t> </w:t>
            </w:r>
            <w:r>
              <w:t>Ruffieux</w:t>
            </w:r>
            <w:r w:rsidRPr="00153133">
              <w:br/>
            </w:r>
            <w:r w:rsidRPr="00334FA3">
              <w:rPr>
                <w:rFonts w:cs="Times New Roman"/>
                <w:color w:val="000000" w:themeColor="text1"/>
              </w:rPr>
              <w:t>Département de pédagogie spécialisée</w:t>
            </w:r>
            <w:r>
              <w:rPr>
                <w:rFonts w:cs="Times New Roman"/>
                <w:color w:val="000000" w:themeColor="text1"/>
              </w:rPr>
              <w:br/>
            </w:r>
            <w:r w:rsidRPr="00334FA3">
              <w:rPr>
                <w:rFonts w:cs="Times New Roman"/>
                <w:color w:val="000000" w:themeColor="text1"/>
              </w:rPr>
              <w:t>U</w:t>
            </w:r>
            <w:r>
              <w:rPr>
                <w:rFonts w:cs="Times New Roman"/>
                <w:color w:val="000000" w:themeColor="text1"/>
              </w:rPr>
              <w:t>NIFR</w:t>
            </w:r>
          </w:p>
          <w:p w14:paraId="3C5AB03B" w14:textId="18473BB1" w:rsidR="00336435" w:rsidRDefault="00336435" w:rsidP="00336435">
            <w:pPr>
              <w:pStyle w:val="Corpsdetexte3"/>
            </w:pPr>
            <w:hyperlink r:id="rId21" w:history="1">
              <w:r w:rsidRPr="00873BEE">
                <w:rPr>
                  <w:rStyle w:val="Lienhypertexte"/>
                </w:rPr>
                <w:t>nicolas.ruffieux@unifr.ch</w:t>
              </w:r>
            </w:hyperlink>
          </w:p>
        </w:tc>
      </w:tr>
    </w:tbl>
    <w:p w14:paraId="5E06F3BA" w14:textId="3AB90EF2" w:rsidR="00870508" w:rsidRPr="00153133" w:rsidRDefault="00870508" w:rsidP="00F10F10">
      <w:pPr>
        <w:pStyle w:val="Titre1"/>
      </w:pPr>
      <w:r w:rsidRPr="00153133">
        <w:t xml:space="preserve">Références </w:t>
      </w:r>
    </w:p>
    <w:p w14:paraId="556AF349" w14:textId="77777777" w:rsidR="00153AEF" w:rsidRPr="00A2611C" w:rsidRDefault="00153AEF" w:rsidP="000A7E03">
      <w:pPr>
        <w:pStyle w:val="Bibliographie"/>
        <w:rPr>
          <w:rFonts w:eastAsia="Times New Roman" w:cs="Arial"/>
          <w:color w:val="000000"/>
          <w:lang w:val="en-GB" w:eastAsia="fr-FR"/>
        </w:rPr>
      </w:pPr>
      <w:r>
        <w:rPr>
          <w:rFonts w:cs="Helvetica"/>
          <w:lang w:val="fr-FR"/>
        </w:rPr>
        <w:t xml:space="preserve">American </w:t>
      </w:r>
      <w:proofErr w:type="spellStart"/>
      <w:r>
        <w:rPr>
          <w:rFonts w:cs="Helvetica"/>
          <w:lang w:val="fr-FR"/>
        </w:rPr>
        <w:t>Psychiatric</w:t>
      </w:r>
      <w:proofErr w:type="spellEnd"/>
      <w:r>
        <w:rPr>
          <w:rFonts w:cs="Helvetica"/>
          <w:lang w:val="fr-FR"/>
        </w:rPr>
        <w:t xml:space="preserve"> Association [APA] (2013). DSM-5. </w:t>
      </w:r>
      <w:r w:rsidRPr="004B7C7A">
        <w:rPr>
          <w:rFonts w:cs="Arial"/>
        </w:rPr>
        <w:t>Manuel diagnosti</w:t>
      </w:r>
      <w:r>
        <w:rPr>
          <w:rFonts w:cs="Arial"/>
        </w:rPr>
        <w:t>que</w:t>
      </w:r>
      <w:r w:rsidRPr="004B7C7A">
        <w:rPr>
          <w:rFonts w:cs="Arial"/>
        </w:rPr>
        <w:t xml:space="preserve"> et statistique des troubles mentaux (</w:t>
      </w:r>
      <w:r>
        <w:rPr>
          <w:rFonts w:cs="Arial"/>
        </w:rPr>
        <w:t>5 éd., trad.)</w:t>
      </w:r>
      <w:r>
        <w:rPr>
          <w:rFonts w:cs="Helvetica"/>
          <w:lang w:val="fr-FR"/>
        </w:rPr>
        <w:t xml:space="preserve">. </w:t>
      </w:r>
      <w:r w:rsidRPr="00A2611C">
        <w:rPr>
          <w:rFonts w:cs="Arial"/>
          <w:color w:val="222222"/>
          <w:shd w:val="clear" w:color="auto" w:fill="FFFFFF"/>
          <w:lang w:val="en-GB"/>
        </w:rPr>
        <w:t>Elsevier Health Sciences</w:t>
      </w:r>
      <w:r>
        <w:rPr>
          <w:rFonts w:cs="Helvetica"/>
          <w:lang w:val="en-GB"/>
        </w:rPr>
        <w:t xml:space="preserve">. </w:t>
      </w:r>
      <w:hyperlink r:id="rId22" w:history="1">
        <w:r w:rsidRPr="00A2611C">
          <w:rPr>
            <w:rStyle w:val="Lienhypertexte"/>
            <w:rFonts w:cs="Helvetica"/>
            <w:lang w:val="en-GB"/>
          </w:rPr>
          <w:t>https://www.infodrog.ch/files/content/refbases/DSM-5_Manuel-diagnostique-et-statistique-des-troubles-mentaux.pdf</w:t>
        </w:r>
      </w:hyperlink>
      <w:r w:rsidRPr="00A2611C">
        <w:rPr>
          <w:rFonts w:cs="Helvetica"/>
          <w:lang w:val="en-GB"/>
        </w:rPr>
        <w:t xml:space="preserve"> </w:t>
      </w:r>
    </w:p>
    <w:p w14:paraId="502BB04C" w14:textId="16CFEB73" w:rsidR="00153AEF" w:rsidRPr="00356FCF" w:rsidRDefault="00153AEF" w:rsidP="000A7E03">
      <w:pPr>
        <w:pStyle w:val="Bibliographie"/>
        <w:rPr>
          <w:rFonts w:eastAsia="Times New Roman" w:cs="Arial"/>
          <w:color w:val="000000"/>
          <w:lang w:val="it-IT" w:eastAsia="fr-FR"/>
        </w:rPr>
      </w:pPr>
      <w:r w:rsidRPr="004B7C7A">
        <w:rPr>
          <w:rFonts w:eastAsia="Times New Roman" w:cs="Arial"/>
          <w:color w:val="000000"/>
          <w:lang w:eastAsia="fr-FR"/>
        </w:rPr>
        <w:lastRenderedPageBreak/>
        <w:t xml:space="preserve">Ayer, G. </w:t>
      </w:r>
      <w:r>
        <w:rPr>
          <w:rFonts w:eastAsia="Times New Roman" w:cs="Arial"/>
          <w:color w:val="000000"/>
          <w:lang w:eastAsia="fr-FR"/>
        </w:rPr>
        <w:t>(2021).</w:t>
      </w:r>
      <w:r w:rsidRPr="004B7C7A">
        <w:rPr>
          <w:rFonts w:eastAsia="Times New Roman" w:cs="Arial"/>
          <w:color w:val="000000"/>
          <w:lang w:eastAsia="fr-FR"/>
        </w:rPr>
        <w:t xml:space="preserve"> </w:t>
      </w:r>
      <w:r w:rsidRPr="004B7C7A">
        <w:rPr>
          <w:rFonts w:eastAsia="Times New Roman" w:cs="Arial"/>
          <w:i/>
          <w:iCs/>
          <w:color w:val="000000"/>
          <w:lang w:eastAsia="fr-FR"/>
        </w:rPr>
        <w:t>Trouble du</w:t>
      </w:r>
      <w:r>
        <w:rPr>
          <w:rFonts w:eastAsia="Times New Roman" w:cs="Arial"/>
          <w:color w:val="000000"/>
          <w:lang w:eastAsia="fr-FR"/>
        </w:rPr>
        <w:t xml:space="preserve"> </w:t>
      </w:r>
      <w:r w:rsidRPr="004B7C7A">
        <w:rPr>
          <w:rFonts w:eastAsia="Times New Roman" w:cs="Arial"/>
          <w:i/>
          <w:iCs/>
          <w:color w:val="000000"/>
          <w:lang w:eastAsia="fr-FR"/>
        </w:rPr>
        <w:t>Déficit de l’attention avec ou sans hyperactivité à l’école régulière</w:t>
      </w:r>
      <w:r>
        <w:rPr>
          <w:rFonts w:eastAsia="Times New Roman" w:cs="Arial"/>
          <w:i/>
          <w:iCs/>
          <w:color w:val="000000"/>
          <w:lang w:eastAsia="fr-FR"/>
        </w:rPr>
        <w:t> </w:t>
      </w:r>
      <w:r w:rsidRPr="004B7C7A">
        <w:rPr>
          <w:rFonts w:eastAsia="Times New Roman" w:cs="Arial"/>
          <w:i/>
          <w:iCs/>
          <w:color w:val="000000"/>
          <w:lang w:eastAsia="fr-FR"/>
        </w:rPr>
        <w:t>: Informations</w:t>
      </w:r>
      <w:r>
        <w:rPr>
          <w:rFonts w:eastAsia="Times New Roman" w:cs="Arial"/>
          <w:i/>
          <w:iCs/>
          <w:color w:val="000000"/>
          <w:lang w:eastAsia="fr-FR"/>
        </w:rPr>
        <w:t xml:space="preserve"> </w:t>
      </w:r>
      <w:r w:rsidRPr="004B7C7A">
        <w:rPr>
          <w:rFonts w:eastAsia="Times New Roman" w:cs="Arial"/>
          <w:i/>
          <w:iCs/>
          <w:color w:val="000000"/>
          <w:lang w:eastAsia="fr-FR"/>
        </w:rPr>
        <w:t>à l’intention du corps enseignant sur le trouble, les mesures de différenciation</w:t>
      </w:r>
      <w:r>
        <w:rPr>
          <w:rFonts w:eastAsia="Times New Roman" w:cs="Arial"/>
          <w:i/>
          <w:iCs/>
          <w:color w:val="000000"/>
          <w:lang w:eastAsia="fr-FR"/>
        </w:rPr>
        <w:t xml:space="preserve"> </w:t>
      </w:r>
      <w:r w:rsidRPr="004B7C7A">
        <w:rPr>
          <w:rFonts w:eastAsia="Times New Roman" w:cs="Arial"/>
          <w:i/>
          <w:iCs/>
          <w:color w:val="000000"/>
          <w:lang w:eastAsia="fr-FR"/>
        </w:rPr>
        <w:t>pédagogiques et la compensation des désavantages</w:t>
      </w:r>
      <w:r w:rsidRPr="004B7C7A">
        <w:rPr>
          <w:rFonts w:eastAsia="Times New Roman" w:cs="Arial"/>
          <w:color w:val="000000"/>
          <w:lang w:eastAsia="fr-FR"/>
        </w:rPr>
        <w:t>.</w:t>
      </w:r>
      <w:r>
        <w:rPr>
          <w:rFonts w:eastAsia="Times New Roman" w:cs="Arial"/>
          <w:color w:val="000000"/>
          <w:lang w:eastAsia="fr-FR"/>
        </w:rPr>
        <w:t xml:space="preserve"> </w:t>
      </w:r>
      <w:r w:rsidRPr="00356FCF">
        <w:rPr>
          <w:rFonts w:eastAsia="Times New Roman" w:cs="Arial"/>
          <w:color w:val="000000"/>
          <w:lang w:val="it-IT" w:eastAsia="fr-FR"/>
        </w:rPr>
        <w:t>SZH/CSPS &amp; CIIP</w:t>
      </w:r>
      <w:r w:rsidR="00C665F7" w:rsidRPr="00FC1251">
        <w:rPr>
          <w:lang w:val="it-CH"/>
        </w:rPr>
        <w:t xml:space="preserve">. </w:t>
      </w:r>
      <w:hyperlink r:id="rId23" w:history="1">
        <w:r w:rsidR="00C665F7" w:rsidRPr="00C665F7">
          <w:rPr>
            <w:rStyle w:val="Lienhypertexte"/>
            <w:rFonts w:eastAsia="Times New Roman" w:cs="Arial"/>
            <w:lang w:val="it-IT" w:eastAsia="fr-FR"/>
          </w:rPr>
          <w:t>https://edudoc.ch/record/130165?ln=fr</w:t>
        </w:r>
      </w:hyperlink>
    </w:p>
    <w:p w14:paraId="371735FE" w14:textId="77777777" w:rsidR="00153AEF" w:rsidRPr="005F7584" w:rsidRDefault="00153AEF" w:rsidP="000A7E03">
      <w:pPr>
        <w:pStyle w:val="Bibliographie"/>
        <w:rPr>
          <w:rFonts w:cs="Arial"/>
          <w:color w:val="222222"/>
          <w:shd w:val="clear" w:color="auto" w:fill="FFFFFF"/>
        </w:rPr>
      </w:pPr>
      <w:r w:rsidRPr="00B754D6">
        <w:rPr>
          <w:rFonts w:cs="Arial"/>
          <w:color w:val="222222"/>
          <w:shd w:val="clear" w:color="auto" w:fill="FFFFFF"/>
          <w:lang w:val="it-CH"/>
        </w:rPr>
        <w:t xml:space="preserve">Biagiotti, G., Bellacicco, R., Moriña, A., &amp; Tontini, L. (2025). </w:t>
      </w:r>
      <w:r w:rsidRPr="00A2611C">
        <w:rPr>
          <w:rFonts w:cs="Arial"/>
          <w:color w:val="222222"/>
          <w:shd w:val="clear" w:color="auto" w:fill="FFFFFF"/>
          <w:lang w:val="en-GB"/>
        </w:rPr>
        <w:t>Experiences and recommendations for disability offices: a qualitative study in Italian and Spanish universities.</w:t>
      </w:r>
      <w:r w:rsidRPr="00A2611C">
        <w:rPr>
          <w:rStyle w:val="apple-converted-space"/>
          <w:rFonts w:cs="Arial"/>
          <w:color w:val="222222"/>
          <w:shd w:val="clear" w:color="auto" w:fill="FFFFFF"/>
          <w:lang w:val="en-GB"/>
        </w:rPr>
        <w:t> </w:t>
      </w:r>
      <w:proofErr w:type="spellStart"/>
      <w:r w:rsidRPr="004B7C7A">
        <w:rPr>
          <w:rFonts w:cs="Arial"/>
          <w:i/>
          <w:iCs/>
          <w:color w:val="222222"/>
        </w:rPr>
        <w:t>Studies</w:t>
      </w:r>
      <w:proofErr w:type="spellEnd"/>
      <w:r w:rsidRPr="004B7C7A">
        <w:rPr>
          <w:rFonts w:cs="Arial"/>
          <w:i/>
          <w:iCs/>
          <w:color w:val="222222"/>
        </w:rPr>
        <w:t xml:space="preserve"> in </w:t>
      </w:r>
      <w:proofErr w:type="spellStart"/>
      <w:r w:rsidRPr="004B7C7A">
        <w:rPr>
          <w:rFonts w:cs="Arial"/>
          <w:i/>
          <w:iCs/>
          <w:color w:val="222222"/>
        </w:rPr>
        <w:t>Higher</w:t>
      </w:r>
      <w:proofErr w:type="spellEnd"/>
      <w:r w:rsidRPr="004B7C7A">
        <w:rPr>
          <w:rFonts w:cs="Arial"/>
          <w:i/>
          <w:iCs/>
          <w:color w:val="222222"/>
        </w:rPr>
        <w:t xml:space="preserve"> Education</w:t>
      </w:r>
      <w:r w:rsidRPr="004B7C7A">
        <w:rPr>
          <w:rFonts w:cs="Arial"/>
          <w:color w:val="222222"/>
          <w:shd w:val="clear" w:color="auto" w:fill="FFFFFF"/>
        </w:rPr>
        <w:t>, 1-18.</w:t>
      </w:r>
      <w:r>
        <w:rPr>
          <w:rFonts w:cs="Arial"/>
          <w:color w:val="222222"/>
          <w:shd w:val="clear" w:color="auto" w:fill="FFFFFF"/>
        </w:rPr>
        <w:t xml:space="preserve"> </w:t>
      </w:r>
      <w:hyperlink r:id="rId24" w:history="1">
        <w:r w:rsidRPr="006C7F96">
          <w:rPr>
            <w:rStyle w:val="Lienhypertexte"/>
            <w:rFonts w:eastAsia="Times New Roman" w:cs="Arial"/>
            <w:lang w:eastAsia="fr-FR"/>
          </w:rPr>
          <w:t>https://doi.org/10.1080/03075079.2025.2573214</w:t>
        </w:r>
      </w:hyperlink>
    </w:p>
    <w:p w14:paraId="107F2EB6" w14:textId="11268308" w:rsidR="00153AEF" w:rsidRPr="004B7C7A" w:rsidRDefault="00153AEF" w:rsidP="000A7E03">
      <w:pPr>
        <w:pStyle w:val="Bibliographie"/>
        <w:rPr>
          <w:rFonts w:eastAsia="Times New Roman" w:cs="Arial"/>
          <w:color w:val="000000"/>
          <w:lang w:eastAsia="fr-FR"/>
        </w:rPr>
      </w:pPr>
      <w:r w:rsidRPr="004B7C7A">
        <w:rPr>
          <w:rFonts w:eastAsia="Times New Roman" w:cs="Arial"/>
          <w:color w:val="000000"/>
          <w:lang w:eastAsia="fr-FR"/>
        </w:rPr>
        <w:t>Convention relative aux droits des personnes handicapées</w:t>
      </w:r>
      <w:r>
        <w:rPr>
          <w:rFonts w:eastAsia="Times New Roman" w:cs="Arial"/>
          <w:color w:val="000000"/>
          <w:lang w:eastAsia="fr-FR"/>
        </w:rPr>
        <w:t xml:space="preserve"> du 15</w:t>
      </w:r>
      <w:r w:rsidR="00B03660">
        <w:rPr>
          <w:rFonts w:eastAsia="Times New Roman" w:cs="Arial"/>
          <w:color w:val="000000"/>
          <w:lang w:eastAsia="fr-FR"/>
        </w:rPr>
        <w:t> </w:t>
      </w:r>
      <w:r>
        <w:rPr>
          <w:rFonts w:eastAsia="Times New Roman" w:cs="Arial"/>
          <w:color w:val="000000"/>
          <w:lang w:eastAsia="fr-FR"/>
        </w:rPr>
        <w:t>mai</w:t>
      </w:r>
      <w:r w:rsidR="00B03660">
        <w:rPr>
          <w:rFonts w:eastAsia="Times New Roman" w:cs="Arial"/>
          <w:color w:val="000000"/>
          <w:lang w:eastAsia="fr-FR"/>
        </w:rPr>
        <w:t> </w:t>
      </w:r>
      <w:r>
        <w:rPr>
          <w:rFonts w:eastAsia="Times New Roman" w:cs="Arial"/>
          <w:color w:val="000000"/>
          <w:lang w:eastAsia="fr-FR"/>
        </w:rPr>
        <w:t>2014</w:t>
      </w:r>
      <w:r w:rsidRPr="004B7C7A">
        <w:rPr>
          <w:rFonts w:eastAsia="Times New Roman" w:cs="Arial"/>
          <w:color w:val="000000"/>
          <w:lang w:eastAsia="fr-FR"/>
        </w:rPr>
        <w:t>RS</w:t>
      </w:r>
      <w:r>
        <w:rPr>
          <w:rFonts w:eastAsia="Times New Roman" w:cs="Arial"/>
          <w:color w:val="000000"/>
          <w:lang w:eastAsia="fr-FR"/>
        </w:rPr>
        <w:t> </w:t>
      </w:r>
      <w:r w:rsidRPr="004B7C7A">
        <w:rPr>
          <w:rFonts w:eastAsia="Times New Roman" w:cs="Arial"/>
          <w:color w:val="000000"/>
          <w:lang w:eastAsia="fr-FR"/>
        </w:rPr>
        <w:t>0.109 (</w:t>
      </w:r>
      <w:r w:rsidRPr="009049A5">
        <w:rPr>
          <w:rFonts w:eastAsia="Times New Roman" w:cs="Arial"/>
          <w:color w:val="000000"/>
          <w:lang w:eastAsia="fr-FR"/>
        </w:rPr>
        <w:t xml:space="preserve">État </w:t>
      </w:r>
      <w:r>
        <w:rPr>
          <w:rFonts w:eastAsia="Times New Roman" w:cs="Arial"/>
          <w:color w:val="000000"/>
          <w:lang w:eastAsia="fr-FR"/>
        </w:rPr>
        <w:t>le 1</w:t>
      </w:r>
      <w:r w:rsidRPr="00A2611C">
        <w:rPr>
          <w:rFonts w:eastAsia="Times New Roman" w:cs="Arial"/>
          <w:color w:val="000000"/>
          <w:vertAlign w:val="superscript"/>
          <w:lang w:eastAsia="fr-FR"/>
        </w:rPr>
        <w:t>er</w:t>
      </w:r>
      <w:r w:rsidR="00B03660">
        <w:rPr>
          <w:rFonts w:eastAsia="Times New Roman" w:cs="Arial"/>
          <w:color w:val="000000"/>
          <w:lang w:eastAsia="fr-FR"/>
        </w:rPr>
        <w:t> </w:t>
      </w:r>
      <w:r>
        <w:rPr>
          <w:rFonts w:eastAsia="Times New Roman" w:cs="Arial"/>
          <w:color w:val="000000"/>
          <w:lang w:eastAsia="fr-FR"/>
        </w:rPr>
        <w:t>mai</w:t>
      </w:r>
      <w:r w:rsidR="00B03660">
        <w:rPr>
          <w:rFonts w:eastAsia="Times New Roman" w:cs="Arial"/>
          <w:color w:val="000000"/>
          <w:lang w:eastAsia="fr-FR"/>
        </w:rPr>
        <w:t> </w:t>
      </w:r>
      <w:r>
        <w:rPr>
          <w:rFonts w:eastAsia="Times New Roman" w:cs="Arial"/>
          <w:color w:val="000000"/>
          <w:lang w:eastAsia="fr-FR"/>
        </w:rPr>
        <w:t>2026</w:t>
      </w:r>
      <w:r w:rsidRPr="004B7C7A">
        <w:rPr>
          <w:rFonts w:eastAsia="Times New Roman" w:cs="Arial"/>
          <w:color w:val="000000"/>
          <w:lang w:eastAsia="fr-FR"/>
        </w:rPr>
        <w:t>).</w:t>
      </w:r>
      <w:r>
        <w:rPr>
          <w:rFonts w:eastAsia="Times New Roman" w:cs="Arial"/>
          <w:color w:val="000000"/>
          <w:lang w:eastAsia="fr-FR"/>
        </w:rPr>
        <w:t xml:space="preserve"> </w:t>
      </w:r>
      <w:hyperlink r:id="rId25" w:history="1">
        <w:r w:rsidRPr="004B7C7A">
          <w:rPr>
            <w:rStyle w:val="Lienhypertexte"/>
            <w:rFonts w:eastAsia="Times New Roman" w:cs="Arial"/>
            <w:lang w:eastAsia="fr-FR"/>
          </w:rPr>
          <w:t>https://www.fedlex.admin.ch/eli/cc/2014/245/fr</w:t>
        </w:r>
      </w:hyperlink>
    </w:p>
    <w:p w14:paraId="058DC4FA" w14:textId="345D6EC5" w:rsidR="00153AEF" w:rsidRDefault="00153AEF" w:rsidP="000A7E03">
      <w:pPr>
        <w:pStyle w:val="Bibliographie"/>
        <w:rPr>
          <w:rFonts w:eastAsia="Times New Roman" w:cs="Arial"/>
          <w:color w:val="000000"/>
          <w:lang w:val="en-GB" w:eastAsia="fr-FR"/>
        </w:rPr>
      </w:pPr>
      <w:r w:rsidRPr="004B7C7A">
        <w:rPr>
          <w:rFonts w:eastAsia="Times New Roman" w:cs="Arial"/>
          <w:color w:val="000000"/>
          <w:lang w:eastAsia="fr-FR"/>
        </w:rPr>
        <w:t>Fournier, A</w:t>
      </w:r>
      <w:r>
        <w:rPr>
          <w:rFonts w:eastAsia="Times New Roman" w:cs="Arial"/>
          <w:color w:val="000000"/>
          <w:lang w:eastAsia="fr-FR"/>
        </w:rPr>
        <w:t>.-</w:t>
      </w:r>
      <w:r w:rsidRPr="004B7C7A">
        <w:rPr>
          <w:rFonts w:eastAsia="Times New Roman" w:cs="Arial"/>
          <w:color w:val="000000"/>
          <w:lang w:eastAsia="fr-FR"/>
        </w:rPr>
        <w:t xml:space="preserve">L., Hubert, B., &amp; </w:t>
      </w:r>
      <w:proofErr w:type="spellStart"/>
      <w:r w:rsidRPr="004B7C7A">
        <w:rPr>
          <w:rFonts w:eastAsia="Times New Roman" w:cs="Arial"/>
          <w:color w:val="000000"/>
          <w:lang w:eastAsia="fr-FR"/>
        </w:rPr>
        <w:t>Careau</w:t>
      </w:r>
      <w:proofErr w:type="spellEnd"/>
      <w:r w:rsidRPr="004B7C7A">
        <w:rPr>
          <w:rFonts w:eastAsia="Times New Roman" w:cs="Arial"/>
          <w:color w:val="000000"/>
          <w:lang w:eastAsia="fr-FR"/>
        </w:rPr>
        <w:t>, L. (2020). Obstacles et facilitateurs perçus par</w:t>
      </w:r>
      <w:r w:rsidR="00C665F7">
        <w:rPr>
          <w:rFonts w:eastAsia="Times New Roman" w:cs="Arial"/>
          <w:color w:val="000000"/>
          <w:lang w:eastAsia="fr-FR"/>
        </w:rPr>
        <w:t xml:space="preserve"> </w:t>
      </w:r>
      <w:r w:rsidRPr="004B7C7A">
        <w:rPr>
          <w:rFonts w:eastAsia="Times New Roman" w:cs="Arial"/>
          <w:color w:val="000000"/>
          <w:lang w:eastAsia="fr-FR"/>
        </w:rPr>
        <w:t>les étudiants en situation de handicap à l’université et l’appréciation des</w:t>
      </w:r>
      <w:r w:rsidR="00C665F7" w:rsidRPr="0072376F">
        <w:rPr>
          <w:rFonts w:eastAsia="Times New Roman" w:cs="Arial"/>
          <w:color w:val="000000"/>
          <w:lang w:eastAsia="fr-FR"/>
        </w:rPr>
        <w:t xml:space="preserve"> </w:t>
      </w:r>
      <w:r w:rsidRPr="0072376F">
        <w:rPr>
          <w:rFonts w:eastAsia="Times New Roman" w:cs="Arial"/>
          <w:color w:val="000000"/>
          <w:lang w:eastAsia="fr-FR"/>
        </w:rPr>
        <w:t xml:space="preserve">services. </w:t>
      </w:r>
      <w:r w:rsidRPr="004B7C7A">
        <w:rPr>
          <w:rFonts w:eastAsia="Times New Roman" w:cs="Arial"/>
          <w:i/>
          <w:iCs/>
          <w:color w:val="000000"/>
          <w:lang w:val="en-US" w:eastAsia="fr-FR"/>
        </w:rPr>
        <w:t>Canadian Journal of Education</w:t>
      </w:r>
      <w:r w:rsidRPr="004B7C7A">
        <w:rPr>
          <w:rFonts w:eastAsia="Times New Roman" w:cs="Arial"/>
          <w:color w:val="000000"/>
          <w:lang w:val="en-US" w:eastAsia="fr-FR"/>
        </w:rPr>
        <w:t xml:space="preserve">, </w:t>
      </w:r>
      <w:r w:rsidRPr="004B7C7A">
        <w:rPr>
          <w:rFonts w:eastAsia="Times New Roman" w:cs="Arial"/>
          <w:i/>
          <w:iCs/>
          <w:color w:val="000000"/>
          <w:lang w:val="en-US" w:eastAsia="fr-FR"/>
        </w:rPr>
        <w:t>43</w:t>
      </w:r>
      <w:r w:rsidRPr="004B7C7A">
        <w:rPr>
          <w:rFonts w:eastAsia="Times New Roman" w:cs="Arial"/>
          <w:color w:val="000000"/>
          <w:lang w:val="en-US" w:eastAsia="fr-FR"/>
        </w:rPr>
        <w:t>(2), 465</w:t>
      </w:r>
      <w:r w:rsidRPr="004B7C7A">
        <w:rPr>
          <w:rFonts w:eastAsia="Times New Roman" w:cs="Arial"/>
          <w:color w:val="000000"/>
          <w:lang w:val="en-US" w:eastAsia="fr-FR"/>
        </w:rPr>
        <w:noBreakHyphen/>
        <w:t xml:space="preserve">497. </w:t>
      </w:r>
      <w:hyperlink r:id="rId26" w:history="1">
        <w:r w:rsidRPr="00A2611C">
          <w:rPr>
            <w:rStyle w:val="Lienhypertexte"/>
            <w:lang w:val="en-GB"/>
          </w:rPr>
          <w:t>https://www.jstor.org/stable/10.2307/26954695</w:t>
        </w:r>
      </w:hyperlink>
    </w:p>
    <w:p w14:paraId="2ACA6DF5" w14:textId="77777777" w:rsidR="00153AEF" w:rsidRPr="00FC1251" w:rsidRDefault="00153AEF" w:rsidP="000A7E03">
      <w:pPr>
        <w:pStyle w:val="Bibliographie"/>
        <w:rPr>
          <w:rFonts w:cs="Arial"/>
          <w:color w:val="222222"/>
          <w:shd w:val="clear" w:color="auto" w:fill="FFFFFF"/>
          <w:lang w:val="en-GB"/>
        </w:rPr>
      </w:pPr>
      <w:proofErr w:type="spellStart"/>
      <w:r w:rsidRPr="00356FCF">
        <w:rPr>
          <w:rFonts w:cs="Arial"/>
          <w:color w:val="222222"/>
          <w:shd w:val="clear" w:color="auto" w:fill="FFFFFF"/>
          <w:lang w:val="en-GB"/>
        </w:rPr>
        <w:t>Krejtz</w:t>
      </w:r>
      <w:proofErr w:type="spellEnd"/>
      <w:r w:rsidRPr="00356FCF">
        <w:rPr>
          <w:rFonts w:cs="Arial"/>
          <w:color w:val="222222"/>
          <w:shd w:val="clear" w:color="auto" w:fill="FFFFFF"/>
          <w:lang w:val="en-GB"/>
        </w:rPr>
        <w:t xml:space="preserve">, K., Marcus-Quinn, A., Duarte, C., Stasiak, I., Pereira, L. S., &amp; </w:t>
      </w:r>
      <w:proofErr w:type="spellStart"/>
      <w:r w:rsidRPr="00356FCF">
        <w:rPr>
          <w:rFonts w:cs="Arial"/>
          <w:color w:val="222222"/>
          <w:shd w:val="clear" w:color="auto" w:fill="FFFFFF"/>
          <w:lang w:val="en-GB"/>
        </w:rPr>
        <w:t>Krejtz</w:t>
      </w:r>
      <w:proofErr w:type="spellEnd"/>
      <w:r w:rsidRPr="00356FCF">
        <w:rPr>
          <w:rFonts w:cs="Arial"/>
          <w:color w:val="222222"/>
          <w:shd w:val="clear" w:color="auto" w:fill="FFFFFF"/>
          <w:lang w:val="en-GB"/>
        </w:rPr>
        <w:t xml:space="preserve">, I. (2025). </w:t>
      </w:r>
      <w:r w:rsidRPr="00A2611C">
        <w:rPr>
          <w:rFonts w:cs="Arial"/>
          <w:color w:val="222222"/>
          <w:shd w:val="clear" w:color="auto" w:fill="FFFFFF"/>
          <w:lang w:val="en-GB"/>
        </w:rPr>
        <w:t>Higher education accessibility information in practice. A report on the accessibility of European Universities.</w:t>
      </w:r>
      <w:r w:rsidRPr="00A2611C">
        <w:rPr>
          <w:rStyle w:val="apple-converted-space"/>
          <w:rFonts w:cs="Arial"/>
          <w:color w:val="222222"/>
          <w:shd w:val="clear" w:color="auto" w:fill="FFFFFF"/>
          <w:lang w:val="en-GB"/>
        </w:rPr>
        <w:t> </w:t>
      </w:r>
      <w:r w:rsidRPr="00A2611C">
        <w:rPr>
          <w:rFonts w:cs="Arial"/>
          <w:i/>
          <w:iCs/>
          <w:color w:val="222222"/>
          <w:lang w:val="en-GB"/>
        </w:rPr>
        <w:t>Universal Access in the Information Society</w:t>
      </w:r>
      <w:r w:rsidRPr="00A2611C">
        <w:rPr>
          <w:rFonts w:cs="Arial"/>
          <w:color w:val="222222"/>
          <w:shd w:val="clear" w:color="auto" w:fill="FFFFFF"/>
          <w:lang w:val="en-GB"/>
        </w:rPr>
        <w:t>,</w:t>
      </w:r>
      <w:r w:rsidRPr="00A2611C">
        <w:rPr>
          <w:rStyle w:val="apple-converted-space"/>
          <w:rFonts w:cs="Arial"/>
          <w:color w:val="222222"/>
          <w:shd w:val="clear" w:color="auto" w:fill="FFFFFF"/>
          <w:lang w:val="en-GB"/>
        </w:rPr>
        <w:t> </w:t>
      </w:r>
      <w:r w:rsidRPr="00A2611C">
        <w:rPr>
          <w:rFonts w:cs="Arial"/>
          <w:i/>
          <w:iCs/>
          <w:color w:val="222222"/>
          <w:lang w:val="en-GB"/>
        </w:rPr>
        <w:t>24</w:t>
      </w:r>
      <w:r w:rsidRPr="00A2611C">
        <w:rPr>
          <w:rFonts w:cs="Arial"/>
          <w:color w:val="222222"/>
          <w:shd w:val="clear" w:color="auto" w:fill="FFFFFF"/>
          <w:lang w:val="en-GB"/>
        </w:rPr>
        <w:t xml:space="preserve">(3), 2673-2685. </w:t>
      </w:r>
      <w:hyperlink r:id="rId27" w:history="1">
        <w:r w:rsidRPr="00FC1251">
          <w:rPr>
            <w:rStyle w:val="Lienhypertexte"/>
            <w:lang w:val="en-GB"/>
          </w:rPr>
          <w:t>https://doi.org/10.1007/s10209-025-01224-4</w:t>
        </w:r>
      </w:hyperlink>
    </w:p>
    <w:p w14:paraId="32E92041" w14:textId="56D971E6" w:rsidR="00153AEF" w:rsidRPr="00FC1251" w:rsidRDefault="00153AEF" w:rsidP="000A7E03">
      <w:pPr>
        <w:pStyle w:val="Bibliographie"/>
        <w:rPr>
          <w:rFonts w:eastAsia="Times New Roman" w:cs="Arial"/>
          <w:color w:val="000000"/>
          <w:lang w:val="it-CH" w:eastAsia="fr-FR"/>
        </w:rPr>
      </w:pPr>
      <w:r w:rsidRPr="0072376F">
        <w:rPr>
          <w:rFonts w:eastAsia="Times New Roman" w:cs="Arial"/>
          <w:color w:val="000000"/>
          <w:lang w:eastAsia="fr-FR"/>
        </w:rPr>
        <w:t xml:space="preserve">Lagacé-Leblanc, J. (2017). </w:t>
      </w:r>
      <w:r>
        <w:rPr>
          <w:rFonts w:eastAsia="Times New Roman" w:cs="Arial"/>
          <w:i/>
          <w:iCs/>
          <w:color w:val="000000"/>
          <w:lang w:eastAsia="fr-FR"/>
        </w:rPr>
        <w:t>Les i</w:t>
      </w:r>
      <w:r w:rsidRPr="004B7C7A">
        <w:rPr>
          <w:rFonts w:eastAsia="Times New Roman" w:cs="Arial"/>
          <w:i/>
          <w:iCs/>
          <w:color w:val="000000"/>
          <w:lang w:eastAsia="fr-FR"/>
        </w:rPr>
        <w:t>mpacts fonctionnels liés au trouble de déficit de</w:t>
      </w:r>
      <w:r>
        <w:rPr>
          <w:rFonts w:eastAsia="Times New Roman" w:cs="Arial"/>
          <w:color w:val="000000"/>
          <w:lang w:eastAsia="fr-FR"/>
        </w:rPr>
        <w:t xml:space="preserve"> </w:t>
      </w:r>
      <w:r w:rsidRPr="004B7C7A">
        <w:rPr>
          <w:rFonts w:eastAsia="Times New Roman" w:cs="Arial"/>
          <w:i/>
          <w:iCs/>
          <w:color w:val="000000"/>
          <w:lang w:eastAsia="fr-FR"/>
        </w:rPr>
        <w:t>l’attention/hyperactivité chez les étudiants collégiens et universitaires et liens</w:t>
      </w:r>
      <w:r>
        <w:rPr>
          <w:rFonts w:eastAsia="Times New Roman" w:cs="Arial"/>
          <w:color w:val="000000"/>
          <w:lang w:eastAsia="fr-FR"/>
        </w:rPr>
        <w:t xml:space="preserve"> </w:t>
      </w:r>
      <w:r w:rsidRPr="004B7C7A">
        <w:rPr>
          <w:rFonts w:eastAsia="Times New Roman" w:cs="Arial"/>
          <w:i/>
          <w:iCs/>
          <w:color w:val="000000"/>
          <w:lang w:eastAsia="fr-FR"/>
        </w:rPr>
        <w:t>avec la prise de médicaments et de substances psychoactives</w:t>
      </w:r>
      <w:r w:rsidRPr="004B7C7A">
        <w:rPr>
          <w:rFonts w:eastAsia="Times New Roman" w:cs="Arial"/>
          <w:color w:val="000000"/>
          <w:lang w:eastAsia="fr-FR"/>
        </w:rPr>
        <w:t xml:space="preserve"> </w:t>
      </w:r>
      <w:r>
        <w:rPr>
          <w:rFonts w:eastAsia="Times New Roman" w:cs="Arial"/>
          <w:color w:val="000000"/>
          <w:lang w:eastAsia="fr-FR"/>
        </w:rPr>
        <w:t>[</w:t>
      </w:r>
      <w:r w:rsidRPr="004B7C7A">
        <w:rPr>
          <w:rFonts w:eastAsia="Times New Roman" w:cs="Arial"/>
          <w:color w:val="000000"/>
          <w:lang w:eastAsia="fr-FR"/>
        </w:rPr>
        <w:t>Thèse</w:t>
      </w:r>
      <w:r w:rsidR="00972725">
        <w:rPr>
          <w:rFonts w:eastAsia="Times New Roman" w:cs="Arial"/>
          <w:color w:val="000000"/>
          <w:lang w:eastAsia="fr-FR"/>
        </w:rPr>
        <w:t xml:space="preserve"> de doctorat, </w:t>
      </w:r>
      <w:r w:rsidRPr="004B7C7A">
        <w:rPr>
          <w:rFonts w:eastAsia="Times New Roman" w:cs="Arial"/>
          <w:color w:val="000000"/>
          <w:lang w:eastAsia="fr-FR"/>
        </w:rPr>
        <w:t xml:space="preserve">Université du Québec à </w:t>
      </w:r>
      <w:proofErr w:type="spellStart"/>
      <w:r w:rsidRPr="004B7C7A">
        <w:rPr>
          <w:rFonts w:eastAsia="Times New Roman" w:cs="Arial"/>
          <w:color w:val="000000"/>
          <w:lang w:eastAsia="fr-FR"/>
        </w:rPr>
        <w:t>Trois-Rivière</w:t>
      </w:r>
      <w:proofErr w:type="spellEnd"/>
      <w:r w:rsidR="00972725">
        <w:rPr>
          <w:rFonts w:eastAsia="Times New Roman" w:cs="Arial"/>
          <w:color w:val="000000"/>
          <w:lang w:eastAsia="fr-FR"/>
        </w:rPr>
        <w:t>]</w:t>
      </w:r>
      <w:r w:rsidR="00761146">
        <w:rPr>
          <w:rFonts w:eastAsia="Times New Roman" w:cs="Arial"/>
          <w:color w:val="000000"/>
          <w:lang w:eastAsia="fr-FR"/>
        </w:rPr>
        <w:t>.</w:t>
      </w:r>
      <w:r w:rsidR="00423415">
        <w:rPr>
          <w:rFonts w:eastAsia="Times New Roman" w:cs="Arial"/>
          <w:color w:val="000000"/>
          <w:lang w:eastAsia="fr-FR"/>
        </w:rPr>
        <w:t xml:space="preserve"> </w:t>
      </w:r>
      <w:r w:rsidR="00423415" w:rsidRPr="00FC1251">
        <w:rPr>
          <w:rFonts w:eastAsia="Times New Roman" w:cs="Arial"/>
          <w:color w:val="000000"/>
          <w:lang w:val="it-CH" w:eastAsia="fr-FR"/>
        </w:rPr>
        <w:t>Cognito.</w:t>
      </w:r>
      <w:r w:rsidR="00761146" w:rsidRPr="00FC1251">
        <w:rPr>
          <w:rFonts w:eastAsia="Times New Roman" w:cs="Arial"/>
          <w:color w:val="000000"/>
          <w:lang w:val="it-CH" w:eastAsia="fr-FR"/>
        </w:rPr>
        <w:t xml:space="preserve"> </w:t>
      </w:r>
      <w:hyperlink r:id="rId28" w:history="1">
        <w:r w:rsidR="00761146" w:rsidRPr="00FC1251">
          <w:rPr>
            <w:rStyle w:val="Lienhypertexte"/>
            <w:rFonts w:eastAsia="Times New Roman" w:cs="Arial"/>
            <w:lang w:val="it-CH" w:eastAsia="fr-FR"/>
          </w:rPr>
          <w:t>https://depot-e.uqtr.ca/id/eprint/8044/</w:t>
        </w:r>
      </w:hyperlink>
      <w:r w:rsidR="00761146" w:rsidRPr="00FC1251">
        <w:rPr>
          <w:rFonts w:eastAsia="Times New Roman" w:cs="Arial"/>
          <w:color w:val="000000"/>
          <w:lang w:val="it-CH" w:eastAsia="fr-FR"/>
        </w:rPr>
        <w:t xml:space="preserve"> </w:t>
      </w:r>
    </w:p>
    <w:p w14:paraId="348725B2" w14:textId="77777777" w:rsidR="00153AEF" w:rsidRPr="004B7C7A" w:rsidRDefault="00153AEF" w:rsidP="000A7E03">
      <w:pPr>
        <w:pStyle w:val="Bibliographie"/>
        <w:rPr>
          <w:rFonts w:cs="Arial"/>
          <w:color w:val="222222"/>
          <w:shd w:val="clear" w:color="auto" w:fill="FFFFFF"/>
        </w:rPr>
      </w:pPr>
      <w:r w:rsidRPr="00FC1251">
        <w:rPr>
          <w:rFonts w:cs="Arial"/>
          <w:color w:val="222222"/>
          <w:shd w:val="clear" w:color="auto" w:fill="FFFFFF"/>
          <w:lang w:val="it-CH"/>
        </w:rPr>
        <w:t xml:space="preserve">Martin, M., Dimitrova, N., Ray-Kaeser, S., &amp; Serry, S. (2025). </w:t>
      </w:r>
      <w:r w:rsidRPr="004B7C7A">
        <w:rPr>
          <w:rFonts w:cs="Arial"/>
          <w:color w:val="222222"/>
          <w:shd w:val="clear" w:color="auto" w:fill="FFFFFF"/>
        </w:rPr>
        <w:t>Vers un enseignement supérieur inclusif</w:t>
      </w:r>
      <w:r>
        <w:rPr>
          <w:rFonts w:cs="Arial"/>
          <w:color w:val="222222"/>
          <w:shd w:val="clear" w:color="auto" w:fill="FFFFFF"/>
        </w:rPr>
        <w:t> </w:t>
      </w:r>
      <w:r w:rsidRPr="004B7C7A">
        <w:rPr>
          <w:rFonts w:cs="Arial"/>
          <w:color w:val="222222"/>
          <w:shd w:val="clear" w:color="auto" w:fill="FFFFFF"/>
        </w:rPr>
        <w:t xml:space="preserve">: </w:t>
      </w:r>
      <w:r>
        <w:rPr>
          <w:rFonts w:cs="Arial"/>
          <w:color w:val="222222"/>
          <w:shd w:val="clear" w:color="auto" w:fill="FFFFFF"/>
        </w:rPr>
        <w:t>E</w:t>
      </w:r>
      <w:r w:rsidRPr="004B7C7A">
        <w:rPr>
          <w:rFonts w:cs="Arial"/>
          <w:color w:val="222222"/>
          <w:shd w:val="clear" w:color="auto" w:fill="FFFFFF"/>
        </w:rPr>
        <w:t>xplorer les perceptions, pratiques et besoins des enseignantes et enseignants en matière de pédagogie inclusive.</w:t>
      </w:r>
      <w:r>
        <w:rPr>
          <w:rStyle w:val="apple-converted-space"/>
          <w:rFonts w:cs="Arial"/>
          <w:color w:val="222222"/>
          <w:shd w:val="clear" w:color="auto" w:fill="FFFFFF"/>
        </w:rPr>
        <w:t xml:space="preserve"> </w:t>
      </w:r>
      <w:r w:rsidRPr="004B7C7A">
        <w:rPr>
          <w:rFonts w:cs="Arial"/>
          <w:i/>
          <w:iCs/>
          <w:color w:val="222222"/>
        </w:rPr>
        <w:t>Revue suisse de pédagogie spécialisée</w:t>
      </w:r>
      <w:r w:rsidRPr="004B7C7A">
        <w:rPr>
          <w:rFonts w:cs="Arial"/>
          <w:color w:val="222222"/>
          <w:shd w:val="clear" w:color="auto" w:fill="FFFFFF"/>
        </w:rPr>
        <w:t>,</w:t>
      </w:r>
      <w:r w:rsidRPr="004B7C7A">
        <w:rPr>
          <w:rStyle w:val="apple-converted-space"/>
          <w:rFonts w:cs="Arial"/>
          <w:color w:val="222222"/>
          <w:shd w:val="clear" w:color="auto" w:fill="FFFFFF"/>
        </w:rPr>
        <w:t> </w:t>
      </w:r>
      <w:r w:rsidRPr="004B7C7A">
        <w:rPr>
          <w:rFonts w:cs="Arial"/>
          <w:i/>
          <w:iCs/>
          <w:color w:val="222222"/>
        </w:rPr>
        <w:t>15</w:t>
      </w:r>
      <w:r w:rsidRPr="004B7C7A">
        <w:rPr>
          <w:rFonts w:cs="Arial"/>
          <w:color w:val="222222"/>
          <w:shd w:val="clear" w:color="auto" w:fill="FFFFFF"/>
        </w:rPr>
        <w:t>(3), 47-62.</w:t>
      </w:r>
      <w:r>
        <w:rPr>
          <w:rFonts w:cs="Arial"/>
          <w:color w:val="222222"/>
          <w:shd w:val="clear" w:color="auto" w:fill="FFFFFF"/>
        </w:rPr>
        <w:t xml:space="preserve"> </w:t>
      </w:r>
      <w:hyperlink r:id="rId29" w:history="1">
        <w:r w:rsidRPr="00203A12">
          <w:rPr>
            <w:rStyle w:val="Lienhypertexte"/>
            <w:rFonts w:cs="Arial"/>
            <w:shd w:val="clear" w:color="auto" w:fill="FFFFFF"/>
          </w:rPr>
          <w:t>https://doi.org/10.57161/r2025-03-08</w:t>
        </w:r>
      </w:hyperlink>
    </w:p>
    <w:p w14:paraId="3FBDED77" w14:textId="71AC1DD2" w:rsidR="00153AEF" w:rsidRPr="004B7C7A" w:rsidRDefault="00153AEF" w:rsidP="000A7E03">
      <w:pPr>
        <w:pStyle w:val="Bibliographie"/>
        <w:rPr>
          <w:rFonts w:cs="Arial"/>
          <w:color w:val="222222"/>
          <w:shd w:val="clear" w:color="auto" w:fill="FFFFFF"/>
        </w:rPr>
      </w:pPr>
      <w:r w:rsidRPr="0072376F">
        <w:rPr>
          <w:rFonts w:cs="Arial"/>
          <w:color w:val="222222"/>
          <w:shd w:val="clear" w:color="auto" w:fill="FFFFFF"/>
        </w:rPr>
        <w:t xml:space="preserve">Medina, R. H. (2025). </w:t>
      </w:r>
      <w:r w:rsidRPr="00A2611C">
        <w:rPr>
          <w:rFonts w:cs="Arial"/>
          <w:color w:val="222222"/>
          <w:shd w:val="clear" w:color="auto" w:fill="FFFFFF"/>
          <w:lang w:val="en-GB"/>
        </w:rPr>
        <w:t xml:space="preserve">AI-Assisted Teaching in </w:t>
      </w:r>
      <w:r>
        <w:rPr>
          <w:rFonts w:cs="Arial"/>
          <w:color w:val="222222"/>
          <w:shd w:val="clear" w:color="auto" w:fill="FFFFFF"/>
          <w:lang w:val="en-GB"/>
        </w:rPr>
        <w:t>H</w:t>
      </w:r>
      <w:r w:rsidRPr="00A2611C">
        <w:rPr>
          <w:rFonts w:cs="Arial"/>
          <w:color w:val="222222"/>
          <w:shd w:val="clear" w:color="auto" w:fill="FFFFFF"/>
          <w:lang w:val="en-GB"/>
        </w:rPr>
        <w:t xml:space="preserve">igher </w:t>
      </w:r>
      <w:r>
        <w:rPr>
          <w:rFonts w:cs="Arial"/>
          <w:color w:val="222222"/>
          <w:shd w:val="clear" w:color="auto" w:fill="FFFFFF"/>
          <w:lang w:val="en-GB"/>
        </w:rPr>
        <w:t>E</w:t>
      </w:r>
      <w:r w:rsidRPr="00A2611C">
        <w:rPr>
          <w:rFonts w:cs="Arial"/>
          <w:color w:val="222222"/>
          <w:shd w:val="clear" w:color="auto" w:fill="FFFFFF"/>
          <w:lang w:val="en-GB"/>
        </w:rPr>
        <w:t xml:space="preserve">ducation: </w:t>
      </w:r>
      <w:r>
        <w:rPr>
          <w:rFonts w:cs="Arial"/>
          <w:color w:val="222222"/>
          <w:shd w:val="clear" w:color="auto" w:fill="FFFFFF"/>
          <w:lang w:val="en-GB"/>
        </w:rPr>
        <w:t>C</w:t>
      </w:r>
      <w:r w:rsidRPr="00A2611C">
        <w:rPr>
          <w:rFonts w:cs="Arial"/>
          <w:color w:val="222222"/>
          <w:shd w:val="clear" w:color="auto" w:fill="FFFFFF"/>
          <w:lang w:val="en-GB"/>
        </w:rPr>
        <w:t xml:space="preserve">hallenges and </w:t>
      </w:r>
      <w:r>
        <w:rPr>
          <w:rFonts w:cs="Arial"/>
          <w:color w:val="222222"/>
          <w:shd w:val="clear" w:color="auto" w:fill="FFFFFF"/>
          <w:lang w:val="en-GB"/>
        </w:rPr>
        <w:t>O</w:t>
      </w:r>
      <w:r w:rsidRPr="00A2611C">
        <w:rPr>
          <w:rFonts w:cs="Arial"/>
          <w:color w:val="222222"/>
          <w:shd w:val="clear" w:color="auto" w:fill="FFFFFF"/>
          <w:lang w:val="en-GB"/>
        </w:rPr>
        <w:t>pportunities.</w:t>
      </w:r>
      <w:r w:rsidRPr="00A2611C">
        <w:rPr>
          <w:rStyle w:val="apple-converted-space"/>
          <w:rFonts w:cs="Arial"/>
          <w:color w:val="222222"/>
          <w:shd w:val="clear" w:color="auto" w:fill="FFFFFF"/>
          <w:lang w:val="en-GB"/>
        </w:rPr>
        <w:t> </w:t>
      </w:r>
      <w:proofErr w:type="spellStart"/>
      <w:r w:rsidRPr="00704214">
        <w:rPr>
          <w:rFonts w:cs="Arial"/>
          <w:i/>
          <w:iCs/>
          <w:color w:val="222222"/>
        </w:rPr>
        <w:t>Ceniiac</w:t>
      </w:r>
      <w:proofErr w:type="spellEnd"/>
      <w:r w:rsidRPr="00704214">
        <w:rPr>
          <w:rFonts w:cs="Arial"/>
          <w:color w:val="222222"/>
          <w:shd w:val="clear" w:color="auto" w:fill="FFFFFF"/>
        </w:rPr>
        <w:t>,</w:t>
      </w:r>
      <w:r w:rsidRPr="00704214">
        <w:rPr>
          <w:rStyle w:val="apple-converted-space"/>
          <w:rFonts w:cs="Arial"/>
          <w:color w:val="222222"/>
          <w:shd w:val="clear" w:color="auto" w:fill="FFFFFF"/>
        </w:rPr>
        <w:t> </w:t>
      </w:r>
      <w:r w:rsidRPr="00704214">
        <w:rPr>
          <w:rFonts w:cs="Arial"/>
          <w:i/>
          <w:iCs/>
          <w:color w:val="222222"/>
        </w:rPr>
        <w:t>1</w:t>
      </w:r>
      <w:r w:rsidRPr="00CC0715">
        <w:rPr>
          <w:rFonts w:cs="Arial"/>
          <w:color w:val="222222"/>
          <w:shd w:val="clear" w:color="auto" w:fill="FFFFFF"/>
        </w:rPr>
        <w:t xml:space="preserve">, </w:t>
      </w:r>
      <w:r>
        <w:rPr>
          <w:rFonts w:cs="Arial"/>
          <w:color w:val="222222"/>
          <w:shd w:val="clear" w:color="auto" w:fill="FFFFFF"/>
        </w:rPr>
        <w:t>1-17</w:t>
      </w:r>
      <w:r w:rsidRPr="00CC0715">
        <w:rPr>
          <w:rFonts w:cs="Arial"/>
          <w:color w:val="222222"/>
          <w:shd w:val="clear" w:color="auto" w:fill="FFFFFF"/>
        </w:rPr>
        <w:t>.</w:t>
      </w:r>
      <w:r w:rsidR="00F27590">
        <w:rPr>
          <w:rFonts w:cs="Arial"/>
          <w:color w:val="222222"/>
          <w:shd w:val="clear" w:color="auto" w:fill="FFFFFF"/>
        </w:rPr>
        <w:t xml:space="preserve"> </w:t>
      </w:r>
      <w:hyperlink r:id="rId30" w:history="1">
        <w:r w:rsidR="00F27590" w:rsidRPr="00F27590">
          <w:rPr>
            <w:rStyle w:val="Lienhypertexte"/>
            <w:rFonts w:cs="Arial"/>
            <w:shd w:val="clear" w:color="auto" w:fill="FFFFFF"/>
          </w:rPr>
          <w:t>https://doi.org/10.64923/ceniiac.e0003</w:t>
        </w:r>
      </w:hyperlink>
    </w:p>
    <w:p w14:paraId="4578F4D1" w14:textId="77777777" w:rsidR="00F27590" w:rsidRDefault="00153AEF" w:rsidP="000315B0">
      <w:pPr>
        <w:pStyle w:val="Bibliographie"/>
      </w:pPr>
      <w:r w:rsidRPr="00F53BB0">
        <w:rPr>
          <w:rFonts w:eastAsia="Times New Roman" w:cs="Arial"/>
          <w:color w:val="000000"/>
          <w:lang w:eastAsia="fr-FR"/>
        </w:rPr>
        <w:t>Organisation mondiale de la Santé [OMS]. (20</w:t>
      </w:r>
      <w:r>
        <w:rPr>
          <w:rFonts w:eastAsia="Times New Roman" w:cs="Arial"/>
          <w:color w:val="000000"/>
          <w:lang w:eastAsia="fr-FR"/>
        </w:rPr>
        <w:t>08</w:t>
      </w:r>
      <w:r w:rsidRPr="00F53BB0">
        <w:rPr>
          <w:rFonts w:eastAsia="Times New Roman" w:cs="Arial"/>
          <w:color w:val="000000"/>
          <w:lang w:eastAsia="fr-FR"/>
        </w:rPr>
        <w:t xml:space="preserve">). </w:t>
      </w:r>
      <w:r w:rsidRPr="000A7E03">
        <w:rPr>
          <w:rFonts w:eastAsia="Times New Roman" w:cs="Arial"/>
          <w:i/>
          <w:iCs/>
          <w:color w:val="000000"/>
          <w:lang w:eastAsia="fr-FR"/>
        </w:rPr>
        <w:t>Dixième révision de la Classification internationale des maladies et des problèmes de santé connexes (CIM-10)</w:t>
      </w:r>
      <w:r w:rsidRPr="00F53BB0">
        <w:rPr>
          <w:rFonts w:eastAsia="Times New Roman" w:cs="Arial"/>
          <w:color w:val="000000"/>
          <w:lang w:eastAsia="fr-FR"/>
        </w:rPr>
        <w:t>.</w:t>
      </w:r>
      <w:r>
        <w:rPr>
          <w:rFonts w:eastAsia="Times New Roman" w:cs="Arial"/>
          <w:color w:val="000000"/>
          <w:lang w:eastAsia="fr-FR"/>
        </w:rPr>
        <w:t xml:space="preserve"> </w:t>
      </w:r>
      <w:hyperlink r:id="rId31" w:anchor="/" w:history="1">
        <w:r w:rsidRPr="00A2611C">
          <w:rPr>
            <w:rStyle w:val="Lienhypertexte"/>
          </w:rPr>
          <w:t>https://icd.who.int/browse10/2008/fr#/</w:t>
        </w:r>
      </w:hyperlink>
    </w:p>
    <w:p w14:paraId="744BB2DD" w14:textId="4C419061" w:rsidR="00153AEF" w:rsidRDefault="00153AEF" w:rsidP="000A7E03">
      <w:pPr>
        <w:pStyle w:val="Bibliographie"/>
        <w:rPr>
          <w:rFonts w:eastAsia="Times New Roman" w:cs="Arial"/>
          <w:color w:val="000000"/>
          <w:lang w:eastAsia="fr-FR"/>
        </w:rPr>
      </w:pPr>
      <w:r w:rsidRPr="00F53BB0">
        <w:rPr>
          <w:rFonts w:eastAsia="Times New Roman" w:cs="Arial"/>
          <w:color w:val="000000"/>
          <w:lang w:eastAsia="fr-FR"/>
        </w:rPr>
        <w:t>Organisation mondiale de la Santé [OMS]. (2019</w:t>
      </w:r>
      <w:r w:rsidRPr="000A7E03">
        <w:rPr>
          <w:rFonts w:eastAsia="Times New Roman" w:cs="Arial"/>
          <w:i/>
          <w:iCs/>
          <w:color w:val="000000"/>
          <w:lang w:eastAsia="fr-FR"/>
        </w:rPr>
        <w:t>). Onzième révision de la Classification internationale des maladies (CIM-11). Guide de référence.</w:t>
      </w:r>
      <w:r w:rsidR="00621992">
        <w:rPr>
          <w:rFonts w:eastAsia="Times New Roman" w:cs="Arial"/>
          <w:i/>
          <w:iCs/>
          <w:color w:val="000000"/>
          <w:lang w:eastAsia="fr-FR"/>
        </w:rPr>
        <w:t xml:space="preserve"> </w:t>
      </w:r>
      <w:hyperlink r:id="rId32" w:history="1">
        <w:r w:rsidRPr="00E346FA">
          <w:rPr>
            <w:rStyle w:val="Lienhypertexte"/>
            <w:rFonts w:eastAsia="Times New Roman" w:cs="Arial"/>
            <w:lang w:eastAsia="fr-FR"/>
          </w:rPr>
          <w:t>https://icdcdn.who.int/static/releasefiles/2023-01/ICD-11-Reference-Guide-2023-01-fr.pdf</w:t>
        </w:r>
      </w:hyperlink>
    </w:p>
    <w:p w14:paraId="4FA0DE06" w14:textId="55292B2D" w:rsidR="00153AEF" w:rsidRDefault="00153AEF" w:rsidP="000A7E03">
      <w:pPr>
        <w:pStyle w:val="Bibliographie"/>
        <w:rPr>
          <w:rFonts w:eastAsia="Times New Roman" w:cs="Arial"/>
          <w:color w:val="000000"/>
          <w:lang w:val="en-GB" w:eastAsia="fr-FR"/>
        </w:rPr>
      </w:pPr>
      <w:r w:rsidRPr="004B7C7A">
        <w:rPr>
          <w:rFonts w:eastAsia="Times New Roman" w:cs="Arial"/>
          <w:color w:val="000000"/>
          <w:lang w:eastAsia="fr-FR"/>
        </w:rPr>
        <w:t xml:space="preserve">Réseau Études et handicap Suisse. (2019). </w:t>
      </w:r>
      <w:r w:rsidRPr="004B7C7A">
        <w:rPr>
          <w:rFonts w:eastAsia="Times New Roman" w:cs="Arial"/>
          <w:i/>
          <w:iCs/>
          <w:color w:val="000000"/>
          <w:lang w:eastAsia="fr-FR"/>
        </w:rPr>
        <w:t>Compensation du handicap dans le cadre</w:t>
      </w:r>
      <w:r w:rsidR="00621992">
        <w:rPr>
          <w:rFonts w:eastAsia="Times New Roman" w:cs="Arial"/>
          <w:i/>
          <w:iCs/>
          <w:color w:val="000000"/>
          <w:lang w:eastAsia="fr-FR"/>
        </w:rPr>
        <w:t xml:space="preserve"> </w:t>
      </w:r>
      <w:r w:rsidRPr="004B7C7A">
        <w:rPr>
          <w:rFonts w:eastAsia="Times New Roman" w:cs="Arial"/>
          <w:i/>
          <w:iCs/>
          <w:color w:val="000000"/>
          <w:lang w:eastAsia="fr-FR"/>
        </w:rPr>
        <w:t>des études</w:t>
      </w:r>
      <w:r>
        <w:rPr>
          <w:rFonts w:eastAsia="Times New Roman" w:cs="Arial"/>
          <w:i/>
          <w:iCs/>
          <w:color w:val="000000"/>
          <w:lang w:eastAsia="fr-FR"/>
        </w:rPr>
        <w:t> </w:t>
      </w:r>
      <w:r w:rsidRPr="004B7C7A">
        <w:rPr>
          <w:rFonts w:eastAsia="Times New Roman" w:cs="Arial"/>
          <w:i/>
          <w:iCs/>
          <w:color w:val="000000"/>
          <w:lang w:eastAsia="fr-FR"/>
        </w:rPr>
        <w:t>: Guide à l’intention des hautes écoles</w:t>
      </w:r>
      <w:r w:rsidRPr="004B7C7A">
        <w:rPr>
          <w:rFonts w:eastAsia="Times New Roman" w:cs="Arial"/>
          <w:color w:val="000000"/>
          <w:lang w:eastAsia="fr-FR"/>
        </w:rPr>
        <w:t>.</w:t>
      </w:r>
      <w:r>
        <w:rPr>
          <w:rFonts w:eastAsia="Times New Roman" w:cs="Arial"/>
          <w:color w:val="000000"/>
          <w:lang w:eastAsia="fr-FR"/>
        </w:rPr>
        <w:t xml:space="preserve"> </w:t>
      </w:r>
      <w:proofErr w:type="spellStart"/>
      <w:r w:rsidRPr="00A2611C">
        <w:rPr>
          <w:rFonts w:eastAsia="Times New Roman" w:cs="Arial"/>
          <w:color w:val="000000"/>
          <w:lang w:val="en-GB" w:eastAsia="fr-FR"/>
        </w:rPr>
        <w:t>Swissuniability</w:t>
      </w:r>
      <w:proofErr w:type="spellEnd"/>
      <w:r w:rsidRPr="00A2611C">
        <w:rPr>
          <w:rFonts w:eastAsia="Times New Roman" w:cs="Arial"/>
          <w:color w:val="000000"/>
          <w:lang w:val="en-GB" w:eastAsia="fr-FR"/>
        </w:rPr>
        <w:t>.</w:t>
      </w:r>
      <w:r w:rsidR="00621992">
        <w:rPr>
          <w:rFonts w:eastAsia="Times New Roman" w:cs="Arial"/>
          <w:color w:val="000000"/>
          <w:lang w:val="en-GB" w:eastAsia="fr-FR"/>
        </w:rPr>
        <w:t xml:space="preserve"> </w:t>
      </w:r>
      <w:hyperlink r:id="rId33" w:history="1">
        <w:r w:rsidR="00621992" w:rsidRPr="00621992">
          <w:rPr>
            <w:rStyle w:val="Lienhypertexte"/>
            <w:rFonts w:eastAsia="Times New Roman" w:cs="Arial"/>
            <w:lang w:val="en-GB" w:eastAsia="fr-FR"/>
          </w:rPr>
          <w:t>https://www.swissuniability.ch/index.cfm?action=act_getfile&amp;doc_id=100021&amp;spr=fr</w:t>
        </w:r>
      </w:hyperlink>
    </w:p>
    <w:p w14:paraId="69726A70" w14:textId="77777777" w:rsidR="00153AEF" w:rsidRPr="00A2611C" w:rsidRDefault="00153AEF" w:rsidP="000A7E03">
      <w:pPr>
        <w:pStyle w:val="Bibliographie"/>
        <w:rPr>
          <w:rFonts w:eastAsia="Times New Roman" w:cs="Arial"/>
          <w:color w:val="000000"/>
          <w:lang w:val="en-GB" w:eastAsia="fr-FR"/>
        </w:rPr>
      </w:pPr>
      <w:r w:rsidRPr="00A2611C">
        <w:rPr>
          <w:rFonts w:cs="Arial"/>
          <w:color w:val="222222"/>
          <w:shd w:val="clear" w:color="auto" w:fill="FFFFFF"/>
          <w:lang w:val="en-GB"/>
        </w:rPr>
        <w:t>Weis, R., Waters, E. A., &amp; Hassler, M. (2022). Assessing academic impairment in college students with disabilities: A new measure to promote evidence-based accommodation granting.</w:t>
      </w:r>
      <w:r w:rsidRPr="00A2611C">
        <w:rPr>
          <w:rStyle w:val="apple-converted-space"/>
          <w:rFonts w:cs="Arial"/>
          <w:color w:val="222222"/>
          <w:shd w:val="clear" w:color="auto" w:fill="FFFFFF"/>
          <w:lang w:val="en-GB"/>
        </w:rPr>
        <w:t> </w:t>
      </w:r>
      <w:r w:rsidRPr="00A2611C">
        <w:rPr>
          <w:rFonts w:cs="Arial"/>
          <w:i/>
          <w:color w:val="222222"/>
          <w:lang w:val="en-GB"/>
        </w:rPr>
        <w:t>Frontiers in Education</w:t>
      </w:r>
      <w:r w:rsidRPr="00A2611C">
        <w:rPr>
          <w:rFonts w:cs="Arial"/>
          <w:color w:val="222222"/>
          <w:shd w:val="clear" w:color="auto" w:fill="FFFFFF"/>
          <w:lang w:val="en-GB"/>
        </w:rPr>
        <w:t xml:space="preserve">, 7(1014693), 1-22. </w:t>
      </w:r>
      <w:r w:rsidRPr="00A2611C">
        <w:rPr>
          <w:lang w:val="en-GB"/>
        </w:rPr>
        <w:t xml:space="preserve"> </w:t>
      </w:r>
      <w:hyperlink r:id="rId34" w:history="1">
        <w:r w:rsidRPr="00A2611C">
          <w:rPr>
            <w:rStyle w:val="Lienhypertexte"/>
            <w:rFonts w:cs="Arial"/>
            <w:shd w:val="clear" w:color="auto" w:fill="FFFFFF"/>
            <w:lang w:val="en-GB"/>
          </w:rPr>
          <w:t>https://doi.org/10.3389/feduc.2022.1014693</w:t>
        </w:r>
      </w:hyperlink>
    </w:p>
    <w:p w14:paraId="4BC0FBFD" w14:textId="40C56F95" w:rsidR="00870508" w:rsidRPr="00153133" w:rsidRDefault="00153AEF" w:rsidP="000315B0">
      <w:pPr>
        <w:pStyle w:val="Bibliographie"/>
        <w:rPr>
          <w:rFonts w:cs="Open Sans SemiCondensed"/>
        </w:rPr>
      </w:pPr>
      <w:r w:rsidRPr="00A2611C">
        <w:rPr>
          <w:color w:val="000000"/>
          <w:shd w:val="clear" w:color="auto" w:fill="FFFFFF"/>
          <w:lang w:val="en-GB"/>
        </w:rPr>
        <w:t xml:space="preserve">Zeidan, J., </w:t>
      </w:r>
      <w:proofErr w:type="spellStart"/>
      <w:r w:rsidRPr="00A2611C">
        <w:rPr>
          <w:color w:val="000000"/>
          <w:shd w:val="clear" w:color="auto" w:fill="FFFFFF"/>
          <w:lang w:val="en-GB"/>
        </w:rPr>
        <w:t>Fombonne</w:t>
      </w:r>
      <w:proofErr w:type="spellEnd"/>
      <w:r w:rsidRPr="00A2611C">
        <w:rPr>
          <w:color w:val="000000"/>
          <w:shd w:val="clear" w:color="auto" w:fill="FFFFFF"/>
          <w:lang w:val="en-GB"/>
        </w:rPr>
        <w:t xml:space="preserve">, E., </w:t>
      </w:r>
      <w:proofErr w:type="spellStart"/>
      <w:r w:rsidRPr="00A2611C">
        <w:rPr>
          <w:color w:val="000000"/>
          <w:shd w:val="clear" w:color="auto" w:fill="FFFFFF"/>
          <w:lang w:val="en-GB"/>
        </w:rPr>
        <w:t>Scorah</w:t>
      </w:r>
      <w:proofErr w:type="spellEnd"/>
      <w:r w:rsidRPr="00A2611C">
        <w:rPr>
          <w:color w:val="000000"/>
          <w:shd w:val="clear" w:color="auto" w:fill="FFFFFF"/>
          <w:lang w:val="en-GB"/>
        </w:rPr>
        <w:t xml:space="preserve">, J., Ibrahim, A., Durkin, M. S., Saxena, S., Yusuf, A., Shih, A., &amp; </w:t>
      </w:r>
      <w:proofErr w:type="spellStart"/>
      <w:r w:rsidRPr="00A2611C">
        <w:rPr>
          <w:color w:val="000000"/>
          <w:shd w:val="clear" w:color="auto" w:fill="FFFFFF"/>
          <w:lang w:val="en-GB"/>
        </w:rPr>
        <w:t>Elsabbagh</w:t>
      </w:r>
      <w:proofErr w:type="spellEnd"/>
      <w:r w:rsidRPr="00A2611C">
        <w:rPr>
          <w:color w:val="000000"/>
          <w:shd w:val="clear" w:color="auto" w:fill="FFFFFF"/>
          <w:lang w:val="en-GB"/>
        </w:rPr>
        <w:t xml:space="preserve">, M. (2022). </w:t>
      </w:r>
      <w:r w:rsidRPr="004B7C7A">
        <w:rPr>
          <w:color w:val="000000"/>
          <w:shd w:val="clear" w:color="auto" w:fill="FFFFFF"/>
          <w:lang w:val="en-US"/>
        </w:rPr>
        <w:t>Global prevalence of autism: A systematic review update.</w:t>
      </w:r>
      <w:r>
        <w:rPr>
          <w:rStyle w:val="apple-converted-space"/>
          <w:color w:val="000000"/>
          <w:shd w:val="clear" w:color="auto" w:fill="FFFFFF"/>
          <w:lang w:val="en-US"/>
        </w:rPr>
        <w:t xml:space="preserve"> </w:t>
      </w:r>
      <w:r w:rsidRPr="004B7C7A">
        <w:rPr>
          <w:rStyle w:val="Accentuation"/>
          <w:color w:val="000000"/>
          <w:lang w:val="en-US"/>
        </w:rPr>
        <w:t>Autism Research</w:t>
      </w:r>
      <w:r w:rsidRPr="004B7C7A">
        <w:rPr>
          <w:color w:val="000000"/>
          <w:shd w:val="clear" w:color="auto" w:fill="FFFFFF"/>
          <w:lang w:val="en-US"/>
        </w:rPr>
        <w:t xml:space="preserve">, </w:t>
      </w:r>
      <w:r>
        <w:rPr>
          <w:color w:val="000000"/>
          <w:shd w:val="clear" w:color="auto" w:fill="FFFFFF"/>
          <w:lang w:val="en-US"/>
        </w:rPr>
        <w:t>15(5), 778-</w:t>
      </w:r>
      <w:proofErr w:type="gramStart"/>
      <w:r>
        <w:rPr>
          <w:color w:val="000000"/>
          <w:shd w:val="clear" w:color="auto" w:fill="FFFFFF"/>
          <w:lang w:val="en-US"/>
        </w:rPr>
        <w:t>790.</w:t>
      </w:r>
      <w:r w:rsidRPr="004B7C7A">
        <w:rPr>
          <w:color w:val="000000"/>
          <w:shd w:val="clear" w:color="auto" w:fill="FFFFFF"/>
          <w:lang w:val="en-US"/>
        </w:rPr>
        <w:t>.</w:t>
      </w:r>
      <w:proofErr w:type="gramEnd"/>
      <w:r>
        <w:rPr>
          <w:color w:val="000000"/>
          <w:shd w:val="clear" w:color="auto" w:fill="FFFFFF"/>
          <w:lang w:val="en-US"/>
        </w:rPr>
        <w:t xml:space="preserve"> </w:t>
      </w:r>
      <w:hyperlink r:id="rId35" w:history="1">
        <w:r w:rsidRPr="00E346FA">
          <w:rPr>
            <w:rStyle w:val="Lienhypertexte"/>
            <w:shd w:val="clear" w:color="auto" w:fill="FFFFFF"/>
            <w:lang w:val="en-US"/>
          </w:rPr>
          <w:t>https://doi.org/10.1002/aur.2696</w:t>
        </w:r>
      </w:hyperlink>
    </w:p>
    <w:sectPr w:rsidR="00870508" w:rsidRPr="00153133" w:rsidSect="00394483">
      <w:headerReference w:type="even" r:id="rId36"/>
      <w:headerReference w:type="default" r:id="rId37"/>
      <w:footerReference w:type="even" r:id="rId38"/>
      <w:footerReference w:type="default" r:id="rId39"/>
      <w:headerReference w:type="first" r:id="rId40"/>
      <w:footerReference w:type="first" r:id="rId41"/>
      <w:pgSz w:w="11907" w:h="16840" w:code="9"/>
      <w:pgMar w:top="1418" w:right="1418" w:bottom="1134" w:left="1418" w:header="720" w:footer="567" w:gutter="0"/>
      <w:pgNumType w:start="4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20B57" w14:textId="77777777" w:rsidR="001329C2" w:rsidRDefault="001329C2">
      <w:pPr>
        <w:spacing w:line="240" w:lineRule="auto"/>
      </w:pPr>
      <w:r>
        <w:separator/>
      </w:r>
    </w:p>
  </w:endnote>
  <w:endnote w:type="continuationSeparator" w:id="0">
    <w:p w14:paraId="4B6266BB" w14:textId="77777777" w:rsidR="001329C2" w:rsidRDefault="001329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2C97AD5-2D0D-47E9-AF31-61BC1E2124AC}"/>
    <w:embedBold r:id="rId2" w:fontKey="{B69CAFB8-6A14-4DAD-9C13-7FF8FC2869EE}"/>
    <w:embedItalic r:id="rId3" w:fontKey="{F879CE6E-D318-494C-854F-7EE3B45A71E3}"/>
    <w:embedBoldItalic r:id="rId4" w:fontKey="{6FF15AA4-12F1-436C-90F8-6959325815E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embedRegular r:id="rId5" w:fontKey="{636540FF-7107-4B75-9550-4CAFC277836E}"/>
    <w:embedBoldItalic r:id="rId6" w:fontKey="{527B2F7C-E390-4EDE-81AA-57D5E32F3818}"/>
  </w:font>
  <w:font w:name="Open Sans SemiCondensed SemiCon">
    <w:altName w:val="Segoe UI"/>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E953" w14:textId="77777777" w:rsidR="00394483" w:rsidRDefault="0039448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F1BC"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5577B4BD" wp14:editId="6C5DA268">
          <wp:simplePos x="0" y="0"/>
          <wp:positionH relativeFrom="column">
            <wp:posOffset>-671830</wp:posOffset>
          </wp:positionH>
          <wp:positionV relativeFrom="paragraph">
            <wp:posOffset>-726440</wp:posOffset>
          </wp:positionV>
          <wp:extent cx="101861" cy="849482"/>
          <wp:effectExtent l="0" t="0" r="0" b="0"/>
          <wp:wrapNone/>
          <wp:docPr id="345296415" name="Image 345296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EBD54" w14:textId="77777777" w:rsidR="00394483" w:rsidRDefault="003944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924D5" w14:textId="77777777" w:rsidR="001329C2" w:rsidRPr="00777A2F" w:rsidRDefault="001329C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46D9AFE" w14:textId="77777777" w:rsidR="001329C2" w:rsidRDefault="001329C2">
      <w:r>
        <w:continuationSeparator/>
      </w:r>
    </w:p>
  </w:footnote>
  <w:footnote w:type="continuationNotice" w:id="1">
    <w:p w14:paraId="4AE2FE9E" w14:textId="77777777" w:rsidR="001329C2" w:rsidRDefault="001329C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923C" w14:textId="77777777" w:rsidR="00394483" w:rsidRDefault="0039448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61E69" w14:textId="12A1E6D5"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1D874B6F" wp14:editId="6A6590F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384B2D4C">
            <v:line id="Connecteur droit 3"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7016B5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FF7873">
      <w:rPr>
        <w:lang w:val="fr-CH"/>
      </w:rPr>
      <w:t>Adaptation</w:t>
    </w:r>
    <w:r w:rsidR="00C45E69">
      <w:rPr>
        <w:lang w:val="fr-CH"/>
      </w:rPr>
      <w:t>s</w:t>
    </w:r>
    <w:r w:rsidR="00FF7873">
      <w:rPr>
        <w:lang w:val="fr-CH"/>
      </w:rPr>
      <w:t xml:space="preserve"> du PER</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FF7873">
      <w:rPr>
        <w:b w:val="0"/>
        <w:bCs/>
        <w:lang w:val="fr-CH"/>
      </w:rPr>
      <w:t>1</w:t>
    </w:r>
    <w:r w:rsidR="00C45E69">
      <w:rPr>
        <w:b w:val="0"/>
        <w:bCs/>
        <w:lang w:val="fr-CH"/>
      </w:rPr>
      <w:t>6</w:t>
    </w:r>
    <w:r w:rsidR="007B448B" w:rsidRPr="00ED473A">
      <w:rPr>
        <w:b w:val="0"/>
        <w:bCs/>
        <w:lang w:val="fr-CH"/>
      </w:rPr>
      <w:t xml:space="preserve">, </w:t>
    </w:r>
    <w:r w:rsidR="00037AE3">
      <w:rPr>
        <w:b w:val="0"/>
        <w:bCs/>
        <w:lang w:val="fr-CH"/>
      </w:rPr>
      <w:t>0</w:t>
    </w:r>
    <w:r w:rsidR="00FF7873">
      <w:rPr>
        <w:b w:val="0"/>
        <w:bCs/>
        <w:lang w:val="fr-CH"/>
      </w:rPr>
      <w:t>3</w:t>
    </w:r>
    <w:r w:rsidR="007B448B" w:rsidRPr="00ED473A">
      <w:rPr>
        <w:b w:val="0"/>
        <w:bCs/>
        <w:lang w:val="fr-CH"/>
      </w:rPr>
      <w:t>/</w:t>
    </w:r>
    <w:r w:rsidR="00037AE3">
      <w:rPr>
        <w:b w:val="0"/>
        <w:bCs/>
        <w:lang w:val="fr-CH"/>
      </w:rPr>
      <w:t>202</w:t>
    </w:r>
    <w:r w:rsidR="009E4ACD">
      <w:rPr>
        <w:b w:val="0"/>
        <w:bCs/>
        <w:lang w:val="fr-CH"/>
      </w:rPr>
      <w:t>6</w:t>
    </w:r>
  </w:p>
  <w:p w14:paraId="68197BFB" w14:textId="30E99430" w:rsidR="004B3A29" w:rsidRPr="00ED473A" w:rsidRDefault="00B7489C" w:rsidP="007B448B">
    <w:pPr>
      <w:pStyle w:val="Themenschwerpunkt"/>
      <w:rPr>
        <w:b w:val="0"/>
        <w:bCs/>
        <w:lang w:val="fr-CH"/>
      </w:rPr>
    </w:pPr>
    <w:r w:rsidRPr="006555BD">
      <w:rPr>
        <w:b w:val="0"/>
        <w:bCs/>
        <w:lang w:val="fr-CH"/>
      </w:rPr>
      <w:t xml:space="preserve">| </w:t>
    </w:r>
    <w:r w:rsidR="00FF7873">
      <w:rPr>
        <w:b w:val="0"/>
        <w:bCs/>
        <w:lang w:val="fr-CH"/>
      </w:rPr>
      <w:t>VARIA</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7B11" w14:textId="77777777" w:rsidR="00394483" w:rsidRDefault="0039448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321D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306DE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AE6A9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3E0585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F5425D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B76F06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8C60D73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45071E2"/>
    <w:multiLevelType w:val="hybridMultilevel"/>
    <w:tmpl w:val="59429DB8"/>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10"/>
  </w:num>
  <w:num w:numId="3" w16cid:durableId="1479614155">
    <w:abstractNumId w:val="7"/>
  </w:num>
  <w:num w:numId="4" w16cid:durableId="1512913628">
    <w:abstractNumId w:val="9"/>
  </w:num>
  <w:num w:numId="5" w16cid:durableId="1552183671">
    <w:abstractNumId w:val="6"/>
  </w:num>
  <w:num w:numId="6" w16cid:durableId="520822786">
    <w:abstractNumId w:val="5"/>
  </w:num>
  <w:num w:numId="7" w16cid:durableId="290483137">
    <w:abstractNumId w:val="4"/>
  </w:num>
  <w:num w:numId="8" w16cid:durableId="1087574696">
    <w:abstractNumId w:val="3"/>
  </w:num>
  <w:num w:numId="9" w16cid:durableId="967511168">
    <w:abstractNumId w:val="2"/>
  </w:num>
  <w:num w:numId="10" w16cid:durableId="1569341499">
    <w:abstractNumId w:val="1"/>
  </w:num>
  <w:num w:numId="11" w16cid:durableId="1176966009">
    <w:abstractNumId w:val="0"/>
  </w:num>
  <w:num w:numId="12" w16cid:durableId="1794321075">
    <w:abstractNumId w:val="1"/>
  </w:num>
  <w:num w:numId="13" w16cid:durableId="2077238258">
    <w:abstractNumId w:val="0"/>
  </w:num>
  <w:num w:numId="14" w16cid:durableId="2015642710">
    <w:abstractNumId w:val="1"/>
  </w:num>
  <w:num w:numId="15" w16cid:durableId="540482672">
    <w:abstractNumId w:val="0"/>
  </w:num>
  <w:num w:numId="16" w16cid:durableId="909925776">
    <w:abstractNumId w:val="1"/>
  </w:num>
  <w:num w:numId="17" w16cid:durableId="1455755923">
    <w:abstractNumId w:val="0"/>
  </w:num>
  <w:num w:numId="18" w16cid:durableId="84739274">
    <w:abstractNumId w:val="1"/>
  </w:num>
  <w:num w:numId="19" w16cid:durableId="1194269915">
    <w:abstractNumId w:val="0"/>
  </w:num>
  <w:num w:numId="20" w16cid:durableId="762577616">
    <w:abstractNumId w:val="1"/>
  </w:num>
  <w:num w:numId="21" w16cid:durableId="498663558">
    <w:abstractNumId w:val="0"/>
  </w:num>
  <w:num w:numId="22" w16cid:durableId="221452055">
    <w:abstractNumId w:val="1"/>
  </w:num>
  <w:num w:numId="23" w16cid:durableId="1783374744">
    <w:abstractNumId w:val="0"/>
  </w:num>
  <w:num w:numId="24" w16cid:durableId="644555154">
    <w:abstractNumId w:val="1"/>
  </w:num>
  <w:num w:numId="25" w16cid:durableId="168728993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73"/>
    <w:rsid w:val="0000419C"/>
    <w:rsid w:val="000135DC"/>
    <w:rsid w:val="00016BFF"/>
    <w:rsid w:val="00017D6A"/>
    <w:rsid w:val="00020DA6"/>
    <w:rsid w:val="00024143"/>
    <w:rsid w:val="000302CB"/>
    <w:rsid w:val="000315B0"/>
    <w:rsid w:val="00032DA6"/>
    <w:rsid w:val="0003314D"/>
    <w:rsid w:val="000332E2"/>
    <w:rsid w:val="00034214"/>
    <w:rsid w:val="000352CE"/>
    <w:rsid w:val="00037AE3"/>
    <w:rsid w:val="00046BAC"/>
    <w:rsid w:val="00051397"/>
    <w:rsid w:val="000519CB"/>
    <w:rsid w:val="00053353"/>
    <w:rsid w:val="000759D7"/>
    <w:rsid w:val="00080CA5"/>
    <w:rsid w:val="0008445F"/>
    <w:rsid w:val="00096F04"/>
    <w:rsid w:val="000A7E03"/>
    <w:rsid w:val="000B5BB8"/>
    <w:rsid w:val="000B5C21"/>
    <w:rsid w:val="000C28F0"/>
    <w:rsid w:val="000D1BAC"/>
    <w:rsid w:val="000D2D81"/>
    <w:rsid w:val="000E44C0"/>
    <w:rsid w:val="000E6A66"/>
    <w:rsid w:val="000F0956"/>
    <w:rsid w:val="000F11C6"/>
    <w:rsid w:val="000F4B54"/>
    <w:rsid w:val="000F5288"/>
    <w:rsid w:val="00100E71"/>
    <w:rsid w:val="0010334E"/>
    <w:rsid w:val="001114E2"/>
    <w:rsid w:val="001150A5"/>
    <w:rsid w:val="00115EF5"/>
    <w:rsid w:val="001161D6"/>
    <w:rsid w:val="00120CBF"/>
    <w:rsid w:val="00126E06"/>
    <w:rsid w:val="00132543"/>
    <w:rsid w:val="001329C2"/>
    <w:rsid w:val="00134319"/>
    <w:rsid w:val="00135AA4"/>
    <w:rsid w:val="00147D64"/>
    <w:rsid w:val="00151BCA"/>
    <w:rsid w:val="00153133"/>
    <w:rsid w:val="00153AEF"/>
    <w:rsid w:val="00157D7E"/>
    <w:rsid w:val="00166640"/>
    <w:rsid w:val="00167858"/>
    <w:rsid w:val="001803D5"/>
    <w:rsid w:val="00193E28"/>
    <w:rsid w:val="001A2EEC"/>
    <w:rsid w:val="001A57EB"/>
    <w:rsid w:val="001A68E4"/>
    <w:rsid w:val="001B05BD"/>
    <w:rsid w:val="001B16E8"/>
    <w:rsid w:val="001B25F3"/>
    <w:rsid w:val="001B7781"/>
    <w:rsid w:val="001C0FE9"/>
    <w:rsid w:val="001D1A84"/>
    <w:rsid w:val="001D3BFB"/>
    <w:rsid w:val="001E35C5"/>
    <w:rsid w:val="001E3615"/>
    <w:rsid w:val="001E3BE9"/>
    <w:rsid w:val="001E7C58"/>
    <w:rsid w:val="001F314A"/>
    <w:rsid w:val="002020CC"/>
    <w:rsid w:val="00202A19"/>
    <w:rsid w:val="00202A8A"/>
    <w:rsid w:val="002034DB"/>
    <w:rsid w:val="0020467E"/>
    <w:rsid w:val="00214608"/>
    <w:rsid w:val="00216E91"/>
    <w:rsid w:val="0022028B"/>
    <w:rsid w:val="00222148"/>
    <w:rsid w:val="00227EF4"/>
    <w:rsid w:val="00231D15"/>
    <w:rsid w:val="00235A6C"/>
    <w:rsid w:val="002443A6"/>
    <w:rsid w:val="00244535"/>
    <w:rsid w:val="00252EE0"/>
    <w:rsid w:val="00252FBE"/>
    <w:rsid w:val="00276B2C"/>
    <w:rsid w:val="002814C7"/>
    <w:rsid w:val="00282F4D"/>
    <w:rsid w:val="00284EA0"/>
    <w:rsid w:val="002862AA"/>
    <w:rsid w:val="00286358"/>
    <w:rsid w:val="002943FE"/>
    <w:rsid w:val="0029522F"/>
    <w:rsid w:val="00295C48"/>
    <w:rsid w:val="002A3283"/>
    <w:rsid w:val="002C5235"/>
    <w:rsid w:val="002D77EA"/>
    <w:rsid w:val="002E13B6"/>
    <w:rsid w:val="002E5374"/>
    <w:rsid w:val="002F4C28"/>
    <w:rsid w:val="00301B4B"/>
    <w:rsid w:val="00303D8A"/>
    <w:rsid w:val="0030447C"/>
    <w:rsid w:val="0030658D"/>
    <w:rsid w:val="003068E2"/>
    <w:rsid w:val="00307EC7"/>
    <w:rsid w:val="00315C18"/>
    <w:rsid w:val="00322024"/>
    <w:rsid w:val="003222A6"/>
    <w:rsid w:val="00324340"/>
    <w:rsid w:val="00325462"/>
    <w:rsid w:val="00333C63"/>
    <w:rsid w:val="00334AC1"/>
    <w:rsid w:val="00335C13"/>
    <w:rsid w:val="00336435"/>
    <w:rsid w:val="0034098D"/>
    <w:rsid w:val="00355E1A"/>
    <w:rsid w:val="00357492"/>
    <w:rsid w:val="003606B5"/>
    <w:rsid w:val="00362F5F"/>
    <w:rsid w:val="00365730"/>
    <w:rsid w:val="00367016"/>
    <w:rsid w:val="003700A8"/>
    <w:rsid w:val="003819B7"/>
    <w:rsid w:val="00382314"/>
    <w:rsid w:val="00383074"/>
    <w:rsid w:val="00386CFF"/>
    <w:rsid w:val="00394483"/>
    <w:rsid w:val="0039520F"/>
    <w:rsid w:val="003A0EA7"/>
    <w:rsid w:val="003A2717"/>
    <w:rsid w:val="003A4659"/>
    <w:rsid w:val="003B4C81"/>
    <w:rsid w:val="003B78D3"/>
    <w:rsid w:val="003D221C"/>
    <w:rsid w:val="003D502F"/>
    <w:rsid w:val="003E022D"/>
    <w:rsid w:val="003E0578"/>
    <w:rsid w:val="003E2146"/>
    <w:rsid w:val="003E2CD3"/>
    <w:rsid w:val="003E345B"/>
    <w:rsid w:val="003F5B1B"/>
    <w:rsid w:val="003F6A6B"/>
    <w:rsid w:val="003F78C2"/>
    <w:rsid w:val="00401236"/>
    <w:rsid w:val="004027D5"/>
    <w:rsid w:val="00404F18"/>
    <w:rsid w:val="00405EC5"/>
    <w:rsid w:val="004108D3"/>
    <w:rsid w:val="00414332"/>
    <w:rsid w:val="00421D05"/>
    <w:rsid w:val="00421ECB"/>
    <w:rsid w:val="00423415"/>
    <w:rsid w:val="00423938"/>
    <w:rsid w:val="0042486F"/>
    <w:rsid w:val="00426606"/>
    <w:rsid w:val="00434873"/>
    <w:rsid w:val="00441F45"/>
    <w:rsid w:val="00447198"/>
    <w:rsid w:val="0045144F"/>
    <w:rsid w:val="00454057"/>
    <w:rsid w:val="004547EB"/>
    <w:rsid w:val="00454BCF"/>
    <w:rsid w:val="004655DA"/>
    <w:rsid w:val="00467E46"/>
    <w:rsid w:val="004713CB"/>
    <w:rsid w:val="0047168D"/>
    <w:rsid w:val="004766C5"/>
    <w:rsid w:val="00486270"/>
    <w:rsid w:val="00491512"/>
    <w:rsid w:val="00497B14"/>
    <w:rsid w:val="004A2854"/>
    <w:rsid w:val="004B1834"/>
    <w:rsid w:val="004B29F8"/>
    <w:rsid w:val="004B3001"/>
    <w:rsid w:val="004B3A29"/>
    <w:rsid w:val="004C13EB"/>
    <w:rsid w:val="004C4A76"/>
    <w:rsid w:val="004C58A1"/>
    <w:rsid w:val="004C76AA"/>
    <w:rsid w:val="004D542D"/>
    <w:rsid w:val="004D58AC"/>
    <w:rsid w:val="004D769E"/>
    <w:rsid w:val="004E232F"/>
    <w:rsid w:val="004E307D"/>
    <w:rsid w:val="004F285B"/>
    <w:rsid w:val="004F5C23"/>
    <w:rsid w:val="00501347"/>
    <w:rsid w:val="005017C4"/>
    <w:rsid w:val="005055D5"/>
    <w:rsid w:val="0050626B"/>
    <w:rsid w:val="00510623"/>
    <w:rsid w:val="005149D5"/>
    <w:rsid w:val="00521559"/>
    <w:rsid w:val="00525742"/>
    <w:rsid w:val="0052694C"/>
    <w:rsid w:val="005302D4"/>
    <w:rsid w:val="00530E98"/>
    <w:rsid w:val="00532E4B"/>
    <w:rsid w:val="00533DA1"/>
    <w:rsid w:val="0054411E"/>
    <w:rsid w:val="00545970"/>
    <w:rsid w:val="00546490"/>
    <w:rsid w:val="00546978"/>
    <w:rsid w:val="0055561F"/>
    <w:rsid w:val="0056342D"/>
    <w:rsid w:val="0056578A"/>
    <w:rsid w:val="0056595B"/>
    <w:rsid w:val="00567299"/>
    <w:rsid w:val="00571C0D"/>
    <w:rsid w:val="00572C4C"/>
    <w:rsid w:val="0057605E"/>
    <w:rsid w:val="00576E09"/>
    <w:rsid w:val="00577261"/>
    <w:rsid w:val="005810CD"/>
    <w:rsid w:val="00581DB2"/>
    <w:rsid w:val="00584209"/>
    <w:rsid w:val="00585AAE"/>
    <w:rsid w:val="00585ED0"/>
    <w:rsid w:val="005862BE"/>
    <w:rsid w:val="00591D29"/>
    <w:rsid w:val="00594747"/>
    <w:rsid w:val="00594844"/>
    <w:rsid w:val="005A646E"/>
    <w:rsid w:val="005A6F41"/>
    <w:rsid w:val="005A7AE7"/>
    <w:rsid w:val="005C392C"/>
    <w:rsid w:val="005D15B8"/>
    <w:rsid w:val="005E150A"/>
    <w:rsid w:val="005E4E3A"/>
    <w:rsid w:val="005E53D3"/>
    <w:rsid w:val="005E796A"/>
    <w:rsid w:val="005E7DD5"/>
    <w:rsid w:val="005F0EE2"/>
    <w:rsid w:val="005F52EE"/>
    <w:rsid w:val="00603058"/>
    <w:rsid w:val="006111D5"/>
    <w:rsid w:val="006111F5"/>
    <w:rsid w:val="006201D8"/>
    <w:rsid w:val="006213AE"/>
    <w:rsid w:val="00621992"/>
    <w:rsid w:val="00623E11"/>
    <w:rsid w:val="00626154"/>
    <w:rsid w:val="00636FE0"/>
    <w:rsid w:val="006411DE"/>
    <w:rsid w:val="006448C5"/>
    <w:rsid w:val="00645DC5"/>
    <w:rsid w:val="006555BD"/>
    <w:rsid w:val="00663483"/>
    <w:rsid w:val="006644A2"/>
    <w:rsid w:val="006676E2"/>
    <w:rsid w:val="006725B5"/>
    <w:rsid w:val="00682B8C"/>
    <w:rsid w:val="00685EB4"/>
    <w:rsid w:val="00694B9D"/>
    <w:rsid w:val="006A2BB4"/>
    <w:rsid w:val="006A4C05"/>
    <w:rsid w:val="006A7E90"/>
    <w:rsid w:val="006B424C"/>
    <w:rsid w:val="006B5540"/>
    <w:rsid w:val="006B5735"/>
    <w:rsid w:val="006C2B84"/>
    <w:rsid w:val="006C3DFC"/>
    <w:rsid w:val="006D5D28"/>
    <w:rsid w:val="006D7A8A"/>
    <w:rsid w:val="006E210A"/>
    <w:rsid w:val="006E260B"/>
    <w:rsid w:val="00702BE5"/>
    <w:rsid w:val="00704FBD"/>
    <w:rsid w:val="007155B8"/>
    <w:rsid w:val="0072000C"/>
    <w:rsid w:val="0072376F"/>
    <w:rsid w:val="007373E7"/>
    <w:rsid w:val="00742180"/>
    <w:rsid w:val="007424F5"/>
    <w:rsid w:val="007434C1"/>
    <w:rsid w:val="0074409D"/>
    <w:rsid w:val="0074442C"/>
    <w:rsid w:val="00746159"/>
    <w:rsid w:val="00761146"/>
    <w:rsid w:val="00765CF5"/>
    <w:rsid w:val="00777A2F"/>
    <w:rsid w:val="00777EED"/>
    <w:rsid w:val="007842F4"/>
    <w:rsid w:val="00787B6E"/>
    <w:rsid w:val="00796146"/>
    <w:rsid w:val="007A3489"/>
    <w:rsid w:val="007A75E1"/>
    <w:rsid w:val="007B448B"/>
    <w:rsid w:val="007B4F54"/>
    <w:rsid w:val="007B5361"/>
    <w:rsid w:val="007B5701"/>
    <w:rsid w:val="007B62B5"/>
    <w:rsid w:val="007C58B2"/>
    <w:rsid w:val="007C5AB3"/>
    <w:rsid w:val="007D3638"/>
    <w:rsid w:val="007E0117"/>
    <w:rsid w:val="007E78D0"/>
    <w:rsid w:val="007F43B0"/>
    <w:rsid w:val="007F5E1D"/>
    <w:rsid w:val="00804D81"/>
    <w:rsid w:val="0080514B"/>
    <w:rsid w:val="008129AC"/>
    <w:rsid w:val="00812E94"/>
    <w:rsid w:val="0081319F"/>
    <w:rsid w:val="00814594"/>
    <w:rsid w:val="0081500B"/>
    <w:rsid w:val="008152E5"/>
    <w:rsid w:val="00822118"/>
    <w:rsid w:val="00830A17"/>
    <w:rsid w:val="008351F7"/>
    <w:rsid w:val="008362E3"/>
    <w:rsid w:val="00840005"/>
    <w:rsid w:val="00840277"/>
    <w:rsid w:val="00840BB5"/>
    <w:rsid w:val="00853805"/>
    <w:rsid w:val="00855097"/>
    <w:rsid w:val="00863C53"/>
    <w:rsid w:val="00864F40"/>
    <w:rsid w:val="00870508"/>
    <w:rsid w:val="00870D45"/>
    <w:rsid w:val="00873BEE"/>
    <w:rsid w:val="00881E8C"/>
    <w:rsid w:val="00882B9B"/>
    <w:rsid w:val="00883ACF"/>
    <w:rsid w:val="008849F4"/>
    <w:rsid w:val="008854C8"/>
    <w:rsid w:val="00891E7D"/>
    <w:rsid w:val="008924D4"/>
    <w:rsid w:val="008934B9"/>
    <w:rsid w:val="008A2229"/>
    <w:rsid w:val="008B22C6"/>
    <w:rsid w:val="008C5A51"/>
    <w:rsid w:val="008C6EDB"/>
    <w:rsid w:val="008D1807"/>
    <w:rsid w:val="008D287F"/>
    <w:rsid w:val="008D4BB7"/>
    <w:rsid w:val="008D5616"/>
    <w:rsid w:val="008D5D95"/>
    <w:rsid w:val="008E3C31"/>
    <w:rsid w:val="008E60BE"/>
    <w:rsid w:val="008F17D7"/>
    <w:rsid w:val="008F2E4E"/>
    <w:rsid w:val="009113C7"/>
    <w:rsid w:val="00911AD9"/>
    <w:rsid w:val="00912E02"/>
    <w:rsid w:val="00920846"/>
    <w:rsid w:val="00920A21"/>
    <w:rsid w:val="009212F0"/>
    <w:rsid w:val="009261EA"/>
    <w:rsid w:val="009265C8"/>
    <w:rsid w:val="0093516A"/>
    <w:rsid w:val="00937A54"/>
    <w:rsid w:val="00943B46"/>
    <w:rsid w:val="009440A6"/>
    <w:rsid w:val="00944DCE"/>
    <w:rsid w:val="009515D7"/>
    <w:rsid w:val="009552F9"/>
    <w:rsid w:val="009660DC"/>
    <w:rsid w:val="00967D5F"/>
    <w:rsid w:val="00972725"/>
    <w:rsid w:val="00985126"/>
    <w:rsid w:val="00987015"/>
    <w:rsid w:val="00987565"/>
    <w:rsid w:val="009A7FF6"/>
    <w:rsid w:val="009B315D"/>
    <w:rsid w:val="009B6EFD"/>
    <w:rsid w:val="009C3A95"/>
    <w:rsid w:val="009C4DD7"/>
    <w:rsid w:val="009C6886"/>
    <w:rsid w:val="009D0CF3"/>
    <w:rsid w:val="009D4CCF"/>
    <w:rsid w:val="009D6507"/>
    <w:rsid w:val="009D6B81"/>
    <w:rsid w:val="009E1737"/>
    <w:rsid w:val="009E4ACD"/>
    <w:rsid w:val="009E5005"/>
    <w:rsid w:val="009F028A"/>
    <w:rsid w:val="009F4CD6"/>
    <w:rsid w:val="009F69D8"/>
    <w:rsid w:val="009F6A07"/>
    <w:rsid w:val="00A10362"/>
    <w:rsid w:val="00A11404"/>
    <w:rsid w:val="00A149EF"/>
    <w:rsid w:val="00A34DE0"/>
    <w:rsid w:val="00A369F3"/>
    <w:rsid w:val="00A37E53"/>
    <w:rsid w:val="00A50A1E"/>
    <w:rsid w:val="00A543D6"/>
    <w:rsid w:val="00A54FF7"/>
    <w:rsid w:val="00A55E72"/>
    <w:rsid w:val="00A61330"/>
    <w:rsid w:val="00A63850"/>
    <w:rsid w:val="00A661C3"/>
    <w:rsid w:val="00A832D5"/>
    <w:rsid w:val="00A86555"/>
    <w:rsid w:val="00A86BA5"/>
    <w:rsid w:val="00AA2610"/>
    <w:rsid w:val="00AA2F41"/>
    <w:rsid w:val="00AA3192"/>
    <w:rsid w:val="00AA7D4C"/>
    <w:rsid w:val="00AB0E12"/>
    <w:rsid w:val="00AB2D91"/>
    <w:rsid w:val="00AB35A8"/>
    <w:rsid w:val="00AB7501"/>
    <w:rsid w:val="00AC00AC"/>
    <w:rsid w:val="00AC20F1"/>
    <w:rsid w:val="00AD0B81"/>
    <w:rsid w:val="00AD1145"/>
    <w:rsid w:val="00AE1F24"/>
    <w:rsid w:val="00AE583E"/>
    <w:rsid w:val="00AE5D15"/>
    <w:rsid w:val="00AE631D"/>
    <w:rsid w:val="00AF05B3"/>
    <w:rsid w:val="00AF0C8B"/>
    <w:rsid w:val="00AF16EB"/>
    <w:rsid w:val="00AF573A"/>
    <w:rsid w:val="00B03660"/>
    <w:rsid w:val="00B07057"/>
    <w:rsid w:val="00B23FEC"/>
    <w:rsid w:val="00B24655"/>
    <w:rsid w:val="00B26E14"/>
    <w:rsid w:val="00B333C0"/>
    <w:rsid w:val="00B50E21"/>
    <w:rsid w:val="00B52035"/>
    <w:rsid w:val="00B527EA"/>
    <w:rsid w:val="00B54E5C"/>
    <w:rsid w:val="00B60261"/>
    <w:rsid w:val="00B6033A"/>
    <w:rsid w:val="00B64570"/>
    <w:rsid w:val="00B64DB2"/>
    <w:rsid w:val="00B66626"/>
    <w:rsid w:val="00B70F89"/>
    <w:rsid w:val="00B71621"/>
    <w:rsid w:val="00B7489C"/>
    <w:rsid w:val="00B74F64"/>
    <w:rsid w:val="00B7596B"/>
    <w:rsid w:val="00B8194C"/>
    <w:rsid w:val="00B9536F"/>
    <w:rsid w:val="00BB3270"/>
    <w:rsid w:val="00BB6868"/>
    <w:rsid w:val="00BC32F4"/>
    <w:rsid w:val="00BC63F2"/>
    <w:rsid w:val="00BC744B"/>
    <w:rsid w:val="00BD4FAD"/>
    <w:rsid w:val="00BD74F7"/>
    <w:rsid w:val="00BE07BD"/>
    <w:rsid w:val="00BE25C9"/>
    <w:rsid w:val="00BF2D48"/>
    <w:rsid w:val="00C006C7"/>
    <w:rsid w:val="00C02DDE"/>
    <w:rsid w:val="00C0750F"/>
    <w:rsid w:val="00C125FE"/>
    <w:rsid w:val="00C12E73"/>
    <w:rsid w:val="00C161FA"/>
    <w:rsid w:val="00C178AF"/>
    <w:rsid w:val="00C201F8"/>
    <w:rsid w:val="00C20FC3"/>
    <w:rsid w:val="00C24833"/>
    <w:rsid w:val="00C25963"/>
    <w:rsid w:val="00C350DC"/>
    <w:rsid w:val="00C40697"/>
    <w:rsid w:val="00C43705"/>
    <w:rsid w:val="00C44E61"/>
    <w:rsid w:val="00C45E69"/>
    <w:rsid w:val="00C50710"/>
    <w:rsid w:val="00C51DBF"/>
    <w:rsid w:val="00C53B56"/>
    <w:rsid w:val="00C63ADB"/>
    <w:rsid w:val="00C6441E"/>
    <w:rsid w:val="00C665F7"/>
    <w:rsid w:val="00C7315C"/>
    <w:rsid w:val="00C75601"/>
    <w:rsid w:val="00C7639F"/>
    <w:rsid w:val="00C77A77"/>
    <w:rsid w:val="00C85052"/>
    <w:rsid w:val="00C90953"/>
    <w:rsid w:val="00C9392D"/>
    <w:rsid w:val="00CA0162"/>
    <w:rsid w:val="00CA10F1"/>
    <w:rsid w:val="00CA175A"/>
    <w:rsid w:val="00CA785A"/>
    <w:rsid w:val="00CC0188"/>
    <w:rsid w:val="00CC1689"/>
    <w:rsid w:val="00CD4400"/>
    <w:rsid w:val="00CD69B8"/>
    <w:rsid w:val="00CE07E8"/>
    <w:rsid w:val="00CE3D02"/>
    <w:rsid w:val="00CE5C37"/>
    <w:rsid w:val="00CE5EE5"/>
    <w:rsid w:val="00CE79D6"/>
    <w:rsid w:val="00CF1342"/>
    <w:rsid w:val="00CF3288"/>
    <w:rsid w:val="00CF4C21"/>
    <w:rsid w:val="00CF788D"/>
    <w:rsid w:val="00D02B9E"/>
    <w:rsid w:val="00D02DE1"/>
    <w:rsid w:val="00D07C7F"/>
    <w:rsid w:val="00D07F5F"/>
    <w:rsid w:val="00D11410"/>
    <w:rsid w:val="00D177DD"/>
    <w:rsid w:val="00D17F8E"/>
    <w:rsid w:val="00D275F3"/>
    <w:rsid w:val="00D30491"/>
    <w:rsid w:val="00D335F8"/>
    <w:rsid w:val="00D33603"/>
    <w:rsid w:val="00D4043A"/>
    <w:rsid w:val="00D45554"/>
    <w:rsid w:val="00D4769B"/>
    <w:rsid w:val="00D50A4F"/>
    <w:rsid w:val="00D55316"/>
    <w:rsid w:val="00D614DC"/>
    <w:rsid w:val="00D65100"/>
    <w:rsid w:val="00D706BF"/>
    <w:rsid w:val="00D71D13"/>
    <w:rsid w:val="00D75598"/>
    <w:rsid w:val="00D75B90"/>
    <w:rsid w:val="00D76B7D"/>
    <w:rsid w:val="00D76C80"/>
    <w:rsid w:val="00D77BAD"/>
    <w:rsid w:val="00D82222"/>
    <w:rsid w:val="00D9463F"/>
    <w:rsid w:val="00D95641"/>
    <w:rsid w:val="00D969AF"/>
    <w:rsid w:val="00D97C47"/>
    <w:rsid w:val="00DA3CEB"/>
    <w:rsid w:val="00DB085C"/>
    <w:rsid w:val="00DB1DF1"/>
    <w:rsid w:val="00DB1F8B"/>
    <w:rsid w:val="00DB403E"/>
    <w:rsid w:val="00DB5151"/>
    <w:rsid w:val="00DB5625"/>
    <w:rsid w:val="00DB634C"/>
    <w:rsid w:val="00DC0AB5"/>
    <w:rsid w:val="00DC399A"/>
    <w:rsid w:val="00DC6667"/>
    <w:rsid w:val="00DE1CAB"/>
    <w:rsid w:val="00DE6B7F"/>
    <w:rsid w:val="00DF11B1"/>
    <w:rsid w:val="00DF5157"/>
    <w:rsid w:val="00E01D00"/>
    <w:rsid w:val="00E03695"/>
    <w:rsid w:val="00E16586"/>
    <w:rsid w:val="00E23124"/>
    <w:rsid w:val="00E24449"/>
    <w:rsid w:val="00E2679B"/>
    <w:rsid w:val="00E269BA"/>
    <w:rsid w:val="00E26F3D"/>
    <w:rsid w:val="00E31225"/>
    <w:rsid w:val="00E31D8C"/>
    <w:rsid w:val="00E33E72"/>
    <w:rsid w:val="00E42E44"/>
    <w:rsid w:val="00E47172"/>
    <w:rsid w:val="00E54DD0"/>
    <w:rsid w:val="00E56972"/>
    <w:rsid w:val="00E6236B"/>
    <w:rsid w:val="00E648F7"/>
    <w:rsid w:val="00E6716E"/>
    <w:rsid w:val="00E7780E"/>
    <w:rsid w:val="00E84A8B"/>
    <w:rsid w:val="00E8625B"/>
    <w:rsid w:val="00E9142E"/>
    <w:rsid w:val="00E96E69"/>
    <w:rsid w:val="00EA4676"/>
    <w:rsid w:val="00EA484D"/>
    <w:rsid w:val="00EB1E6E"/>
    <w:rsid w:val="00EB6AA7"/>
    <w:rsid w:val="00EC0A4F"/>
    <w:rsid w:val="00ED473A"/>
    <w:rsid w:val="00EE011B"/>
    <w:rsid w:val="00EE7631"/>
    <w:rsid w:val="00EE7708"/>
    <w:rsid w:val="00EF471D"/>
    <w:rsid w:val="00EF4C1D"/>
    <w:rsid w:val="00EF7CFB"/>
    <w:rsid w:val="00F10F10"/>
    <w:rsid w:val="00F1657B"/>
    <w:rsid w:val="00F21106"/>
    <w:rsid w:val="00F237A9"/>
    <w:rsid w:val="00F26A8C"/>
    <w:rsid w:val="00F27590"/>
    <w:rsid w:val="00F34734"/>
    <w:rsid w:val="00F47AD4"/>
    <w:rsid w:val="00F51143"/>
    <w:rsid w:val="00F517DE"/>
    <w:rsid w:val="00F619A7"/>
    <w:rsid w:val="00F767F6"/>
    <w:rsid w:val="00F76CB2"/>
    <w:rsid w:val="00F820EE"/>
    <w:rsid w:val="00F83A13"/>
    <w:rsid w:val="00F85E47"/>
    <w:rsid w:val="00F92EDF"/>
    <w:rsid w:val="00F95823"/>
    <w:rsid w:val="00FB0A96"/>
    <w:rsid w:val="00FB2600"/>
    <w:rsid w:val="00FB2DAA"/>
    <w:rsid w:val="00FB48D2"/>
    <w:rsid w:val="00FB7742"/>
    <w:rsid w:val="00FC1251"/>
    <w:rsid w:val="00FC6482"/>
    <w:rsid w:val="00FC7953"/>
    <w:rsid w:val="00FD0DB0"/>
    <w:rsid w:val="00FD5708"/>
    <w:rsid w:val="00FE30CB"/>
    <w:rsid w:val="00FE57F9"/>
    <w:rsid w:val="00FF1689"/>
    <w:rsid w:val="00FF2E2B"/>
    <w:rsid w:val="00FF5F99"/>
    <w:rsid w:val="00FF7873"/>
    <w:rsid w:val="38416E2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763"/>
  <w15:docId w15:val="{79CB8279-CA4A-4252-AA90-5E2F3F36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link w:val="Titre9Ca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2Car">
    <w:name w:val="Titre 2 Car"/>
    <w:basedOn w:val="Policepardfaut"/>
    <w:link w:val="Titre2"/>
    <w:uiPriority w:val="9"/>
    <w:rsid w:val="00447198"/>
    <w:rPr>
      <w:rFonts w:eastAsiaTheme="majorEastAsia" w:cs="Open Sans SemiCondensed"/>
      <w:b/>
      <w:bCs/>
      <w:szCs w:val="24"/>
      <w:lang w:val="fr-CH"/>
    </w:rPr>
  </w:style>
  <w:style w:type="character" w:customStyle="1" w:styleId="Titre1Car">
    <w:name w:val="Titre 1 Car"/>
    <w:basedOn w:val="Policepardfaut"/>
    <w:link w:val="Titre1"/>
    <w:uiPriority w:val="1"/>
    <w:rsid w:val="007B5361"/>
    <w:rPr>
      <w:rFonts w:eastAsiaTheme="majorEastAsia" w:cs="Open Sans SemiCondensed"/>
      <w:b/>
      <w:bCs/>
      <w:color w:val="000000" w:themeColor="text1"/>
      <w:sz w:val="24"/>
      <w:szCs w:val="32"/>
      <w:lang w:val="fr-CH"/>
    </w:rPr>
  </w:style>
  <w:style w:type="character" w:customStyle="1" w:styleId="apple-converted-space">
    <w:name w:val="apple-converted-space"/>
    <w:basedOn w:val="Policepardfaut"/>
    <w:rsid w:val="007B5361"/>
  </w:style>
  <w:style w:type="paragraph" w:customStyle="1" w:styleId="p1">
    <w:name w:val="p1"/>
    <w:basedOn w:val="Normal"/>
    <w:rsid w:val="00C20FC3"/>
    <w:pPr>
      <w:spacing w:line="240" w:lineRule="auto"/>
    </w:pPr>
    <w:rPr>
      <w:rFonts w:ascii="Helvetica" w:eastAsia="Times New Roman" w:hAnsi="Helvetica" w:cs="Times New Roman"/>
      <w:color w:val="000000"/>
      <w:spacing w:val="0"/>
      <w:sz w:val="18"/>
      <w:szCs w:val="18"/>
      <w:lang w:eastAsia="fr-FR"/>
    </w:rPr>
  </w:style>
  <w:style w:type="character" w:customStyle="1" w:styleId="Titre9Car">
    <w:name w:val="Titre 9 Car"/>
    <w:basedOn w:val="Policepardfaut"/>
    <w:link w:val="Titre9"/>
    <w:uiPriority w:val="9"/>
    <w:rsid w:val="00153AEF"/>
    <w:rPr>
      <w:rFonts w:eastAsiaTheme="majorEastAsia" w:cstheme="majorBidi"/>
      <w:sz w:val="24"/>
      <w:lang w:val="fr-CH"/>
    </w:rPr>
  </w:style>
  <w:style w:type="character" w:styleId="Accentuation">
    <w:name w:val="Emphasis"/>
    <w:basedOn w:val="Policepardfaut"/>
    <w:uiPriority w:val="20"/>
    <w:qFormat/>
    <w:rsid w:val="00153AEF"/>
    <w:rPr>
      <w:i/>
      <w:iCs/>
    </w:rPr>
  </w:style>
  <w:style w:type="paragraph" w:styleId="Rvision">
    <w:name w:val="Revision"/>
    <w:hidden/>
    <w:semiHidden/>
    <w:rsid w:val="00BB6868"/>
    <w:pPr>
      <w:spacing w:after="0"/>
    </w:pPr>
    <w:rPr>
      <w:lang w:val="fr-CH"/>
    </w:rPr>
  </w:style>
  <w:style w:type="paragraph" w:styleId="Paragraphedeliste">
    <w:name w:val="List Paragraph"/>
    <w:basedOn w:val="Normal"/>
    <w:rsid w:val="00FC6482"/>
    <w:pPr>
      <w:ind w:left="720"/>
      <w:contextualSpacing/>
    </w:pPr>
  </w:style>
  <w:style w:type="table" w:styleId="Tableausimple1">
    <w:name w:val="Plain Table 1"/>
    <w:basedOn w:val="TableauNormal"/>
    <w:rsid w:val="00EB6AA7"/>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4-Accentuation4">
    <w:name w:val="Grid Table 4 Accent 4"/>
    <w:basedOn w:val="TableauNormal"/>
    <w:uiPriority w:val="49"/>
    <w:rsid w:val="0054411E"/>
    <w:pPr>
      <w:spacing w:after="0"/>
    </w:pPr>
    <w:tblPr>
      <w:tblStyleRowBandSize w:val="1"/>
      <w:tblStyleColBandSize w:val="1"/>
      <w:tblBorders>
        <w:top w:val="single" w:sz="4" w:space="0" w:color="94CBA6" w:themeColor="accent4" w:themeTint="99"/>
        <w:left w:val="single" w:sz="4" w:space="0" w:color="94CBA6" w:themeColor="accent4" w:themeTint="99"/>
        <w:bottom w:val="single" w:sz="4" w:space="0" w:color="94CBA6" w:themeColor="accent4" w:themeTint="99"/>
        <w:right w:val="single" w:sz="4" w:space="0" w:color="94CBA6" w:themeColor="accent4" w:themeTint="99"/>
        <w:insideH w:val="single" w:sz="4" w:space="0" w:color="94CBA6" w:themeColor="accent4" w:themeTint="99"/>
        <w:insideV w:val="single" w:sz="4" w:space="0" w:color="94CBA6" w:themeColor="accent4" w:themeTint="99"/>
      </w:tblBorders>
    </w:tblPr>
    <w:tblStylePr w:type="firstRow">
      <w:rPr>
        <w:b/>
        <w:bCs/>
        <w:color w:val="FFFFFF" w:themeColor="background1"/>
      </w:rPr>
      <w:tblPr/>
      <w:tcPr>
        <w:tcBorders>
          <w:top w:val="single" w:sz="4" w:space="0" w:color="51A66D" w:themeColor="accent4"/>
          <w:left w:val="single" w:sz="4" w:space="0" w:color="51A66D" w:themeColor="accent4"/>
          <w:bottom w:val="single" w:sz="4" w:space="0" w:color="51A66D" w:themeColor="accent4"/>
          <w:right w:val="single" w:sz="4" w:space="0" w:color="51A66D" w:themeColor="accent4"/>
          <w:insideH w:val="nil"/>
          <w:insideV w:val="nil"/>
        </w:tcBorders>
        <w:shd w:val="clear" w:color="auto" w:fill="51A66D" w:themeFill="accent4"/>
      </w:tcPr>
    </w:tblStylePr>
    <w:tblStylePr w:type="lastRow">
      <w:rPr>
        <w:b/>
        <w:bCs/>
      </w:rPr>
      <w:tblPr/>
      <w:tcPr>
        <w:tcBorders>
          <w:top w:val="double" w:sz="4" w:space="0" w:color="51A66D" w:themeColor="accent4"/>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5.png"/><Relationship Id="rId26" Type="http://schemas.openxmlformats.org/officeDocument/2006/relationships/hyperlink" Target="https://www.jstor.org/stable/10.2307/26954695" TargetMode="External"/><Relationship Id="rId39" Type="http://schemas.openxmlformats.org/officeDocument/2006/relationships/footer" Target="footer2.xml"/><Relationship Id="rId21" Type="http://schemas.openxmlformats.org/officeDocument/2006/relationships/hyperlink" Target="mailto:nicolas.ruffieux@unifr.ch" TargetMode="External"/><Relationship Id="rId34" Type="http://schemas.openxmlformats.org/officeDocument/2006/relationships/hyperlink" Target="https://doi.org/10.3389/feduc.2022.1014693"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melie.Dentz@unil.ch" TargetMode="External"/><Relationship Id="rId20" Type="http://schemas.openxmlformats.org/officeDocument/2006/relationships/hyperlink" Target="mailto:chantal.martinsoelch@unifr.ch" TargetMode="External"/><Relationship Id="rId29" Type="http://schemas.openxmlformats.org/officeDocument/2006/relationships/hyperlink" Target="https://doi.org/10.57161/r2025-03-08"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3-08" TargetMode="External"/><Relationship Id="rId24" Type="http://schemas.openxmlformats.org/officeDocument/2006/relationships/hyperlink" Target="https://doi.org/10.1080/03075079.2025.2573214" TargetMode="External"/><Relationship Id="rId32" Type="http://schemas.openxmlformats.org/officeDocument/2006/relationships/hyperlink" Target="https://icdcdn.who.int/static/releasefiles/2023-01/ICD-11-Reference-Guide-2023-01-fr.pdf"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edudoc.ch/record/130165?ln=fr" TargetMode="External"/><Relationship Id="rId28" Type="http://schemas.openxmlformats.org/officeDocument/2006/relationships/hyperlink" Target="https://depot-e.uqtr.ca/id/eprint/8044/"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icd.who.int/browse10/2008/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infodrog.ch/files/content/refbases/DSM-5_Manuel-diagnostique-et-statistique-des-troubles-mentaux.pdf" TargetMode="External"/><Relationship Id="rId27" Type="http://schemas.openxmlformats.org/officeDocument/2006/relationships/hyperlink" Target="https://doi.org/10.1007/s10209-025-01224-4" TargetMode="External"/><Relationship Id="rId30" Type="http://schemas.openxmlformats.org/officeDocument/2006/relationships/hyperlink" Target="https://doi.org/10.64923/ceniiac.e0003" TargetMode="External"/><Relationship Id="rId35" Type="http://schemas.openxmlformats.org/officeDocument/2006/relationships/hyperlink" Target="https://doi.org/10.1002/aur.2696"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bianca.ballaman@gmail.com" TargetMode="External"/><Relationship Id="rId25" Type="http://schemas.openxmlformats.org/officeDocument/2006/relationships/hyperlink" Target="https://www.fedlex.admin.ch/eli/cc/2014/245/fr" TargetMode="External"/><Relationship Id="rId33" Type="http://schemas.openxmlformats.org/officeDocument/2006/relationships/hyperlink" Target="https://www.swissuniability.ch/index.cfm?action=act_getfile&amp;doc_id=100021&amp;spr=fr" TargetMode="External"/><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giaireCSPS\SZH%20CSPS\Daten_Allgemein%20-%20General\2_Produkte\52_Revue\RV02_Redaction\Revue_2026\03_Adaptation%20du%20PER\07_Dentz_VARIA\20260307_Dentz%20et%20al._Layou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FB0B2D60-D9CA-4D6A-B25C-CA3A4A01DAC7}"/>
</file>

<file path=docProps/app.xml><?xml version="1.0" encoding="utf-8"?>
<Properties xmlns="http://schemas.openxmlformats.org/officeDocument/2006/extended-properties" xmlns:vt="http://schemas.openxmlformats.org/officeDocument/2006/docPropsVTypes">
  <Template>20260307_Dentz et al._Layout.dotx</Template>
  <TotalTime>1</TotalTime>
  <Pages>7</Pages>
  <Words>4450</Words>
  <Characters>25368</Characters>
  <Application>Microsoft Office Word</Application>
  <DocSecurity>0</DocSecurity>
  <Lines>211</Lines>
  <Paragraphs>59</Paragraphs>
  <ScaleCrop>false</ScaleCrop>
  <HeadingPairs>
    <vt:vector size="2" baseType="variant">
      <vt:variant>
        <vt:lpstr>Titre</vt:lpstr>
      </vt:variant>
      <vt:variant>
        <vt:i4>1</vt:i4>
      </vt:variant>
    </vt:vector>
  </HeadingPairs>
  <TitlesOfParts>
    <vt:vector size="1" baseType="lpstr">
      <vt:lpstr>Compensation des désavantages et universités en Suisse romande_x000d_</vt:lpstr>
    </vt:vector>
  </TitlesOfParts>
  <Company/>
  <LinksUpToDate>false</LinksUpToDate>
  <CharactersWithSpaces>29759</CharactersWithSpaces>
  <SharedDoc>false</SharedDoc>
  <HLinks>
    <vt:vector size="114" baseType="variant">
      <vt:variant>
        <vt:i4>4718656</vt:i4>
      </vt:variant>
      <vt:variant>
        <vt:i4>66</vt:i4>
      </vt:variant>
      <vt:variant>
        <vt:i4>0</vt:i4>
      </vt:variant>
      <vt:variant>
        <vt:i4>5</vt:i4>
      </vt:variant>
      <vt:variant>
        <vt:lpwstr>https://doi.org/10.1002/aur.2696</vt:lpwstr>
      </vt:variant>
      <vt:variant>
        <vt:lpwstr/>
      </vt:variant>
      <vt:variant>
        <vt:i4>2097186</vt:i4>
      </vt:variant>
      <vt:variant>
        <vt:i4>63</vt:i4>
      </vt:variant>
      <vt:variant>
        <vt:i4>0</vt:i4>
      </vt:variant>
      <vt:variant>
        <vt:i4>5</vt:i4>
      </vt:variant>
      <vt:variant>
        <vt:lpwstr>https://doi.org/10.3389/feduc.2022.1014693</vt:lpwstr>
      </vt:variant>
      <vt:variant>
        <vt:lpwstr/>
      </vt:variant>
      <vt:variant>
        <vt:i4>5963780</vt:i4>
      </vt:variant>
      <vt:variant>
        <vt:i4>60</vt:i4>
      </vt:variant>
      <vt:variant>
        <vt:i4>0</vt:i4>
      </vt:variant>
      <vt:variant>
        <vt:i4>5</vt:i4>
      </vt:variant>
      <vt:variant>
        <vt:lpwstr>https://www.swissuniability.ch/index.cfm?action=act_getfile&amp;doc_id=100021&amp;spr=fr</vt:lpwstr>
      </vt:variant>
      <vt:variant>
        <vt:lpwstr/>
      </vt:variant>
      <vt:variant>
        <vt:i4>4456463</vt:i4>
      </vt:variant>
      <vt:variant>
        <vt:i4>57</vt:i4>
      </vt:variant>
      <vt:variant>
        <vt:i4>0</vt:i4>
      </vt:variant>
      <vt:variant>
        <vt:i4>5</vt:i4>
      </vt:variant>
      <vt:variant>
        <vt:lpwstr>https://icdcdn.who.int/static/releasefiles/2023-01/ICD-11-Reference-Guide-2023-01-fr.pdf</vt:lpwstr>
      </vt:variant>
      <vt:variant>
        <vt:lpwstr/>
      </vt:variant>
      <vt:variant>
        <vt:i4>5505129</vt:i4>
      </vt:variant>
      <vt:variant>
        <vt:i4>54</vt:i4>
      </vt:variant>
      <vt:variant>
        <vt:i4>0</vt:i4>
      </vt:variant>
      <vt:variant>
        <vt:i4>5</vt:i4>
      </vt:variant>
      <vt:variant>
        <vt:lpwstr>https://icd.who.int/browse10/2008/fr</vt:lpwstr>
      </vt:variant>
      <vt:variant>
        <vt:lpwstr>/</vt:lpwstr>
      </vt:variant>
      <vt:variant>
        <vt:i4>6291504</vt:i4>
      </vt:variant>
      <vt:variant>
        <vt:i4>51</vt:i4>
      </vt:variant>
      <vt:variant>
        <vt:i4>0</vt:i4>
      </vt:variant>
      <vt:variant>
        <vt:i4>5</vt:i4>
      </vt:variant>
      <vt:variant>
        <vt:lpwstr>https://doi.org/10.64923/ceniiac.e0003</vt:lpwstr>
      </vt:variant>
      <vt:variant>
        <vt:lpwstr/>
      </vt:variant>
      <vt:variant>
        <vt:i4>5898330</vt:i4>
      </vt:variant>
      <vt:variant>
        <vt:i4>48</vt:i4>
      </vt:variant>
      <vt:variant>
        <vt:i4>0</vt:i4>
      </vt:variant>
      <vt:variant>
        <vt:i4>5</vt:i4>
      </vt:variant>
      <vt:variant>
        <vt:lpwstr>https://doi.org/10.57161/r2025-03-08</vt:lpwstr>
      </vt:variant>
      <vt:variant>
        <vt:lpwstr/>
      </vt:variant>
      <vt:variant>
        <vt:i4>6357036</vt:i4>
      </vt:variant>
      <vt:variant>
        <vt:i4>45</vt:i4>
      </vt:variant>
      <vt:variant>
        <vt:i4>0</vt:i4>
      </vt:variant>
      <vt:variant>
        <vt:i4>5</vt:i4>
      </vt:variant>
      <vt:variant>
        <vt:lpwstr>https://depot-e.uqtr.ca/id/eprint/8044/</vt:lpwstr>
      </vt:variant>
      <vt:variant>
        <vt:lpwstr/>
      </vt:variant>
      <vt:variant>
        <vt:i4>3014706</vt:i4>
      </vt:variant>
      <vt:variant>
        <vt:i4>42</vt:i4>
      </vt:variant>
      <vt:variant>
        <vt:i4>0</vt:i4>
      </vt:variant>
      <vt:variant>
        <vt:i4>5</vt:i4>
      </vt:variant>
      <vt:variant>
        <vt:lpwstr>https://doi.org/10.1007/s10209-025-01224-4</vt:lpwstr>
      </vt:variant>
      <vt:variant>
        <vt:lpwstr/>
      </vt:variant>
      <vt:variant>
        <vt:i4>4784221</vt:i4>
      </vt:variant>
      <vt:variant>
        <vt:i4>39</vt:i4>
      </vt:variant>
      <vt:variant>
        <vt:i4>0</vt:i4>
      </vt:variant>
      <vt:variant>
        <vt:i4>5</vt:i4>
      </vt:variant>
      <vt:variant>
        <vt:lpwstr>https://www.jstor.org/stable/10.2307/26954695</vt:lpwstr>
      </vt:variant>
      <vt:variant>
        <vt:lpwstr/>
      </vt:variant>
      <vt:variant>
        <vt:i4>7471207</vt:i4>
      </vt:variant>
      <vt:variant>
        <vt:i4>36</vt:i4>
      </vt:variant>
      <vt:variant>
        <vt:i4>0</vt:i4>
      </vt:variant>
      <vt:variant>
        <vt:i4>5</vt:i4>
      </vt:variant>
      <vt:variant>
        <vt:lpwstr>https://www.fedlex.admin.ch/eli/cc/2014/245/fr</vt:lpwstr>
      </vt:variant>
      <vt:variant>
        <vt:lpwstr/>
      </vt:variant>
      <vt:variant>
        <vt:i4>983108</vt:i4>
      </vt:variant>
      <vt:variant>
        <vt:i4>33</vt:i4>
      </vt:variant>
      <vt:variant>
        <vt:i4>0</vt:i4>
      </vt:variant>
      <vt:variant>
        <vt:i4>5</vt:i4>
      </vt:variant>
      <vt:variant>
        <vt:lpwstr>https://doi.org/10.1080/03075079.2025.2573214</vt:lpwstr>
      </vt:variant>
      <vt:variant>
        <vt:lpwstr/>
      </vt:variant>
      <vt:variant>
        <vt:i4>5242963</vt:i4>
      </vt:variant>
      <vt:variant>
        <vt:i4>30</vt:i4>
      </vt:variant>
      <vt:variant>
        <vt:i4>0</vt:i4>
      </vt:variant>
      <vt:variant>
        <vt:i4>5</vt:i4>
      </vt:variant>
      <vt:variant>
        <vt:lpwstr>https://edudoc.ch/record/130165?ln=fr</vt:lpwstr>
      </vt:variant>
      <vt:variant>
        <vt:lpwstr/>
      </vt:variant>
      <vt:variant>
        <vt:i4>5111919</vt:i4>
      </vt:variant>
      <vt:variant>
        <vt:i4>27</vt:i4>
      </vt:variant>
      <vt:variant>
        <vt:i4>0</vt:i4>
      </vt:variant>
      <vt:variant>
        <vt:i4>5</vt:i4>
      </vt:variant>
      <vt:variant>
        <vt:lpwstr>https://www.infodrog.ch/files/content/refbases/DSM-5_Manuel-diagnostique-et-statistique-des-troubles-mentaux.pdf</vt:lpwstr>
      </vt:variant>
      <vt:variant>
        <vt:lpwstr/>
      </vt:variant>
      <vt:variant>
        <vt:i4>7733248</vt:i4>
      </vt:variant>
      <vt:variant>
        <vt:i4>24</vt:i4>
      </vt:variant>
      <vt:variant>
        <vt:i4>0</vt:i4>
      </vt:variant>
      <vt:variant>
        <vt:i4>5</vt:i4>
      </vt:variant>
      <vt:variant>
        <vt:lpwstr>mailto:nicolas.ruffieux@unifr.ch</vt:lpwstr>
      </vt:variant>
      <vt:variant>
        <vt:lpwstr/>
      </vt:variant>
      <vt:variant>
        <vt:i4>7667742</vt:i4>
      </vt:variant>
      <vt:variant>
        <vt:i4>21</vt:i4>
      </vt:variant>
      <vt:variant>
        <vt:i4>0</vt:i4>
      </vt:variant>
      <vt:variant>
        <vt:i4>5</vt:i4>
      </vt:variant>
      <vt:variant>
        <vt:lpwstr>mailto:chantal.martinsoelch@unifr.ch</vt:lpwstr>
      </vt:variant>
      <vt:variant>
        <vt:lpwstr/>
      </vt:variant>
      <vt:variant>
        <vt:i4>4587559</vt:i4>
      </vt:variant>
      <vt:variant>
        <vt:i4>18</vt:i4>
      </vt:variant>
      <vt:variant>
        <vt:i4>0</vt:i4>
      </vt:variant>
      <vt:variant>
        <vt:i4>5</vt:i4>
      </vt:variant>
      <vt:variant>
        <vt:lpwstr>mailto:bianca.ballaman@gmail.com</vt:lpwstr>
      </vt:variant>
      <vt:variant>
        <vt:lpwstr/>
      </vt:variant>
      <vt:variant>
        <vt:i4>1114220</vt:i4>
      </vt:variant>
      <vt:variant>
        <vt:i4>15</vt:i4>
      </vt:variant>
      <vt:variant>
        <vt:i4>0</vt:i4>
      </vt:variant>
      <vt:variant>
        <vt:i4>5</vt:i4>
      </vt:variant>
      <vt:variant>
        <vt:lpwstr>mailto:Amelie.Dentz@unil.ch</vt:lpwstr>
      </vt:variant>
      <vt:variant>
        <vt:lpwstr/>
      </vt:variant>
      <vt:variant>
        <vt:i4>5832794</vt:i4>
      </vt:variant>
      <vt:variant>
        <vt:i4>0</vt:i4>
      </vt:variant>
      <vt:variant>
        <vt:i4>0</vt:i4>
      </vt:variant>
      <vt:variant>
        <vt:i4>5</vt:i4>
      </vt:variant>
      <vt:variant>
        <vt:lpwstr>https://doi.org/10.57161/r2026-03-08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Compensation des désavantages et universités en Suisse romande_x000d_</dc:title>
  <dc:creator>Amélie Dentz; Bianca Frank Baud; Nicolas Ruffieux;Chantal Martin Sölch_x000d_</dc:creator>
  <cp:keywords>besoins spécifiques, compensation des désavantages, étudiante et étudiant, mesures renforcées, université / besonderer Bildungsbedarf, Nachteilsausgleich, Studierende, Universität, verstärkte Massnahmen</cp:keywords>
  <cp:lastModifiedBy>Morand, Robin</cp:lastModifiedBy>
  <cp:revision>256</cp:revision>
  <cp:lastPrinted>2026-08-21T14:53:00Z</cp:lastPrinted>
  <dcterms:created xsi:type="dcterms:W3CDTF">2026-07-01T07:16:00Z</dcterms:created>
  <dcterms:modified xsi:type="dcterms:W3CDTF">2026-08-21T14:53:00Z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