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B08EC" w14:textId="40412A3B" w:rsidR="008C136F" w:rsidRPr="00D27A27" w:rsidRDefault="008C136F" w:rsidP="00CC4CCF">
      <w:pPr>
        <w:pStyle w:val="Titre"/>
        <w:suppressAutoHyphens/>
      </w:pPr>
      <w:r w:rsidRPr="00D27A27">
        <w:t>Quand les compétences cessent de mesurer</w:t>
      </w:r>
      <w:r w:rsidR="00C27525">
        <w:t> </w:t>
      </w:r>
      <w:r w:rsidRPr="00D27A27">
        <w:t>: capabilités et accessibilité dans le curriculum tessinois</w:t>
      </w:r>
    </w:p>
    <w:p w14:paraId="24820D5E" w14:textId="77777777" w:rsidR="008C136F" w:rsidRPr="00D27A27" w:rsidRDefault="008C136F" w:rsidP="006B5FF3">
      <w:pPr>
        <w:pStyle w:val="Sous-titre"/>
        <w:suppressAutoHyphens/>
      </w:pPr>
      <w:r w:rsidRPr="00D27A27">
        <w:t>Entre intentions curriculaires et pratiques d’évaluation, les enjeux d’une lecture non normative</w:t>
      </w:r>
    </w:p>
    <w:p w14:paraId="2C479B80" w14:textId="4513E3CC" w:rsidR="008C136F" w:rsidRPr="00D27A27" w:rsidRDefault="008C136F" w:rsidP="008C136F">
      <w:pPr>
        <w:pStyle w:val="Author"/>
      </w:pPr>
      <w:r w:rsidRPr="00D27A27">
        <w:t>Matteo Luigi Piricò</w:t>
      </w:r>
      <w:r w:rsidRPr="00D27A27">
        <w:rPr>
          <w:rFonts w:cs="Cambria"/>
        </w:rPr>
        <w:t> </w:t>
      </w:r>
    </w:p>
    <w:p w14:paraId="52255ADC" w14:textId="10BB3ECA" w:rsidR="008C136F" w:rsidRDefault="008C136F" w:rsidP="00D70D42">
      <w:pPr>
        <w:pStyle w:val="Abstract"/>
        <w:suppressAutoHyphens/>
      </w:pPr>
      <w:r w:rsidRPr="008C136F">
        <w:t>Résumé</w:t>
      </w:r>
      <w:r>
        <w:br/>
      </w:r>
      <w:r w:rsidRPr="008C136F">
        <w:t>Le</w:t>
      </w:r>
      <w:r w:rsidRPr="008C136F">
        <w:rPr>
          <w:rFonts w:cs="Cambria"/>
        </w:rPr>
        <w:t> </w:t>
      </w:r>
      <w:r w:rsidRPr="008C136F">
        <w:rPr>
          <w:iCs/>
        </w:rPr>
        <w:t xml:space="preserve">Plan </w:t>
      </w:r>
      <w:r w:rsidR="00F64DB9">
        <w:rPr>
          <w:iCs/>
        </w:rPr>
        <w:t>d’études tessinois</w:t>
      </w:r>
      <w:r w:rsidRPr="008C136F">
        <w:t xml:space="preserve"> (</w:t>
      </w:r>
      <w:r w:rsidR="001D0770">
        <w:t xml:space="preserve">DECS, </w:t>
      </w:r>
      <w:r w:rsidRPr="008C136F">
        <w:t xml:space="preserve">2022) propose une interprétation des compétences comme facteurs de capabilisation </w:t>
      </w:r>
      <w:r w:rsidR="00944933">
        <w:rPr>
          <w:rFonts w:cs="Open Sans SemiCondensed"/>
        </w:rPr>
        <w:t>–</w:t>
      </w:r>
      <w:r w:rsidR="00B53D8A">
        <w:rPr>
          <w:rFonts w:cs="Open Sans SemiCondensed"/>
        </w:rPr>
        <w:t> </w:t>
      </w:r>
      <w:r w:rsidRPr="008C136F">
        <w:t xml:space="preserve">processus </w:t>
      </w:r>
      <w:r w:rsidR="00241035">
        <w:t xml:space="preserve">de </w:t>
      </w:r>
      <w:r w:rsidRPr="008C136F">
        <w:t>constru</w:t>
      </w:r>
      <w:r w:rsidR="00241035">
        <w:t>ction</w:t>
      </w:r>
      <w:r w:rsidRPr="008C136F">
        <w:t xml:space="preserve"> des capabilités</w:t>
      </w:r>
      <w:r w:rsidR="00B53D8A">
        <w:t> </w:t>
      </w:r>
      <w:r w:rsidR="00944933">
        <w:rPr>
          <w:rFonts w:cs="Open Sans SemiCondensed"/>
        </w:rPr>
        <w:t>–</w:t>
      </w:r>
      <w:r w:rsidRPr="008C136F">
        <w:t>, articulée à une réflexion sur la différenciation, l’individualisation, la personnalisation et l’accessibilité curriculaire. Cet article analyse les fondements théoriques de cette approche et examine ses implications pour l’évaluation dans des contextes hétérogènes, notamment à travers les profils de compétence et les dispositifs de formation des enseignantes et enseignants.</w:t>
      </w:r>
    </w:p>
    <w:p w14:paraId="3F56ECE1" w14:textId="77777777" w:rsidR="00907BFB" w:rsidRPr="00F06688" w:rsidRDefault="00907BFB" w:rsidP="00907BFB">
      <w:pPr>
        <w:pStyle w:val="Abstract"/>
        <w:rPr>
          <w:lang w:val="de-CH"/>
        </w:rPr>
      </w:pPr>
      <w:r w:rsidRPr="00F06688">
        <w:rPr>
          <w:lang w:val="de-CH"/>
        </w:rPr>
        <w:t>Zusammenfassung</w:t>
      </w:r>
      <w:r w:rsidRPr="00F06688">
        <w:rPr>
          <w:lang w:val="de-CH"/>
        </w:rPr>
        <w:br/>
        <w:t>Der Tessiner Lehrplan (DECS, 2022) interpretiert Kompetenzen als Faktoren der Befähigung</w:t>
      </w:r>
      <w:r>
        <w:rPr>
          <w:lang w:val="de-CH"/>
        </w:rPr>
        <w:t xml:space="preserve"> beziehungsweise</w:t>
      </w:r>
      <w:r w:rsidRPr="00F06688">
        <w:rPr>
          <w:lang w:val="de-CH"/>
        </w:rPr>
        <w:t xml:space="preserve"> als </w:t>
      </w:r>
      <w:r>
        <w:rPr>
          <w:lang w:val="de-CH"/>
        </w:rPr>
        <w:t>Konstruktionsp</w:t>
      </w:r>
      <w:r w:rsidRPr="00F06688">
        <w:rPr>
          <w:lang w:val="de-CH"/>
        </w:rPr>
        <w:t xml:space="preserve">rozesse </w:t>
      </w:r>
      <w:r>
        <w:rPr>
          <w:lang w:val="de-CH"/>
        </w:rPr>
        <w:t xml:space="preserve">von Befähigung. Er verbindet dies </w:t>
      </w:r>
      <w:r w:rsidRPr="00F06688">
        <w:rPr>
          <w:lang w:val="de-CH"/>
        </w:rPr>
        <w:t>mit Überlegungen zu Differenzierung, Individualisierung, Personalisierung und der Zugänglichkeit des Lehrplans. Dieser Artikel analysiert die theoretischen Grundlagen dieses Ansatzes und untersucht dessen Auswirkungen auf die Bewertung in heterogenen Kontexten, insbesondere anhand von Kompetenzprofilen und Massnahmen zur Ausbildung von Lehrpersonen.</w:t>
      </w:r>
    </w:p>
    <w:p w14:paraId="04CA44D1" w14:textId="32D1DFB4" w:rsidR="00907BFB" w:rsidRPr="00D207B4" w:rsidRDefault="00907BFB" w:rsidP="00907BFB">
      <w:pPr>
        <w:pStyle w:val="Corpsdetexte3"/>
        <w:suppressAutoHyphens/>
        <w:rPr>
          <w:lang w:val="de-CH"/>
        </w:rPr>
      </w:pPr>
      <w:r w:rsidRPr="00D207B4">
        <w:rPr>
          <w:rStyle w:val="lev"/>
          <w:rFonts w:cs="Open Sans SemiCondensed SemiCon"/>
          <w:lang w:val="de-CH"/>
        </w:rPr>
        <w:t>Keywords</w:t>
      </w:r>
      <w:r w:rsidRPr="00D207B4">
        <w:rPr>
          <w:lang w:val="de-CH"/>
        </w:rPr>
        <w:t xml:space="preserve">: </w:t>
      </w:r>
      <w:proofErr w:type="spellStart"/>
      <w:r w:rsidRPr="00D207B4">
        <w:rPr>
          <w:lang w:val="de-CH"/>
        </w:rPr>
        <w:t>accessibilité</w:t>
      </w:r>
      <w:proofErr w:type="spellEnd"/>
      <w:r w:rsidRPr="00D207B4">
        <w:rPr>
          <w:lang w:val="de-CH"/>
        </w:rPr>
        <w:t xml:space="preserve">, </w:t>
      </w:r>
      <w:proofErr w:type="spellStart"/>
      <w:r w:rsidRPr="00D207B4">
        <w:rPr>
          <w:lang w:val="de-CH"/>
        </w:rPr>
        <w:t>capabilités</w:t>
      </w:r>
      <w:proofErr w:type="spellEnd"/>
      <w:r w:rsidRPr="00D207B4">
        <w:rPr>
          <w:lang w:val="de-CH"/>
        </w:rPr>
        <w:t xml:space="preserve">, </w:t>
      </w:r>
      <w:proofErr w:type="spellStart"/>
      <w:r w:rsidRPr="00D207B4">
        <w:rPr>
          <w:lang w:val="de-CH"/>
        </w:rPr>
        <w:t>compétences</w:t>
      </w:r>
      <w:proofErr w:type="spellEnd"/>
      <w:r w:rsidRPr="00D207B4">
        <w:rPr>
          <w:lang w:val="de-CH"/>
        </w:rPr>
        <w:t xml:space="preserve">, </w:t>
      </w:r>
      <w:proofErr w:type="spellStart"/>
      <w:r w:rsidRPr="00D207B4">
        <w:rPr>
          <w:lang w:val="de-CH"/>
        </w:rPr>
        <w:t>curriculum</w:t>
      </w:r>
      <w:proofErr w:type="spellEnd"/>
      <w:r w:rsidRPr="00D207B4">
        <w:rPr>
          <w:lang w:val="de-CH"/>
        </w:rPr>
        <w:t xml:space="preserve">, </w:t>
      </w:r>
      <w:proofErr w:type="spellStart"/>
      <w:r w:rsidRPr="00D207B4">
        <w:rPr>
          <w:lang w:val="de-CH"/>
        </w:rPr>
        <w:t>différenciation</w:t>
      </w:r>
      <w:proofErr w:type="spellEnd"/>
      <w:r w:rsidRPr="00D207B4">
        <w:rPr>
          <w:lang w:val="de-CH"/>
        </w:rPr>
        <w:t xml:space="preserve">, </w:t>
      </w:r>
      <w:proofErr w:type="spellStart"/>
      <w:r w:rsidRPr="00D207B4">
        <w:rPr>
          <w:lang w:val="de-CH"/>
        </w:rPr>
        <w:t>évaluation</w:t>
      </w:r>
      <w:proofErr w:type="spellEnd"/>
      <w:r w:rsidRPr="00D207B4">
        <w:rPr>
          <w:lang w:val="de-CH"/>
        </w:rPr>
        <w:t xml:space="preserve">, plan </w:t>
      </w:r>
      <w:proofErr w:type="spellStart"/>
      <w:r w:rsidRPr="00D207B4">
        <w:rPr>
          <w:lang w:val="de-CH"/>
        </w:rPr>
        <w:t>d’études</w:t>
      </w:r>
      <w:proofErr w:type="spellEnd"/>
      <w:r w:rsidRPr="00D207B4">
        <w:rPr>
          <w:lang w:val="de-CH"/>
        </w:rPr>
        <w:t xml:space="preserve">, Tessin / Barrierefreiheit, Curriculum, Differenzierung, Evaluation, </w:t>
      </w:r>
      <w:r w:rsidR="008104C0" w:rsidRPr="00D207B4">
        <w:rPr>
          <w:lang w:val="de-CH"/>
        </w:rPr>
        <w:t>Fähigkeiten,</w:t>
      </w:r>
      <w:r w:rsidR="00E05FE2" w:rsidRPr="00D207B4">
        <w:rPr>
          <w:lang w:val="de-CH"/>
        </w:rPr>
        <w:t xml:space="preserve"> </w:t>
      </w:r>
      <w:r w:rsidRPr="00D207B4">
        <w:rPr>
          <w:lang w:val="de-CH"/>
        </w:rPr>
        <w:t>Kompetenzen, Lehrplan, Tessin</w:t>
      </w:r>
    </w:p>
    <w:p w14:paraId="6FD7E271" w14:textId="7A7EFB8E" w:rsidR="00BD0EA0" w:rsidRPr="00153133" w:rsidRDefault="00BD0EA0" w:rsidP="00522C14">
      <w:pPr>
        <w:pStyle w:val="Corpsdetexte3"/>
        <w:rPr>
          <w:rFonts w:cs="Open Sans SemiCondensed"/>
          <w:bCs/>
          <w:iCs/>
          <w:color w:val="CF3649"/>
        </w:rPr>
      </w:pPr>
      <w:r w:rsidRPr="00153133">
        <w:rPr>
          <w:rStyle w:val="lev"/>
          <w:rFonts w:cs="Open Sans SemiCondensed"/>
        </w:rPr>
        <w:t>DOI</w:t>
      </w:r>
      <w:r w:rsidRPr="00153133">
        <w:rPr>
          <w:rFonts w:cs="Open Sans SemiCondensed"/>
        </w:rPr>
        <w:t xml:space="preserve">: </w:t>
      </w:r>
      <w:hyperlink r:id="rId11" w:history="1">
        <w:r w:rsidRPr="00790A14">
          <w:rPr>
            <w:rStyle w:val="Lienhypertexte"/>
            <w:rFonts w:cs="Open Sans SemiCondensed"/>
          </w:rPr>
          <w:t>https://doi.org/10.57161/r2026-03-06</w:t>
        </w:r>
      </w:hyperlink>
      <w:r>
        <w:rPr>
          <w:rStyle w:val="Lienhypertexte"/>
          <w:rFonts w:cs="Open Sans SemiCondensed"/>
        </w:rPr>
        <w:t xml:space="preserve"> </w:t>
      </w:r>
    </w:p>
    <w:p w14:paraId="4816F6BF" w14:textId="77777777" w:rsidR="00BD0EA0" w:rsidRPr="00153133" w:rsidRDefault="00BD0EA0" w:rsidP="00522C14">
      <w:pPr>
        <w:pStyle w:val="Corpsdetexte3"/>
      </w:pPr>
      <w:r w:rsidRPr="00153133">
        <w:t xml:space="preserve">Revue </w:t>
      </w:r>
      <w:r>
        <w:t>s</w:t>
      </w:r>
      <w:r w:rsidRPr="00153133">
        <w:t xml:space="preserve">uisse de </w:t>
      </w:r>
      <w:r>
        <w:t>p</w:t>
      </w:r>
      <w:r w:rsidRPr="00153133">
        <w:t xml:space="preserve">édagogie </w:t>
      </w:r>
      <w:r>
        <w:t>s</w:t>
      </w:r>
      <w:r w:rsidRPr="00153133">
        <w:t xml:space="preserve">pécialisée, Vol. </w:t>
      </w:r>
      <w:r>
        <w:t>16</w:t>
      </w:r>
      <w:r w:rsidRPr="00153133">
        <w:t xml:space="preserve">, </w:t>
      </w:r>
      <w:r>
        <w:t>03</w:t>
      </w:r>
      <w:r w:rsidRPr="00153133">
        <w:t>/</w:t>
      </w:r>
      <w:r>
        <w:t>2026</w:t>
      </w:r>
    </w:p>
    <w:p w14:paraId="3404D43B" w14:textId="77777777" w:rsidR="00BD0EA0" w:rsidRPr="00153133" w:rsidRDefault="00BD0EA0" w:rsidP="00BD0EA0">
      <w:pPr>
        <w:pStyle w:val="Corpsdetexte3"/>
      </w:pPr>
      <w:r w:rsidRPr="00153133">
        <w:rPr>
          <w:noProof/>
        </w:rPr>
        <w:drawing>
          <wp:inline distT="0" distB="0" distL="0" distR="0" wp14:anchorId="384EA2EA" wp14:editId="3BCCCFC9">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D0978E2" w14:textId="6516A980" w:rsidR="008C136F" w:rsidRPr="00D27A27" w:rsidRDefault="008C136F" w:rsidP="00800644">
      <w:pPr>
        <w:pStyle w:val="Titre1"/>
      </w:pPr>
      <w:r w:rsidRPr="00D27A27">
        <w:t xml:space="preserve">Le </w:t>
      </w:r>
      <w:r w:rsidR="000B4D0F">
        <w:t xml:space="preserve">Plan d’études </w:t>
      </w:r>
      <w:r w:rsidRPr="00D27A27">
        <w:t>tessinois</w:t>
      </w:r>
      <w:r w:rsidR="007A4B60">
        <w:t> </w:t>
      </w:r>
      <w:r w:rsidRPr="00D27A27">
        <w:t>: un curriculum orienté vers l’accessibilité</w:t>
      </w:r>
    </w:p>
    <w:p w14:paraId="1F6F72C9" w14:textId="71E2D9B5" w:rsidR="008C136F" w:rsidRPr="00D27A27" w:rsidRDefault="008C136F" w:rsidP="00522C14">
      <w:pPr>
        <w:pStyle w:val="Corpsdetexte"/>
        <w:ind w:firstLine="0"/>
      </w:pPr>
      <w:r w:rsidRPr="00D27A27">
        <w:t>Le </w:t>
      </w:r>
      <w:r w:rsidRPr="007277B3">
        <w:rPr>
          <w:i/>
          <w:iCs/>
        </w:rPr>
        <w:t xml:space="preserve">Piano di studio </w:t>
      </w:r>
      <w:proofErr w:type="spellStart"/>
      <w:r w:rsidRPr="007277B3">
        <w:rPr>
          <w:i/>
          <w:iCs/>
        </w:rPr>
        <w:t>della</w:t>
      </w:r>
      <w:proofErr w:type="spellEnd"/>
      <w:r w:rsidRPr="007277B3">
        <w:rPr>
          <w:i/>
          <w:iCs/>
        </w:rPr>
        <w:t xml:space="preserve"> </w:t>
      </w:r>
      <w:proofErr w:type="spellStart"/>
      <w:r w:rsidRPr="007277B3">
        <w:rPr>
          <w:i/>
          <w:iCs/>
        </w:rPr>
        <w:t>scuola</w:t>
      </w:r>
      <w:proofErr w:type="spellEnd"/>
      <w:r w:rsidRPr="007277B3">
        <w:rPr>
          <w:i/>
          <w:iCs/>
        </w:rPr>
        <w:t xml:space="preserve"> </w:t>
      </w:r>
      <w:proofErr w:type="spellStart"/>
      <w:r w:rsidRPr="007277B3">
        <w:rPr>
          <w:i/>
          <w:iCs/>
        </w:rPr>
        <w:t>dell’obbligo</w:t>
      </w:r>
      <w:proofErr w:type="spellEnd"/>
      <w:r w:rsidRPr="007277B3">
        <w:rPr>
          <w:i/>
          <w:iCs/>
        </w:rPr>
        <w:t xml:space="preserve"> </w:t>
      </w:r>
      <w:proofErr w:type="spellStart"/>
      <w:r w:rsidRPr="007277B3">
        <w:rPr>
          <w:i/>
          <w:iCs/>
        </w:rPr>
        <w:t>ticinese</w:t>
      </w:r>
      <w:proofErr w:type="spellEnd"/>
      <w:r w:rsidRPr="00D27A27">
        <w:t> (</w:t>
      </w:r>
      <w:r w:rsidR="000036D1">
        <w:t xml:space="preserve">Plan d’études tessinois ; </w:t>
      </w:r>
      <w:r w:rsidRPr="00D27A27">
        <w:t xml:space="preserve">ci-après </w:t>
      </w:r>
      <w:proofErr w:type="spellStart"/>
      <w:r w:rsidRPr="00D27A27">
        <w:t>PdS</w:t>
      </w:r>
      <w:proofErr w:type="spellEnd"/>
      <w:r w:rsidRPr="00D27A27">
        <w:t>), dans sa version révisée de 2022</w:t>
      </w:r>
      <w:r w:rsidR="00522C14">
        <w:t xml:space="preserve"> (</w:t>
      </w:r>
      <w:r w:rsidR="00522C14" w:rsidRPr="00522C14">
        <w:rPr>
          <w:rFonts w:cs="Open Sans SemiCondensed"/>
        </w:rPr>
        <w:t>DECS</w:t>
      </w:r>
      <w:r w:rsidR="00522C14">
        <w:rPr>
          <w:rFonts w:cs="Open Sans SemiCondensed"/>
        </w:rPr>
        <w:t>)</w:t>
      </w:r>
      <w:r w:rsidRPr="00D27A27">
        <w:t xml:space="preserve">, constitue le cadre curriculaire de référence pour l’ensemble de la scolarité obligatoire du Canton du Tessin. </w:t>
      </w:r>
      <w:r w:rsidR="00741AF4" w:rsidRPr="00741AF4">
        <w:t>Organisé en trois volets</w:t>
      </w:r>
      <w:r w:rsidR="00617564">
        <w:t xml:space="preserve"> : </w:t>
      </w:r>
      <w:r w:rsidRPr="00D27A27">
        <w:t>formation générale, compétences transversales et compétences disciplinaires</w:t>
      </w:r>
      <w:r w:rsidR="00ED5EEA">
        <w:t> ;</w:t>
      </w:r>
      <w:r w:rsidRPr="00D27A27">
        <w:t xml:space="preserve"> il se distingue par une réflexion explicite sur les liens entre approche par compétences, hétérogénéité des élèves et accessibilité du curriculum (Mainardi, 2021). </w:t>
      </w:r>
    </w:p>
    <w:p w14:paraId="11934617" w14:textId="4713C0FA" w:rsidR="008C136F" w:rsidRPr="00D27A27" w:rsidRDefault="008C136F" w:rsidP="00800644">
      <w:pPr>
        <w:pStyle w:val="Corpsdetexte"/>
      </w:pPr>
      <w:r w:rsidRPr="00D27A27">
        <w:t>Cette réflexion s’est développée en parallèle avec les travaux du groupe «</w:t>
      </w:r>
      <w:r w:rsidR="00B834FC">
        <w:t> </w:t>
      </w:r>
      <w:proofErr w:type="spellStart"/>
      <w:r w:rsidRPr="007277B3">
        <w:rPr>
          <w:i/>
          <w:iCs/>
        </w:rPr>
        <w:t>Ripensare</w:t>
      </w:r>
      <w:proofErr w:type="spellEnd"/>
      <w:r w:rsidRPr="007277B3">
        <w:rPr>
          <w:i/>
          <w:iCs/>
        </w:rPr>
        <w:t xml:space="preserve"> l’</w:t>
      </w:r>
      <w:proofErr w:type="spellStart"/>
      <w:r w:rsidRPr="007277B3">
        <w:rPr>
          <w:i/>
          <w:iCs/>
        </w:rPr>
        <w:t>inclusione</w:t>
      </w:r>
      <w:proofErr w:type="spellEnd"/>
      <w:r w:rsidR="00B834FC">
        <w:t> </w:t>
      </w:r>
      <w:r w:rsidRPr="00D27A27">
        <w:t>»</w:t>
      </w:r>
      <w:r w:rsidR="008647CD">
        <w:t xml:space="preserve"> (Repenser l’inclusion)</w:t>
      </w:r>
      <w:r w:rsidRPr="00D27A27">
        <w:t xml:space="preserve">, </w:t>
      </w:r>
      <w:r w:rsidR="00E903E0">
        <w:t>créé</w:t>
      </w:r>
      <w:r w:rsidR="00B87729" w:rsidRPr="00D27A27">
        <w:t xml:space="preserve"> </w:t>
      </w:r>
      <w:r w:rsidRPr="00D27A27">
        <w:t>par la</w:t>
      </w:r>
      <w:r w:rsidR="00114A43">
        <w:t xml:space="preserve"> Division de l’école (</w:t>
      </w:r>
      <w:proofErr w:type="spellStart"/>
      <w:r w:rsidRPr="000570FE">
        <w:rPr>
          <w:i/>
          <w:iCs/>
        </w:rPr>
        <w:t>Divisione</w:t>
      </w:r>
      <w:proofErr w:type="spellEnd"/>
      <w:r w:rsidRPr="000570FE">
        <w:rPr>
          <w:i/>
          <w:iCs/>
        </w:rPr>
        <w:t xml:space="preserve"> </w:t>
      </w:r>
      <w:proofErr w:type="spellStart"/>
      <w:r w:rsidRPr="000570FE">
        <w:rPr>
          <w:i/>
          <w:iCs/>
        </w:rPr>
        <w:t>della</w:t>
      </w:r>
      <w:proofErr w:type="spellEnd"/>
      <w:r w:rsidRPr="000570FE">
        <w:rPr>
          <w:i/>
          <w:iCs/>
        </w:rPr>
        <w:t xml:space="preserve"> </w:t>
      </w:r>
      <w:proofErr w:type="spellStart"/>
      <w:r w:rsidRPr="000570FE">
        <w:rPr>
          <w:i/>
          <w:iCs/>
        </w:rPr>
        <w:t>scuola</w:t>
      </w:r>
      <w:proofErr w:type="spellEnd"/>
      <w:r w:rsidR="00114A43" w:rsidRPr="000570FE">
        <w:t>)</w:t>
      </w:r>
      <w:r w:rsidRPr="00D27A27">
        <w:t xml:space="preserve"> en 2021, et en collaboration avec la Section de pédagogie spécialisée (SPS)</w:t>
      </w:r>
      <w:r w:rsidR="00AE74B5" w:rsidRPr="00AE74B5">
        <w:t xml:space="preserve"> (</w:t>
      </w:r>
      <w:proofErr w:type="spellStart"/>
      <w:r w:rsidR="00AE74B5">
        <w:fldChar w:fldCharType="begin"/>
      </w:r>
      <w:r w:rsidR="00AE74B5">
        <w:instrText>HYPERLINK "https://www4.ti.ch/decs/ds/sps/sezione/"</w:instrText>
      </w:r>
      <w:r w:rsidR="00AE74B5">
        <w:fldChar w:fldCharType="separate"/>
      </w:r>
      <w:r w:rsidR="00AE74B5" w:rsidRPr="00AE74B5">
        <w:rPr>
          <w:rStyle w:val="Lienhypertexte"/>
          <w:i/>
        </w:rPr>
        <w:t>Sezione</w:t>
      </w:r>
      <w:proofErr w:type="spellEnd"/>
      <w:r w:rsidR="00AE74B5" w:rsidRPr="00AE74B5">
        <w:rPr>
          <w:rStyle w:val="Lienhypertexte"/>
          <w:i/>
        </w:rPr>
        <w:t xml:space="preserve"> </w:t>
      </w:r>
      <w:proofErr w:type="spellStart"/>
      <w:r w:rsidR="00AE74B5" w:rsidRPr="00AE74B5">
        <w:rPr>
          <w:rStyle w:val="Lienhypertexte"/>
          <w:i/>
        </w:rPr>
        <w:t>della</w:t>
      </w:r>
      <w:proofErr w:type="spellEnd"/>
      <w:r w:rsidR="00AE74B5" w:rsidRPr="00AE74B5">
        <w:rPr>
          <w:rStyle w:val="Lienhypertexte"/>
          <w:i/>
        </w:rPr>
        <w:t xml:space="preserve"> </w:t>
      </w:r>
      <w:proofErr w:type="spellStart"/>
      <w:r w:rsidR="00AE74B5" w:rsidRPr="00AE74B5">
        <w:rPr>
          <w:rStyle w:val="Lienhypertexte"/>
          <w:i/>
        </w:rPr>
        <w:t>pedagogia</w:t>
      </w:r>
      <w:proofErr w:type="spellEnd"/>
      <w:r w:rsidR="00AE74B5" w:rsidRPr="00AE74B5">
        <w:rPr>
          <w:rStyle w:val="Lienhypertexte"/>
          <w:i/>
        </w:rPr>
        <w:t xml:space="preserve"> </w:t>
      </w:r>
      <w:proofErr w:type="spellStart"/>
      <w:r w:rsidR="00AE74B5" w:rsidRPr="00AE74B5">
        <w:rPr>
          <w:rStyle w:val="Lienhypertexte"/>
          <w:i/>
        </w:rPr>
        <w:t>speciale</w:t>
      </w:r>
      <w:proofErr w:type="spellEnd"/>
      <w:r w:rsidR="00674D97">
        <w:rPr>
          <w:rStyle w:val="Lienhypertexte"/>
          <w:i/>
        </w:rPr>
        <w:t xml:space="preserve"> [</w:t>
      </w:r>
      <w:r w:rsidR="00AE74B5" w:rsidRPr="00AE74B5">
        <w:rPr>
          <w:rStyle w:val="Lienhypertexte"/>
          <w:i/>
        </w:rPr>
        <w:t>SP</w:t>
      </w:r>
      <w:r w:rsidR="00674D97">
        <w:rPr>
          <w:rStyle w:val="Lienhypertexte"/>
          <w:i/>
        </w:rPr>
        <w:t>S]</w:t>
      </w:r>
      <w:r w:rsidR="00AE74B5">
        <w:fldChar w:fldCharType="end"/>
      </w:r>
      <w:r w:rsidR="00AE74B5" w:rsidRPr="00AE74B5">
        <w:t>) </w:t>
      </w:r>
      <w:r w:rsidRPr="00D27A27">
        <w:t>du Département de l’éducation, de la culture et du sport (</w:t>
      </w:r>
      <w:proofErr w:type="spellStart"/>
      <w:r w:rsidR="00DE042F" w:rsidRPr="000570FE">
        <w:rPr>
          <w:i/>
          <w:iCs/>
        </w:rPr>
        <w:t>Dipartimento</w:t>
      </w:r>
      <w:proofErr w:type="spellEnd"/>
      <w:r w:rsidR="00DE042F" w:rsidRPr="000570FE">
        <w:rPr>
          <w:i/>
          <w:iCs/>
        </w:rPr>
        <w:t xml:space="preserve"> </w:t>
      </w:r>
      <w:proofErr w:type="spellStart"/>
      <w:r w:rsidR="00DE042F" w:rsidRPr="000570FE">
        <w:rPr>
          <w:i/>
          <w:iCs/>
        </w:rPr>
        <w:t>dell'educazione</w:t>
      </w:r>
      <w:proofErr w:type="spellEnd"/>
      <w:r w:rsidR="00DE042F" w:rsidRPr="000570FE">
        <w:rPr>
          <w:i/>
          <w:iCs/>
        </w:rPr>
        <w:t xml:space="preserve">, </w:t>
      </w:r>
      <w:proofErr w:type="spellStart"/>
      <w:r w:rsidR="00DE042F" w:rsidRPr="000570FE">
        <w:rPr>
          <w:i/>
          <w:iCs/>
        </w:rPr>
        <w:t>della</w:t>
      </w:r>
      <w:proofErr w:type="spellEnd"/>
      <w:r w:rsidR="00DE042F" w:rsidRPr="000570FE">
        <w:rPr>
          <w:i/>
          <w:iCs/>
        </w:rPr>
        <w:t xml:space="preserve"> </w:t>
      </w:r>
      <w:proofErr w:type="spellStart"/>
      <w:r w:rsidR="00DE042F" w:rsidRPr="000570FE">
        <w:rPr>
          <w:i/>
          <w:iCs/>
        </w:rPr>
        <w:t>cultura</w:t>
      </w:r>
      <w:proofErr w:type="spellEnd"/>
      <w:r w:rsidR="00DE042F" w:rsidRPr="000570FE">
        <w:rPr>
          <w:i/>
          <w:iCs/>
        </w:rPr>
        <w:t xml:space="preserve"> e </w:t>
      </w:r>
      <w:proofErr w:type="spellStart"/>
      <w:r w:rsidR="00DE042F" w:rsidRPr="000570FE">
        <w:rPr>
          <w:i/>
          <w:iCs/>
        </w:rPr>
        <w:t>dello</w:t>
      </w:r>
      <w:proofErr w:type="spellEnd"/>
      <w:r w:rsidR="00DE042F" w:rsidRPr="000570FE">
        <w:rPr>
          <w:i/>
          <w:iCs/>
        </w:rPr>
        <w:t xml:space="preserve"> sport</w:t>
      </w:r>
      <w:r w:rsidR="00674D97">
        <w:t xml:space="preserve"> [</w:t>
      </w:r>
      <w:r w:rsidRPr="00D27A27">
        <w:t>DECS</w:t>
      </w:r>
      <w:r w:rsidR="00674D97">
        <w:t>]</w:t>
      </w:r>
      <w:r w:rsidRPr="00D27A27">
        <w:t>). Le document institutionnel</w:t>
      </w:r>
      <w:r w:rsidRPr="00D27A27">
        <w:rPr>
          <w:rFonts w:cs="Cambria"/>
        </w:rPr>
        <w:t> </w:t>
      </w:r>
      <w:proofErr w:type="spellStart"/>
      <w:r w:rsidRPr="007277B3">
        <w:rPr>
          <w:i/>
          <w:iCs/>
        </w:rPr>
        <w:t>Inclusione</w:t>
      </w:r>
      <w:proofErr w:type="spellEnd"/>
      <w:r w:rsidRPr="007277B3">
        <w:rPr>
          <w:i/>
          <w:iCs/>
        </w:rPr>
        <w:t xml:space="preserve"> e </w:t>
      </w:r>
      <w:proofErr w:type="spellStart"/>
      <w:r w:rsidRPr="007277B3">
        <w:rPr>
          <w:i/>
          <w:iCs/>
        </w:rPr>
        <w:t>accessibilità</w:t>
      </w:r>
      <w:proofErr w:type="spellEnd"/>
      <w:r w:rsidRPr="007277B3">
        <w:rPr>
          <w:i/>
          <w:iCs/>
        </w:rPr>
        <w:t xml:space="preserve"> </w:t>
      </w:r>
      <w:proofErr w:type="spellStart"/>
      <w:r w:rsidRPr="007277B3">
        <w:rPr>
          <w:i/>
          <w:iCs/>
        </w:rPr>
        <w:t>nel</w:t>
      </w:r>
      <w:proofErr w:type="spellEnd"/>
      <w:r w:rsidRPr="007277B3">
        <w:rPr>
          <w:i/>
          <w:iCs/>
        </w:rPr>
        <w:t xml:space="preserve"> </w:t>
      </w:r>
      <w:proofErr w:type="spellStart"/>
      <w:r w:rsidRPr="007277B3">
        <w:rPr>
          <w:i/>
          <w:iCs/>
        </w:rPr>
        <w:t>sistema</w:t>
      </w:r>
      <w:proofErr w:type="spellEnd"/>
      <w:r w:rsidRPr="007277B3">
        <w:rPr>
          <w:i/>
          <w:iCs/>
        </w:rPr>
        <w:t xml:space="preserve"> </w:t>
      </w:r>
      <w:proofErr w:type="spellStart"/>
      <w:r w:rsidRPr="007277B3">
        <w:rPr>
          <w:i/>
          <w:iCs/>
        </w:rPr>
        <w:t>scolastico</w:t>
      </w:r>
      <w:proofErr w:type="spellEnd"/>
      <w:r w:rsidRPr="007277B3">
        <w:rPr>
          <w:i/>
          <w:iCs/>
        </w:rPr>
        <w:t xml:space="preserve"> </w:t>
      </w:r>
      <w:proofErr w:type="spellStart"/>
      <w:r w:rsidRPr="007277B3">
        <w:rPr>
          <w:i/>
          <w:iCs/>
        </w:rPr>
        <w:t>ticinese</w:t>
      </w:r>
      <w:proofErr w:type="spellEnd"/>
      <w:r w:rsidRPr="00D27A27">
        <w:rPr>
          <w:rFonts w:cs="Cambria"/>
        </w:rPr>
        <w:t> </w:t>
      </w:r>
      <w:r w:rsidRPr="00D27A27">
        <w:t>(</w:t>
      </w:r>
      <w:r w:rsidR="003977C7">
        <w:t xml:space="preserve">Inclusion et accessibilité dans le système </w:t>
      </w:r>
      <w:r w:rsidR="006703F7">
        <w:t>scolaire</w:t>
      </w:r>
      <w:r w:rsidR="003977C7">
        <w:t xml:space="preserve"> tessinois </w:t>
      </w:r>
      <w:r w:rsidR="00522C14">
        <w:t>[</w:t>
      </w:r>
      <w:r w:rsidRPr="00D27A27">
        <w:t>DECS, 2024</w:t>
      </w:r>
      <w:r w:rsidR="00522C14">
        <w:t>]</w:t>
      </w:r>
      <w:r w:rsidRPr="00D27A27">
        <w:t>) explicite cette vision</w:t>
      </w:r>
      <w:r w:rsidR="003C5CAE">
        <w:t> </w:t>
      </w:r>
      <w:r w:rsidRPr="00D27A27">
        <w:t>: un système scolaire inclusif est une «</w:t>
      </w:r>
      <w:r w:rsidR="003C5CAE">
        <w:t> </w:t>
      </w:r>
      <w:r w:rsidRPr="00D27A27">
        <w:t>école pour toutes et tous</w:t>
      </w:r>
      <w:r w:rsidR="003C5CAE">
        <w:t> </w:t>
      </w:r>
      <w:r w:rsidRPr="00D27A27">
        <w:t xml:space="preserve">» dans laquelle on intervient sur les situations et les contextes pour les rendre </w:t>
      </w:r>
      <w:r w:rsidRPr="00D27A27">
        <w:rPr>
          <w:i/>
          <w:iCs/>
        </w:rPr>
        <w:t>a priori</w:t>
      </w:r>
      <w:r w:rsidRPr="00D27A27">
        <w:t xml:space="preserve"> accessibles au plus grand nombre d’élèves, en articulant les soutiens au contexte et les mesures individuelles.</w:t>
      </w:r>
    </w:p>
    <w:p w14:paraId="2C25BC09" w14:textId="6FFECB94" w:rsidR="008C136F" w:rsidRPr="00800644" w:rsidRDefault="008C136F" w:rsidP="00800644">
      <w:pPr>
        <w:pStyle w:val="Corpsdetexte"/>
      </w:pPr>
      <w:r w:rsidRPr="00D27A27">
        <w:t xml:space="preserve">Demo (2016) soutient qu’un curriculum véritablement inclusif suppose des objectifs d’apprentissage formulés à large horizon, offrant aux enseignantes et enseignants une marge d’interprétation suffisante pour ajuster les attentes aux profils des élèves sans dénaturer les apprentissages visés. Des objectifs trop opérationnels ou prescriptifs ont tendance </w:t>
      </w:r>
      <w:r w:rsidRPr="00D27A27">
        <w:lastRenderedPageBreak/>
        <w:t xml:space="preserve">à réduire la compétence à une performance standardisée, ce qui fragilise les possibilités de différenciation et de personnalisation. Le </w:t>
      </w:r>
      <w:proofErr w:type="spellStart"/>
      <w:r w:rsidRPr="00D27A27">
        <w:t>PdS</w:t>
      </w:r>
      <w:proofErr w:type="spellEnd"/>
      <w:r w:rsidRPr="00D27A27">
        <w:t xml:space="preserve"> s’inscrit dans cette logique</w:t>
      </w:r>
      <w:r w:rsidR="005B7041">
        <w:t> </w:t>
      </w:r>
      <w:r w:rsidRPr="00D27A27">
        <w:t>: ses </w:t>
      </w:r>
      <w:proofErr w:type="spellStart"/>
      <w:r w:rsidRPr="007277B3">
        <w:rPr>
          <w:i/>
          <w:iCs/>
        </w:rPr>
        <w:t>traguardi</w:t>
      </w:r>
      <w:proofErr w:type="spellEnd"/>
      <w:r w:rsidRPr="007277B3">
        <w:rPr>
          <w:i/>
          <w:iCs/>
        </w:rPr>
        <w:t xml:space="preserve"> di </w:t>
      </w:r>
      <w:proofErr w:type="spellStart"/>
      <w:r w:rsidRPr="007277B3">
        <w:rPr>
          <w:i/>
          <w:iCs/>
        </w:rPr>
        <w:t>competenza</w:t>
      </w:r>
      <w:proofErr w:type="spellEnd"/>
      <w:r w:rsidRPr="00D27A27">
        <w:rPr>
          <w:rStyle w:val="Appelnotedebasdep"/>
          <w:rFonts w:asciiTheme="minorHAnsi" w:hAnsiTheme="minorHAnsi"/>
          <w:i/>
        </w:rPr>
        <w:footnoteReference w:id="2"/>
      </w:r>
      <w:r w:rsidRPr="00D27A27">
        <w:t>, définis pour la fin de chacun des trois cycles scolaires et reformulés à chaque étape, dessinent un horizon de développement progressif plutôt qu’un seuil binaire à franchir.</w:t>
      </w:r>
    </w:p>
    <w:p w14:paraId="3EAB7A9D" w14:textId="77777777" w:rsidR="008C136F" w:rsidRPr="00D27A27" w:rsidRDefault="008C136F" w:rsidP="000570FE">
      <w:pPr>
        <w:pStyle w:val="Titre1"/>
      </w:pPr>
      <w:r w:rsidRPr="00D27A27">
        <w:t>La notion de compétence dans une perspective inclusive</w:t>
      </w:r>
    </w:p>
    <w:p w14:paraId="538BAE9A" w14:textId="56AFA7FE" w:rsidR="008C136F" w:rsidRPr="00D27A27" w:rsidRDefault="008C136F" w:rsidP="006819BF">
      <w:pPr>
        <w:pStyle w:val="Corpsdetexte"/>
        <w:ind w:firstLine="0"/>
      </w:pPr>
      <w:r w:rsidRPr="00D27A27">
        <w:t xml:space="preserve">Le </w:t>
      </w:r>
      <w:proofErr w:type="spellStart"/>
      <w:r w:rsidRPr="00D27A27">
        <w:t>PdS</w:t>
      </w:r>
      <w:proofErr w:type="spellEnd"/>
      <w:r w:rsidRPr="00D27A27">
        <w:t xml:space="preserve"> inscrit explicitement la notion de compétence dans le champ de la capabilisation (Melchiori, 2017)</w:t>
      </w:r>
      <w:r w:rsidR="00C73A46">
        <w:t> </w:t>
      </w:r>
      <w:r w:rsidRPr="00D27A27">
        <w:t>: «</w:t>
      </w:r>
      <w:r w:rsidR="00C73A46">
        <w:t> </w:t>
      </w:r>
      <w:r w:rsidRPr="00D27A27">
        <w:t>les compétences sont interprétées à la lumière du concept émergent de capabilisation, en tant que facteurs de promotion du développement de l’individu, de sa capacité d’agir et donc de sa liberté</w:t>
      </w:r>
      <w:r w:rsidR="00C73A46">
        <w:t> </w:t>
      </w:r>
      <w:r w:rsidRPr="00D27A27">
        <w:t>» (</w:t>
      </w:r>
      <w:proofErr w:type="spellStart"/>
      <w:r w:rsidRPr="00D27A27">
        <w:t>PdS</w:t>
      </w:r>
      <w:proofErr w:type="spellEnd"/>
      <w:r w:rsidRPr="00D27A27">
        <w:t>, 2022, p.</w:t>
      </w:r>
      <w:r w:rsidR="00C73A46">
        <w:t> </w:t>
      </w:r>
      <w:r w:rsidRPr="00D27A27">
        <w:t>30). La compétence est ici envisagée comme un pont entre les traits personnels de l’individu et les occasions offertes par le monde, comme une opportunité de vie pour un accès concret à la citoyenneté.</w:t>
      </w:r>
    </w:p>
    <w:p w14:paraId="30B6346B" w14:textId="0377D291" w:rsidR="008C136F" w:rsidRDefault="00B06C44" w:rsidP="00291C05">
      <w:pPr>
        <w:pStyle w:val="Corpsdetexte"/>
      </w:pPr>
      <w:r w:rsidRPr="00037AE3">
        <w:rPr>
          <w:noProof/>
        </w:rPr>
        <mc:AlternateContent>
          <mc:Choice Requires="wps">
            <w:drawing>
              <wp:anchor distT="45720" distB="45720" distL="46990" distR="46990" simplePos="0" relativeHeight="251659264" behindDoc="0" locked="0" layoutInCell="1" allowOverlap="0" wp14:anchorId="1AE7F3B1" wp14:editId="17ECDEF8">
                <wp:simplePos x="0" y="0"/>
                <wp:positionH relativeFrom="column">
                  <wp:posOffset>-900430</wp:posOffset>
                </wp:positionH>
                <wp:positionV relativeFrom="paragraph">
                  <wp:posOffset>817880</wp:posOffset>
                </wp:positionV>
                <wp:extent cx="5015230" cy="684000"/>
                <wp:effectExtent l="0" t="0" r="0" b="1905"/>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5230" cy="684000"/>
                        </a:xfrm>
                        <a:prstGeom prst="rect">
                          <a:avLst/>
                        </a:prstGeom>
                        <a:noFill/>
                        <a:ln w="9525">
                          <a:noFill/>
                          <a:miter lim="800000"/>
                          <a:headEnd/>
                          <a:tailEnd/>
                        </a:ln>
                      </wps:spPr>
                      <wps:txbx>
                        <w:txbxContent>
                          <w:p w14:paraId="6DB30E68" w14:textId="508075FA" w:rsidR="00B06C44" w:rsidRPr="00B06C44" w:rsidRDefault="00B06C44" w:rsidP="00B06C44">
                            <w:pPr>
                              <w:pStyle w:val="Hervorhebung1"/>
                              <w:jc w:val="both"/>
                            </w:pPr>
                            <w:r>
                              <w:t>L</w:t>
                            </w:r>
                            <w:r w:rsidRPr="00B06C44">
                              <w:t>es compétences s’éloignent d’une lecture performative pour rencontrer une version centrée sur les besoins de la personne, la valorisation des talents et la promotion de projets personnels.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E7F3B1" id="_x0000_t202" coordsize="21600,21600" o:spt="202" path="m,l,21600r21600,l21600,xe">
                <v:stroke joinstyle="miter"/>
                <v:path gradientshapeok="t" o:connecttype="rect"/>
              </v:shapetype>
              <v:shape id="Zone de texte 2" o:spid="_x0000_s1026" type="#_x0000_t202" alt="&quot;&quot;" style="position:absolute;left:0;text-align:left;margin-left:-70.9pt;margin-top:64.4pt;width:394.9pt;height:53.85pt;z-index:25165926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" o:allowoverlap="f" filled="f" stroked="f">
                <v:textbox inset="29mm,,2.5mm">
                  <w:txbxContent>
                    <w:p w14:paraId="6DB30E68" w14:textId="508075FA" w:rsidR="00B06C44" w:rsidRPr="00B06C44" w:rsidRDefault="00B06C44" w:rsidP="00B06C44">
                      <w:pPr>
                        <w:pStyle w:val="Hervorhebung1"/>
                        <w:jc w:val="both"/>
                      </w:pPr>
                      <w:r>
                        <w:t>L</w:t>
                      </w:r>
                      <w:r w:rsidRPr="00B06C44">
                        <w:t>es compétences s’éloignent d’une lecture performative pour rencontrer une version centrée sur les besoins de la personne, la valorisation des talents et la promotion de projets personnels.</w:t>
                      </w:r>
                    </w:p>
                  </w:txbxContent>
                </v:textbox>
                <w10:wrap type="topAndBottom"/>
              </v:shape>
            </w:pict>
          </mc:Fallback>
        </mc:AlternateContent>
      </w:r>
      <w:r w:rsidR="008C136F" w:rsidRPr="00D27A27">
        <w:t xml:space="preserve">Cette formulation s’inscrit dans un débat théorique dense. </w:t>
      </w:r>
      <w:proofErr w:type="spellStart"/>
      <w:r w:rsidR="008C136F" w:rsidRPr="00D27A27">
        <w:t>Porcarelli</w:t>
      </w:r>
      <w:proofErr w:type="spellEnd"/>
      <w:r w:rsidR="008C136F" w:rsidRPr="00D27A27">
        <w:t xml:space="preserve"> (2020) distingue une approche fonctionnaliste ou techniciste</w:t>
      </w:r>
      <w:r w:rsidR="008C136F" w:rsidRPr="00D27A27">
        <w:rPr>
          <w:b/>
          <w:bCs/>
        </w:rPr>
        <w:t xml:space="preserve"> </w:t>
      </w:r>
      <w:r w:rsidR="008C136F" w:rsidRPr="00D27A27">
        <w:t xml:space="preserve">de la compétence </w:t>
      </w:r>
      <w:r w:rsidR="001A7202">
        <w:rPr>
          <w:rFonts w:cs="Open Sans SemiCondensed"/>
        </w:rPr>
        <w:t>–</w:t>
      </w:r>
      <w:r w:rsidR="00C6357C">
        <w:t xml:space="preserve"> </w:t>
      </w:r>
      <w:r w:rsidR="008C136F" w:rsidRPr="00D27A27">
        <w:t>centrée sur la performance mesurable et les exigences du marché</w:t>
      </w:r>
      <w:r w:rsidR="00C6357C">
        <w:t xml:space="preserve"> </w:t>
      </w:r>
      <w:r w:rsidR="001A7202">
        <w:rPr>
          <w:rFonts w:cs="Open Sans SemiCondensed"/>
        </w:rPr>
        <w:t>–</w:t>
      </w:r>
      <w:r w:rsidR="008C136F" w:rsidRPr="00D27A27">
        <w:t xml:space="preserve"> et une approche personnaliste, qui conçoit la compétence dans une perspective socioconstructiviste, centrée sur les personnes, leurs besoins de développement et la valorisation de leurs talents.</w:t>
      </w:r>
    </w:p>
    <w:p w14:paraId="5C89838A" w14:textId="1D4B63D4" w:rsidR="008C136F" w:rsidRPr="00291C05" w:rsidRDefault="008C136F" w:rsidP="00B06C44">
      <w:pPr>
        <w:pStyle w:val="Corpsdetexte"/>
        <w:ind w:firstLine="0"/>
      </w:pPr>
      <w:r w:rsidRPr="00D27A27">
        <w:t>Baldacci (2012) a précisé le passage des compétences aux</w:t>
      </w:r>
      <w:r w:rsidR="00E06F3F">
        <w:rPr>
          <w:rFonts w:cs="Cambria"/>
        </w:rPr>
        <w:t xml:space="preserve"> </w:t>
      </w:r>
      <w:proofErr w:type="spellStart"/>
      <w:r w:rsidRPr="007277B3">
        <w:rPr>
          <w:i/>
          <w:iCs/>
        </w:rPr>
        <w:t>capabilities</w:t>
      </w:r>
      <w:proofErr w:type="spellEnd"/>
      <w:r w:rsidRPr="00D27A27">
        <w:t xml:space="preserve">. Si la notion de compétence s’est largement diffusée dans les curricula scolaires sous l’influence de la formation professionnelle et des politiques économiques internationales </w:t>
      </w:r>
      <w:r w:rsidR="00E06F3F">
        <w:rPr>
          <w:rFonts w:cs="Open Sans SemiCondensed"/>
        </w:rPr>
        <w:t>–</w:t>
      </w:r>
      <w:r w:rsidR="00C6357C">
        <w:t xml:space="preserve"> </w:t>
      </w:r>
      <w:r w:rsidRPr="00D27A27">
        <w:t>ce qui expose le curriculum au risque d’une subordination au monde de l’entreprise</w:t>
      </w:r>
      <w:r w:rsidR="00C6357C">
        <w:t xml:space="preserve"> </w:t>
      </w:r>
      <w:r w:rsidR="00E06F3F">
        <w:rPr>
          <w:rFonts w:cs="Open Sans SemiCondensed"/>
        </w:rPr>
        <w:t>–</w:t>
      </w:r>
      <w:r w:rsidRPr="00D27A27">
        <w:t xml:space="preserve">, elle acquiert une légitimité pédagogique dès lors qu’elle est envisagée dans le cadre d’un paradigme de la citoyenneté. Sen </w:t>
      </w:r>
      <w:r w:rsidR="003918E0">
        <w:t xml:space="preserve">(2001) </w:t>
      </w:r>
      <w:r w:rsidRPr="00D27A27">
        <w:t xml:space="preserve">et Nussbaum </w:t>
      </w:r>
      <w:r w:rsidR="003918E0">
        <w:t xml:space="preserve">(2001) </w:t>
      </w:r>
      <w:r w:rsidRPr="00D27A27">
        <w:t>ont montré qu’il ne suffit pas de jouir de droits formels</w:t>
      </w:r>
      <w:r w:rsidR="00885EB3">
        <w:t> </w:t>
      </w:r>
      <w:r w:rsidRPr="00D27A27">
        <w:t xml:space="preserve">; il faut aussi disposer des capacités pour en faire usage. Nussbaum (2001) distingue les capacités de base, internes et combinées, soulignant que chaque personne doit pouvoir expliciter son éventail de compétences en affirmant le principe de la capacité individuelle. Former des compétences signifie alors rendre les personnes capables de jouir réellement de leurs droits, en les transformant en opportunités de vie (Baldacci, 2012). Le </w:t>
      </w:r>
      <w:proofErr w:type="spellStart"/>
      <w:r w:rsidRPr="00D27A27">
        <w:t>PdS</w:t>
      </w:r>
      <w:proofErr w:type="spellEnd"/>
      <w:r w:rsidRPr="00D27A27">
        <w:t xml:space="preserve"> tessinois fait sien ce positionnement</w:t>
      </w:r>
      <w:r w:rsidR="00EF3015">
        <w:t> </w:t>
      </w:r>
      <w:r w:rsidRPr="00D27A27">
        <w:t>: les compétences s’éloignent d’une lecture performative pour rencontrer une version centrée sur les besoins de la personne, la valorisation des talents et la promotion de projets personnels.</w:t>
      </w:r>
    </w:p>
    <w:p w14:paraId="228828B7" w14:textId="785980C5" w:rsidR="008C136F" w:rsidRPr="00D27A27" w:rsidRDefault="008C136F" w:rsidP="00291C05">
      <w:pPr>
        <w:pStyle w:val="Titre1"/>
      </w:pPr>
      <w:r w:rsidRPr="00D27A27">
        <w:t>Repères conceptuels</w:t>
      </w:r>
      <w:r w:rsidR="001472C2">
        <w:t> </w:t>
      </w:r>
      <w:r w:rsidRPr="00D27A27">
        <w:t>: différenciation, individualisation, personnalisation, accessibilité</w:t>
      </w:r>
    </w:p>
    <w:p w14:paraId="5C8EB751" w14:textId="3F123553" w:rsidR="008C136F" w:rsidRPr="00D27A27" w:rsidRDefault="008C136F" w:rsidP="00B06C44">
      <w:pPr>
        <w:pStyle w:val="Corpsdetexte"/>
        <w:ind w:firstLine="0"/>
      </w:pPr>
      <w:r w:rsidRPr="00D27A27">
        <w:t xml:space="preserve">Le </w:t>
      </w:r>
      <w:proofErr w:type="spellStart"/>
      <w:r w:rsidRPr="00D27A27">
        <w:t>PdS</w:t>
      </w:r>
      <w:proofErr w:type="spellEnd"/>
      <w:r w:rsidRPr="00D27A27">
        <w:t xml:space="preserve"> (2022) définit la différenciation comme «</w:t>
      </w:r>
      <w:r w:rsidR="001472C2">
        <w:t> </w:t>
      </w:r>
      <w:r w:rsidRPr="00D27A27">
        <w:t>un présupposé de l’action didactique, une vision de l’enseignement et de la culture éducative qui embrasse et interprète la diversité dans le contexte de la classe</w:t>
      </w:r>
      <w:r w:rsidR="001472C2">
        <w:t> </w:t>
      </w:r>
      <w:r w:rsidRPr="00D27A27">
        <w:t>». Différencier signifie adapter les modalités d’accès aux savoirs et aux habiletés en tenant compte de l’hétérogénéité des élèves en termes de besoins, de connaissances préalables, d’intérêts, de motivations, de préférences d’apprentissage et de perception de soi. Cette définition dialogue avec les travaux de Tomlinson (2012) et de Meirieu (2011), pour qui la différenciation consiste à diversifier les activités afin de guider chaque élève dans ses parcours d’apprentissage et de l’accompagner vers l’autonomie.</w:t>
      </w:r>
    </w:p>
    <w:p w14:paraId="6A1B7929" w14:textId="598D81C3" w:rsidR="008C136F" w:rsidRPr="00D27A27" w:rsidRDefault="00E92407" w:rsidP="00674D97">
      <w:pPr>
        <w:pStyle w:val="Corpsdetexte"/>
        <w:ind w:firstLine="0"/>
      </w:pPr>
      <w:r>
        <w:lastRenderedPageBreak/>
        <w:t xml:space="preserve">Dans </w:t>
      </w:r>
      <w:r w:rsidR="008C136F" w:rsidRPr="00D27A27">
        <w:t>cette perspective, il convient de distinguer les notions d’individualisation et de personnalisation. L’individualisation vise à garantir à toutes et tous l’atteinte des compétences fondamentales du curriculum en diversifiant les parcours d’enseignement</w:t>
      </w:r>
      <w:r w:rsidR="00B06C44">
        <w:t>. L</w:t>
      </w:r>
      <w:r w:rsidR="008C136F" w:rsidRPr="00D27A27">
        <w:t xml:space="preserve">a personnalisation, quant à elle, vise à assurer à chaque élève une forme propre d’excellence cognitive en lui permettant de cultiver ses potentialités (Baldacci, 2008). Le </w:t>
      </w:r>
      <w:proofErr w:type="spellStart"/>
      <w:r w:rsidR="008C136F" w:rsidRPr="00D27A27">
        <w:t>PdS</w:t>
      </w:r>
      <w:proofErr w:type="spellEnd"/>
      <w:r w:rsidR="008C136F" w:rsidRPr="00D27A27">
        <w:t xml:space="preserve"> articule explicitement ces deux stratégies en les reliant à la notion de capabilisation.</w:t>
      </w:r>
    </w:p>
    <w:p w14:paraId="3B0418D3" w14:textId="556675C7" w:rsidR="008C136F" w:rsidRPr="00D27A27" w:rsidRDefault="00B06C44" w:rsidP="00966093">
      <w:pPr>
        <w:pStyle w:val="Corpsdetexte"/>
      </w:pPr>
      <w:r w:rsidRPr="00037AE3">
        <w:rPr>
          <w:noProof/>
        </w:rPr>
        <mc:AlternateContent>
          <mc:Choice Requires="wps">
            <w:drawing>
              <wp:anchor distT="45720" distB="45720" distL="46990" distR="46990" simplePos="0" relativeHeight="251661312" behindDoc="0" locked="0" layoutInCell="1" allowOverlap="0" wp14:anchorId="017A6EFA" wp14:editId="336B8921">
                <wp:simplePos x="0" y="0"/>
                <wp:positionH relativeFrom="column">
                  <wp:posOffset>-900430</wp:posOffset>
                </wp:positionH>
                <wp:positionV relativeFrom="paragraph">
                  <wp:posOffset>1611630</wp:posOffset>
                </wp:positionV>
                <wp:extent cx="5905500" cy="683895"/>
                <wp:effectExtent l="0" t="0" r="0" b="1905"/>
                <wp:wrapTopAndBottom/>
                <wp:docPr id="1968438003"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683895"/>
                        </a:xfrm>
                        <a:prstGeom prst="rect">
                          <a:avLst/>
                        </a:prstGeom>
                        <a:noFill/>
                        <a:ln w="9525">
                          <a:noFill/>
                          <a:miter lim="800000"/>
                          <a:headEnd/>
                          <a:tailEnd/>
                        </a:ln>
                      </wps:spPr>
                      <wps:txbx>
                        <w:txbxContent>
                          <w:p w14:paraId="35CBB5D1" w14:textId="7C478D61" w:rsidR="00B06C44" w:rsidRPr="00B06C44" w:rsidRDefault="00DC65AE" w:rsidP="00B06C44">
                            <w:pPr>
                              <w:pStyle w:val="Hervorhebung1"/>
                              <w:jc w:val="both"/>
                            </w:pPr>
                            <w:r>
                              <w:t>C</w:t>
                            </w:r>
                            <w:r w:rsidRPr="00D27A27">
                              <w:t>e modèle s’inscrit dans une conception de l’inclusion au sens larg</w:t>
                            </w:r>
                            <w:r>
                              <w:t>e</w:t>
                            </w:r>
                            <w:r w:rsidRPr="00D27A27">
                              <w:t>, entendue comme un processus continu d’évolution entrepris par des écoles qui visent à valoriser les diversités de chaque élève afin de garantir à chacune et chacun apprentissage et participation.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7A6EFA" id="_x0000_s1027" type="#_x0000_t202" alt="&quot;&quot;" style="position:absolute;left:0;text-align:left;margin-left:-70.9pt;margin-top:126.9pt;width:465pt;height:53.85pt;z-index:25166131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" o:allowoverlap="f" filled="f" stroked="f">
                <v:textbox inset="29mm,,2.5mm">
                  <w:txbxContent>
                    <w:p w14:paraId="35CBB5D1" w14:textId="7C478D61" w:rsidR="00B06C44" w:rsidRPr="00B06C44" w:rsidRDefault="00DC65AE" w:rsidP="00B06C44">
                      <w:pPr>
                        <w:pStyle w:val="Hervorhebung1"/>
                        <w:jc w:val="both"/>
                      </w:pPr>
                      <w:r>
                        <w:t>C</w:t>
                      </w:r>
                      <w:r w:rsidRPr="00D27A27">
                        <w:t>e modèle s’inscrit dans une conception de l’inclusion au sens larg</w:t>
                      </w:r>
                      <w:r>
                        <w:t>e</w:t>
                      </w:r>
                      <w:r w:rsidRPr="00D27A27">
                        <w:t>, entendue comme un processus continu d’évolution entrepris par des écoles qui visent à valoriser les diversités de chaque élève afin de garantir à chacune et chacun apprentissage et participation.</w:t>
                      </w:r>
                    </w:p>
                  </w:txbxContent>
                </v:textbox>
                <w10:wrap type="topAndBottom"/>
              </v:shape>
            </w:pict>
          </mc:Fallback>
        </mc:AlternateContent>
      </w:r>
      <w:r w:rsidR="008C136F" w:rsidRPr="00D27A27">
        <w:t>Sur le plan opérationnel, le paradigme de la Conception universelle de l’apprentissage (CUA)</w:t>
      </w:r>
      <w:r w:rsidR="008C136F" w:rsidRPr="00D27A27">
        <w:rPr>
          <w:rStyle w:val="Appelnotedebasdep"/>
          <w:rFonts w:asciiTheme="minorHAnsi" w:hAnsiTheme="minorHAnsi"/>
        </w:rPr>
        <w:footnoteReference w:id="3"/>
      </w:r>
      <w:r w:rsidR="008C136F" w:rsidRPr="00D27A27">
        <w:t>, issu des recherches en neurosciences et promu par</w:t>
      </w:r>
      <w:r w:rsidR="006E03B2">
        <w:t xml:space="preserve"> le </w:t>
      </w:r>
      <w:r w:rsidR="006E03B2" w:rsidRPr="00DC65AE">
        <w:rPr>
          <w:i/>
          <w:iCs/>
        </w:rPr>
        <w:t xml:space="preserve">Center for </w:t>
      </w:r>
      <w:proofErr w:type="spellStart"/>
      <w:r w:rsidR="006E03B2" w:rsidRPr="00DC65AE">
        <w:rPr>
          <w:i/>
          <w:iCs/>
        </w:rPr>
        <w:t>Applied</w:t>
      </w:r>
      <w:proofErr w:type="spellEnd"/>
      <w:r w:rsidR="006E03B2" w:rsidRPr="00DC65AE">
        <w:rPr>
          <w:i/>
          <w:iCs/>
        </w:rPr>
        <w:t xml:space="preserve"> Special </w:t>
      </w:r>
      <w:proofErr w:type="spellStart"/>
      <w:r w:rsidR="006E03B2" w:rsidRPr="00DC65AE">
        <w:rPr>
          <w:i/>
          <w:iCs/>
        </w:rPr>
        <w:t>Technology</w:t>
      </w:r>
      <w:proofErr w:type="spellEnd"/>
      <w:r w:rsidR="006E03B2">
        <w:t xml:space="preserve"> (</w:t>
      </w:r>
      <w:r w:rsidR="008C136F" w:rsidRPr="00D27A27">
        <w:t>CAST</w:t>
      </w:r>
      <w:r w:rsidR="006E03B2">
        <w:t>)</w:t>
      </w:r>
      <w:r w:rsidR="008C136F" w:rsidRPr="00D27A27">
        <w:t xml:space="preserve">, offre un cadre cohérent avec cette vision. La CUA repose sur trois principes </w:t>
      </w:r>
      <w:r w:rsidR="00203E9A">
        <w:rPr>
          <w:rFonts w:cs="Open Sans SemiCondensed"/>
        </w:rPr>
        <w:t>–</w:t>
      </w:r>
      <w:r w:rsidR="00C6357C">
        <w:rPr>
          <w:rFonts w:cs="Open Sans SemiCondensed"/>
        </w:rPr>
        <w:t xml:space="preserve"> </w:t>
      </w:r>
      <w:r w:rsidR="00203E9A">
        <w:rPr>
          <w:rFonts w:cs="Open Sans SemiCondensed"/>
        </w:rPr>
        <w:t>(1) </w:t>
      </w:r>
      <w:r w:rsidR="008C136F" w:rsidRPr="00D27A27">
        <w:t xml:space="preserve">moyens multiples de représentation, </w:t>
      </w:r>
      <w:r w:rsidR="00203E9A">
        <w:t>(2) </w:t>
      </w:r>
      <w:r w:rsidR="008C136F" w:rsidRPr="00D27A27">
        <w:t xml:space="preserve">d’action et d’expression, et </w:t>
      </w:r>
      <w:r w:rsidR="00203E9A">
        <w:t>(3) </w:t>
      </w:r>
      <w:r w:rsidR="008C136F" w:rsidRPr="00D27A27">
        <w:t>d’engagement</w:t>
      </w:r>
      <w:r w:rsidR="00C6357C">
        <w:t xml:space="preserve"> </w:t>
      </w:r>
      <w:r w:rsidR="00203E9A">
        <w:rPr>
          <w:rFonts w:cs="Open Sans SemiCondensed"/>
        </w:rPr>
        <w:t>–</w:t>
      </w:r>
      <w:r w:rsidR="008C136F" w:rsidRPr="00D27A27">
        <w:t xml:space="preserve"> qui correspondent aux réseaux neuronaux</w:t>
      </w:r>
      <w:r w:rsidR="00C5584A">
        <w:t>,</w:t>
      </w:r>
      <w:r w:rsidR="00722935">
        <w:t xml:space="preserve"> respectivement</w:t>
      </w:r>
      <w:r w:rsidR="00C5584A">
        <w:t xml:space="preserve">, </w:t>
      </w:r>
      <w:r w:rsidR="008C136F" w:rsidRPr="00D27A27">
        <w:t xml:space="preserve">de </w:t>
      </w:r>
      <w:r w:rsidR="00722935">
        <w:t>(1) </w:t>
      </w:r>
      <w:r w:rsidR="008C136F" w:rsidRPr="00D27A27">
        <w:t>reconnaissance,</w:t>
      </w:r>
      <w:r w:rsidR="00722935">
        <w:t xml:space="preserve"> (2) </w:t>
      </w:r>
      <w:r w:rsidR="008C136F" w:rsidRPr="00D27A27">
        <w:t>stratégiques et</w:t>
      </w:r>
      <w:r w:rsidR="00722935">
        <w:t xml:space="preserve"> (3) </w:t>
      </w:r>
      <w:r w:rsidR="008C136F" w:rsidRPr="00D27A27">
        <w:t>affectifs (</w:t>
      </w:r>
      <w:r w:rsidR="00DC65AE" w:rsidRPr="00D27A27">
        <w:t>Cottini, 2019</w:t>
      </w:r>
      <w:r w:rsidR="00DC65AE">
        <w:t> </w:t>
      </w:r>
      <w:r w:rsidR="00DC65AE" w:rsidRPr="00D27A27">
        <w:t xml:space="preserve">; </w:t>
      </w:r>
      <w:r w:rsidR="008C136F" w:rsidRPr="00D27A27">
        <w:t>Savia, 2016</w:t>
      </w:r>
      <w:r w:rsidR="00203E9A">
        <w:t> </w:t>
      </w:r>
      <w:r w:rsidR="008C136F" w:rsidRPr="00D27A27">
        <w:t>; Rusconi</w:t>
      </w:r>
      <w:r w:rsidR="00966093">
        <w:rPr>
          <w:rFonts w:cs="Open Sans SemiCondensed"/>
        </w:rPr>
        <w:t> </w:t>
      </w:r>
      <w:r w:rsidR="00966093">
        <w:t>&amp;</w:t>
      </w:r>
      <w:r w:rsidR="008C136F" w:rsidRPr="00D27A27">
        <w:t xml:space="preserve"> </w:t>
      </w:r>
      <w:proofErr w:type="spellStart"/>
      <w:r w:rsidR="008C136F" w:rsidRPr="00D27A27">
        <w:t>Squillaci</w:t>
      </w:r>
      <w:proofErr w:type="spellEnd"/>
      <w:r w:rsidR="008C136F" w:rsidRPr="00D27A27">
        <w:t>, 2023). Ce cadre renonce à calibrer l’offre sur un hypothétique «</w:t>
      </w:r>
      <w:r w:rsidR="00722935">
        <w:t> </w:t>
      </w:r>
      <w:r w:rsidR="008C136F" w:rsidRPr="00D27A27">
        <w:t>sujet moyen</w:t>
      </w:r>
      <w:r w:rsidR="00722935">
        <w:t> </w:t>
      </w:r>
      <w:r w:rsidR="008C136F" w:rsidRPr="00D27A27">
        <w:t>» et adopte une posture proactive de conception</w:t>
      </w:r>
      <w:r w:rsidR="00722935">
        <w:t> </w:t>
      </w:r>
      <w:r w:rsidR="008C136F" w:rsidRPr="00D27A27">
        <w:t xml:space="preserve">: le dispositif didactique intègre d’emblée les trois principes, de sorte que l’accessibilité soit inscrite dans la structure même de l’enseignement et non ajoutée en réaction à des difficultés constatées. </w:t>
      </w:r>
    </w:p>
    <w:p w14:paraId="282EF2A5" w14:textId="311491F9" w:rsidR="008C136F" w:rsidRPr="00291C05" w:rsidRDefault="008C136F" w:rsidP="00DC65AE">
      <w:pPr>
        <w:pStyle w:val="Corpsdetexte"/>
        <w:ind w:firstLine="0"/>
      </w:pPr>
      <w:r w:rsidRPr="00D27A27">
        <w:t xml:space="preserve">Le document élaboré par le DECS (2024) </w:t>
      </w:r>
      <w:proofErr w:type="spellStart"/>
      <w:r w:rsidRPr="007277B3">
        <w:rPr>
          <w:i/>
          <w:iCs/>
        </w:rPr>
        <w:t>Inclusione</w:t>
      </w:r>
      <w:proofErr w:type="spellEnd"/>
      <w:r w:rsidRPr="007277B3">
        <w:rPr>
          <w:i/>
          <w:iCs/>
        </w:rPr>
        <w:t xml:space="preserve"> e </w:t>
      </w:r>
      <w:proofErr w:type="spellStart"/>
      <w:r w:rsidRPr="007277B3">
        <w:rPr>
          <w:i/>
          <w:iCs/>
        </w:rPr>
        <w:t>accessibilità</w:t>
      </w:r>
      <w:proofErr w:type="spellEnd"/>
      <w:r w:rsidRPr="007277B3">
        <w:rPr>
          <w:i/>
          <w:iCs/>
        </w:rPr>
        <w:t xml:space="preserve"> </w:t>
      </w:r>
      <w:proofErr w:type="spellStart"/>
      <w:r w:rsidRPr="007277B3">
        <w:rPr>
          <w:i/>
          <w:iCs/>
        </w:rPr>
        <w:t>nel</w:t>
      </w:r>
      <w:proofErr w:type="spellEnd"/>
      <w:r w:rsidRPr="007277B3">
        <w:rPr>
          <w:i/>
          <w:iCs/>
        </w:rPr>
        <w:t xml:space="preserve"> </w:t>
      </w:r>
      <w:proofErr w:type="spellStart"/>
      <w:r w:rsidRPr="007277B3">
        <w:rPr>
          <w:i/>
          <w:iCs/>
        </w:rPr>
        <w:t>sistema</w:t>
      </w:r>
      <w:proofErr w:type="spellEnd"/>
      <w:r w:rsidRPr="007277B3">
        <w:rPr>
          <w:i/>
          <w:iCs/>
        </w:rPr>
        <w:t xml:space="preserve"> </w:t>
      </w:r>
      <w:proofErr w:type="spellStart"/>
      <w:r w:rsidRPr="007277B3">
        <w:rPr>
          <w:i/>
          <w:iCs/>
        </w:rPr>
        <w:t>scolastico</w:t>
      </w:r>
      <w:proofErr w:type="spellEnd"/>
      <w:r w:rsidRPr="007277B3">
        <w:rPr>
          <w:i/>
          <w:iCs/>
        </w:rPr>
        <w:t xml:space="preserve"> </w:t>
      </w:r>
      <w:proofErr w:type="spellStart"/>
      <w:r w:rsidRPr="007277B3">
        <w:rPr>
          <w:i/>
          <w:iCs/>
        </w:rPr>
        <w:t>ticinese</w:t>
      </w:r>
      <w:proofErr w:type="spellEnd"/>
      <w:r w:rsidRPr="00D27A27">
        <w:rPr>
          <w:i/>
          <w:iCs/>
        </w:rPr>
        <w:t xml:space="preserve"> </w:t>
      </w:r>
      <w:r w:rsidRPr="00D27A27">
        <w:t>(Inclusion et accessibilité dans le système scolaire tessinois) traduit cette articulation dans un modèle à trois niveaux, inspiré du modèle Réponse à l’intervention combiné à la différenciation pédagogique</w:t>
      </w:r>
      <w:r w:rsidR="00722935">
        <w:t> </w:t>
      </w:r>
      <w:r w:rsidRPr="00D27A27">
        <w:t xml:space="preserve">: un premier niveau de </w:t>
      </w:r>
      <w:r w:rsidR="00DC65AE">
        <w:t>pédagogie</w:t>
      </w:r>
      <w:r w:rsidRPr="00D27A27">
        <w:t xml:space="preserve"> universelle, un deuxième niveau d’accommodement et de stratégies individuelles, et un troisième niveau de modifications substantielles pour les situations de besoins éducatifs les plus spécifiques. Ce modèle s’inscrit dans une conception de l’inclusion au sens large (Demo, 2016), entendue comme un processus continu d’évolution entrepris par des écoles qui visent à valoriser les diversités de chaque élève afin de garantir à chacune et chacun apprentissage et participation. </w:t>
      </w:r>
    </w:p>
    <w:p w14:paraId="2C1F5ED6" w14:textId="77777777" w:rsidR="008C136F" w:rsidRPr="00D27A27" w:rsidRDefault="008C136F" w:rsidP="00291C05">
      <w:pPr>
        <w:pStyle w:val="Titre1"/>
      </w:pPr>
      <w:r w:rsidRPr="00D27A27">
        <w:t>L’évaluation dans les situations d’hétérogénéité et d’adaptation curriculaire</w:t>
      </w:r>
    </w:p>
    <w:p w14:paraId="4A8608BD" w14:textId="16517982" w:rsidR="008C136F" w:rsidRPr="00D27A27" w:rsidRDefault="008C136F" w:rsidP="00DC65AE">
      <w:pPr>
        <w:pStyle w:val="Corpsdetexte"/>
        <w:ind w:firstLine="0"/>
      </w:pPr>
      <w:r w:rsidRPr="00D27A27">
        <w:t>La question de l’évaluation dans des contextes hétérogènes constitue sans doute le nœud le plus délicat de l’approche par compétences. L’expression «</w:t>
      </w:r>
      <w:r w:rsidR="000923D5">
        <w:t> </w:t>
      </w:r>
      <w:r w:rsidRPr="00D27A27">
        <w:t>atteindre une compétence</w:t>
      </w:r>
      <w:r w:rsidR="000923D5">
        <w:t> </w:t>
      </w:r>
      <w:r w:rsidRPr="00D27A27">
        <w:t xml:space="preserve">» est souvent interprétée comme un seuil binaire </w:t>
      </w:r>
      <w:r w:rsidR="000923D5">
        <w:rPr>
          <w:rFonts w:cs="Open Sans SemiCondensed"/>
        </w:rPr>
        <w:t>–</w:t>
      </w:r>
      <w:r w:rsidR="00C6357C">
        <w:t xml:space="preserve"> </w:t>
      </w:r>
      <w:r w:rsidRPr="00D27A27">
        <w:t>atteint ou non atteint</w:t>
      </w:r>
      <w:r w:rsidR="00C6357C">
        <w:t xml:space="preserve"> </w:t>
      </w:r>
      <w:r w:rsidR="000923D5">
        <w:rPr>
          <w:rFonts w:cs="Open Sans SemiCondensed"/>
        </w:rPr>
        <w:t>–</w:t>
      </w:r>
      <w:r w:rsidRPr="00D27A27">
        <w:t xml:space="preserve"> ce qui réduit la compétence à une performance ponctuelle. Or, le concept même de compétence, avec ses caractéristiques de dynamicité, de </w:t>
      </w:r>
      <w:proofErr w:type="spellStart"/>
      <w:r w:rsidRPr="00D27A27">
        <w:t>situationnalité</w:t>
      </w:r>
      <w:proofErr w:type="spellEnd"/>
      <w:r w:rsidRPr="00D27A27">
        <w:t xml:space="preserve"> et de pluralité (Castoldi, 2016)</w:t>
      </w:r>
      <w:r w:rsidR="00213AC8">
        <w:t>,</w:t>
      </w:r>
      <w:r w:rsidRPr="00D27A27">
        <w:t xml:space="preserve"> appelle une évaluation d’une autre nature.</w:t>
      </w:r>
    </w:p>
    <w:p w14:paraId="130A2210" w14:textId="3B513C39" w:rsidR="008C136F" w:rsidRPr="00D27A27" w:rsidRDefault="008C136F" w:rsidP="00291C05">
      <w:pPr>
        <w:pStyle w:val="Corpsdetexte"/>
      </w:pPr>
      <w:r w:rsidRPr="00D27A27">
        <w:t>Force est de constater que cette tension n’est pas seulement théorique. Dans la pratique, des dispositifs d’évaluation standardisée continuent de fonctionner selon une logique qui accède, au mieux, à la vérification de connaissances et d’habiletés ponctuelles, sans saisir la complexité de l’agir compétent. Le risque est celui d’une incohérence systémique</w:t>
      </w:r>
      <w:r w:rsidR="00EB2888">
        <w:t> </w:t>
      </w:r>
      <w:r w:rsidRPr="00D27A27">
        <w:t xml:space="preserve">: un curriculum qui affirme une conception émancipatrice et personnaliste des compétences, mais dont la mise en œuvre évaluative retombe dans un réductionnisme fonctionnaliste. Le </w:t>
      </w:r>
      <w:proofErr w:type="spellStart"/>
      <w:r w:rsidRPr="00D27A27">
        <w:t>PdS</w:t>
      </w:r>
      <w:proofErr w:type="spellEnd"/>
      <w:r w:rsidRPr="00D27A27">
        <w:t xml:space="preserve"> en est conscient et prend position de manière explicite, en inscrivant la compétence dans le registre de la capabilisation et en proposant des profils de compétence conçus pour dépasser cette impasse.</w:t>
      </w:r>
    </w:p>
    <w:p w14:paraId="22C95DF3" w14:textId="56BC5A48" w:rsidR="00110D73" w:rsidRDefault="008C136F" w:rsidP="00110D73">
      <w:pPr>
        <w:pStyle w:val="Corpsdetexte"/>
      </w:pPr>
      <w:r w:rsidRPr="00D27A27">
        <w:t xml:space="preserve">En effet, le </w:t>
      </w:r>
      <w:proofErr w:type="spellStart"/>
      <w:r w:rsidRPr="00D27A27">
        <w:t>PdS</w:t>
      </w:r>
      <w:proofErr w:type="spellEnd"/>
      <w:r w:rsidRPr="00D27A27">
        <w:t xml:space="preserve"> a développé, pour chaque discipline et pour les compétences transversales, des </w:t>
      </w:r>
      <w:r w:rsidRPr="00D27A27">
        <w:rPr>
          <w:i/>
          <w:iCs/>
        </w:rPr>
        <w:t>profils de compétence</w:t>
      </w:r>
      <w:r w:rsidRPr="00D27A27">
        <w:t xml:space="preserve"> </w:t>
      </w:r>
      <w:r w:rsidR="008B3809">
        <w:t xml:space="preserve">(voir Tableau 1) </w:t>
      </w:r>
      <w:r w:rsidRPr="00D27A27">
        <w:t>articulés en quatre niveaux de ma</w:t>
      </w:r>
      <w:r w:rsidR="00110D73">
        <w:t>i</w:t>
      </w:r>
      <w:r w:rsidRPr="00D27A27">
        <w:t xml:space="preserve">trise </w:t>
      </w:r>
      <w:r w:rsidR="004568CA">
        <w:rPr>
          <w:rFonts w:cs="Open Sans SemiCondensed"/>
        </w:rPr>
        <w:t>–</w:t>
      </w:r>
      <w:r w:rsidR="00C6357C">
        <w:t xml:space="preserve"> </w:t>
      </w:r>
      <w:r w:rsidRPr="00D27A27">
        <w:t>initial, base, intermédiaire, avancé</w:t>
      </w:r>
      <w:r w:rsidR="00C6357C">
        <w:t xml:space="preserve"> </w:t>
      </w:r>
      <w:r w:rsidR="004568CA">
        <w:rPr>
          <w:rFonts w:cs="Open Sans SemiCondensed"/>
        </w:rPr>
        <w:t>–</w:t>
      </w:r>
      <w:r w:rsidRPr="00D27A27">
        <w:t xml:space="preserve"> qui fonctionnent comme des outils herméneutiques et interprétatifs plutôt que comme des grilles normatives. Ces profils partagent plusieurs caractéristiques importantes</w:t>
      </w:r>
      <w:r w:rsidR="00592FB3">
        <w:t> </w:t>
      </w:r>
      <w:r w:rsidRPr="00D27A27">
        <w:t xml:space="preserve">: ils traduisent les </w:t>
      </w:r>
      <w:proofErr w:type="spellStart"/>
      <w:r w:rsidRPr="007277B3">
        <w:rPr>
          <w:i/>
          <w:iCs/>
        </w:rPr>
        <w:t>traguardi</w:t>
      </w:r>
      <w:proofErr w:type="spellEnd"/>
      <w:r w:rsidRPr="00D27A27">
        <w:t xml:space="preserve"> en indicateurs observables organisés selon des critères et une </w:t>
      </w:r>
      <w:r w:rsidRPr="00D27A27">
        <w:lastRenderedPageBreak/>
        <w:t>progression</w:t>
      </w:r>
      <w:r w:rsidR="00DC65AE">
        <w:t>. I</w:t>
      </w:r>
      <w:r w:rsidRPr="00D27A27">
        <w:t xml:space="preserve">ls sont exprimés par des synthèses progressives et dynamiques, à partir de ce que l’élève sait faire, et non selon une logique </w:t>
      </w:r>
      <w:r w:rsidR="00DC65AE" w:rsidRPr="00DC65AE">
        <w:t>déficitaire</w:t>
      </w:r>
      <w:r w:rsidR="00DC65AE">
        <w:t xml:space="preserve"> –</w:t>
      </w:r>
      <w:r w:rsidR="00DC65AE" w:rsidRPr="00DC65AE">
        <w:t xml:space="preserve"> centrée sur ce que l’élève ne sait pas encore faire ou sur ce qui lui manque par rapport au niveau attendu</w:t>
      </w:r>
      <w:r w:rsidR="00DC65AE">
        <w:t xml:space="preserve"> –</w:t>
      </w:r>
      <w:r w:rsidRPr="00D27A27">
        <w:t xml:space="preserve"> et ils peuvent être pondérés et interprétés pour des aspects de personnalisation des apprentissages (Piricò et al., 2023</w:t>
      </w:r>
      <w:r w:rsidRPr="00F66A7B">
        <w:t>).</w:t>
      </w:r>
      <w:r w:rsidR="00373FE7" w:rsidRPr="00F66A7B">
        <w:t xml:space="preserve"> </w:t>
      </w:r>
    </w:p>
    <w:p w14:paraId="76CEBD85" w14:textId="55150764" w:rsidR="00F6533C" w:rsidRPr="00F66A7B" w:rsidRDefault="00373FE7" w:rsidP="00110D73">
      <w:pPr>
        <w:pStyle w:val="Corpsdetexte"/>
      </w:pPr>
      <w:r w:rsidRPr="000570FE">
        <w:t>La progression entre les niveaux repose sur une logique d’évaluation positive, additive et évolutive</w:t>
      </w:r>
      <w:r w:rsidR="001E6375">
        <w:t> </w:t>
      </w:r>
      <w:r w:rsidRPr="000570FE">
        <w:t>: l’élève passe progressivement de situations fortement guidées à des formes croissantes d’autonomie, mobilise des processus cognitifs et métacognitifs de plus en plus complexes et est amené à agir dans des tâches progressivement moins familières et plus inédites (</w:t>
      </w:r>
      <w:proofErr w:type="spellStart"/>
      <w:r w:rsidRPr="000570FE">
        <w:t>Trinchero</w:t>
      </w:r>
      <w:proofErr w:type="spellEnd"/>
      <w:r w:rsidRPr="000570FE">
        <w:t>, 2017)</w:t>
      </w:r>
      <w:r w:rsidR="00BF7331">
        <w:t>.</w:t>
      </w:r>
    </w:p>
    <w:p w14:paraId="4FD856CD" w14:textId="4D5D5141" w:rsidR="008C136F" w:rsidRPr="00D27A27" w:rsidRDefault="008C136F" w:rsidP="00291C05">
      <w:pPr>
        <w:pStyle w:val="LegendeTabelle"/>
      </w:pPr>
      <w:r w:rsidRPr="00D27A27">
        <w:t>Tableau</w:t>
      </w:r>
      <w:r w:rsidR="00A35551">
        <w:t> </w:t>
      </w:r>
      <w:r w:rsidRPr="00D27A27">
        <w:t>1</w:t>
      </w:r>
      <w:r w:rsidR="00023914">
        <w:rPr>
          <w:rFonts w:cs="Open Sans SemiCondensed"/>
        </w:rPr>
        <w:t> </w:t>
      </w:r>
      <w:r w:rsidR="00BC7832" w:rsidRPr="00BC7832">
        <w:rPr>
          <w:rFonts w:cs="Open Sans SemiCondensed"/>
        </w:rPr>
        <w:t>:</w:t>
      </w:r>
      <w:r w:rsidRPr="00D27A27">
        <w:t xml:space="preserve"> Niveaux de ma</w:t>
      </w:r>
      <w:r w:rsidR="00110D73">
        <w:t>i</w:t>
      </w:r>
      <w:r w:rsidRPr="00D27A27">
        <w:t>trise des profils de compétence (adapté du Cadre européen des qualifications)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90"/>
        <w:gridCol w:w="4955"/>
        <w:gridCol w:w="2124"/>
      </w:tblGrid>
      <w:tr w:rsidR="00F15A3F" w:rsidRPr="00AD0B06" w14:paraId="72134EAB" w14:textId="77777777" w:rsidTr="00431C91">
        <w:tc>
          <w:tcPr>
            <w:tcW w:w="1097" w:type="pct"/>
            <w:tcBorders>
              <w:top w:val="single" w:sz="1" w:space="0" w:color="999999"/>
              <w:left w:val="single" w:sz="1" w:space="0" w:color="999999"/>
              <w:bottom w:val="single" w:sz="1" w:space="0" w:color="999999"/>
              <w:right w:val="single" w:sz="1" w:space="0" w:color="999999"/>
            </w:tcBorders>
            <w:shd w:val="clear" w:color="auto" w:fill="606EAB" w:themeFill="text2" w:themeFillTint="99"/>
            <w:tcMar>
              <w:top w:w="80" w:type="dxa"/>
              <w:left w:w="120" w:type="dxa"/>
              <w:bottom w:w="80" w:type="dxa"/>
              <w:right w:w="120" w:type="dxa"/>
            </w:tcMar>
            <w:vAlign w:val="center"/>
          </w:tcPr>
          <w:p w14:paraId="3DD62FFF" w14:textId="77777777" w:rsidR="00F15A3F" w:rsidRPr="00F15A3F" w:rsidRDefault="00F15A3F" w:rsidP="0036181A">
            <w:pPr>
              <w:contextualSpacing/>
              <w:rPr>
                <w:rFonts w:eastAsia="Open Sans SemiCondensed" w:cs="Times New Roman"/>
                <w:b/>
                <w:bCs/>
                <w:color w:val="FFFFFF" w:themeColor="background1"/>
                <w:sz w:val="18"/>
                <w:szCs w:val="18"/>
              </w:rPr>
            </w:pPr>
            <w:r w:rsidRPr="00F15A3F">
              <w:rPr>
                <w:rFonts w:eastAsia="Open Sans SemiCondensed" w:cs="Times New Roman"/>
                <w:b/>
                <w:bCs/>
                <w:color w:val="FFFFFF" w:themeColor="background1"/>
                <w:sz w:val="18"/>
                <w:szCs w:val="18"/>
              </w:rPr>
              <w:t>Profil de compétence</w:t>
            </w:r>
          </w:p>
        </w:tc>
        <w:tc>
          <w:tcPr>
            <w:tcW w:w="2732" w:type="pct"/>
            <w:tcBorders>
              <w:top w:val="single" w:sz="1" w:space="0" w:color="999999"/>
              <w:left w:val="single" w:sz="1" w:space="0" w:color="999999"/>
              <w:bottom w:val="single" w:sz="1" w:space="0" w:color="999999"/>
              <w:right w:val="single" w:sz="1" w:space="0" w:color="999999"/>
            </w:tcBorders>
            <w:shd w:val="clear" w:color="auto" w:fill="606EAB" w:themeFill="text2" w:themeFillTint="99"/>
            <w:tcMar>
              <w:top w:w="80" w:type="dxa"/>
              <w:left w:w="120" w:type="dxa"/>
              <w:bottom w:w="80" w:type="dxa"/>
              <w:right w:w="120" w:type="dxa"/>
            </w:tcMar>
            <w:vAlign w:val="center"/>
          </w:tcPr>
          <w:p w14:paraId="5CFC10F8" w14:textId="4CF66FD3" w:rsidR="00F15A3F" w:rsidRPr="005C596B" w:rsidRDefault="005C596B" w:rsidP="0036181A">
            <w:pPr>
              <w:ind w:hanging="33"/>
              <w:contextualSpacing/>
              <w:rPr>
                <w:rFonts w:eastAsia="Open Sans SemiCondensed" w:cs="Times New Roman"/>
                <w:b/>
                <w:bCs/>
                <w:color w:val="FFFFFF"/>
                <w:sz w:val="18"/>
                <w:szCs w:val="18"/>
                <w:lang w:val="it-CH"/>
              </w:rPr>
            </w:pPr>
            <w:r w:rsidRPr="005C596B">
              <w:rPr>
                <w:rFonts w:eastAsia="Open Sans SemiCondensed" w:cs="Times New Roman"/>
                <w:b/>
                <w:bCs/>
                <w:color w:val="FFFFFF"/>
                <w:sz w:val="18"/>
                <w:szCs w:val="18"/>
                <w:lang w:val="it-CH"/>
              </w:rPr>
              <w:t>Descripteurs du niveau</w:t>
            </w:r>
          </w:p>
        </w:tc>
        <w:tc>
          <w:tcPr>
            <w:tcW w:w="1171" w:type="pct"/>
            <w:tcBorders>
              <w:top w:val="single" w:sz="1" w:space="0" w:color="999999"/>
              <w:left w:val="single" w:sz="1" w:space="0" w:color="999999"/>
              <w:bottom w:val="single" w:sz="1" w:space="0" w:color="999999"/>
              <w:right w:val="single" w:sz="1" w:space="0" w:color="999999"/>
            </w:tcBorders>
            <w:shd w:val="clear" w:color="auto" w:fill="606EAB" w:themeFill="text2" w:themeFillTint="99"/>
            <w:tcMar>
              <w:top w:w="80" w:type="dxa"/>
              <w:left w:w="120" w:type="dxa"/>
              <w:bottom w:w="80" w:type="dxa"/>
              <w:right w:w="120" w:type="dxa"/>
            </w:tcMar>
            <w:vAlign w:val="center"/>
          </w:tcPr>
          <w:p w14:paraId="4D23D0EF" w14:textId="77777777" w:rsidR="00F15A3F" w:rsidRPr="00AD0B06" w:rsidRDefault="00F15A3F" w:rsidP="0036181A">
            <w:pPr>
              <w:contextualSpacing/>
              <w:rPr>
                <w:rFonts w:eastAsia="Open Sans SemiCondensed" w:cs="Times New Roman"/>
                <w:color w:val="FFFFFF"/>
                <w:sz w:val="18"/>
                <w:szCs w:val="18"/>
                <w:lang w:val="it-CH"/>
              </w:rPr>
            </w:pPr>
            <w:r w:rsidRPr="00AD0B06">
              <w:rPr>
                <w:rFonts w:eastAsia="Open Sans SemiCondensed" w:cs="Times New Roman"/>
                <w:b/>
                <w:bCs/>
                <w:color w:val="FFFFFF"/>
                <w:sz w:val="18"/>
                <w:szCs w:val="18"/>
                <w:lang w:val="it-CH"/>
              </w:rPr>
              <w:t>Synthèse</w:t>
            </w:r>
          </w:p>
        </w:tc>
      </w:tr>
      <w:tr w:rsidR="00F15A3F" w:rsidRPr="00AD0B06" w14:paraId="70E8A2E6" w14:textId="77777777" w:rsidTr="00431C91">
        <w:trPr>
          <w:trHeight w:val="712"/>
        </w:trPr>
        <w:tc>
          <w:tcPr>
            <w:tcW w:w="1097" w:type="pct"/>
            <w:tcBorders>
              <w:top w:val="single" w:sz="1" w:space="0" w:color="999999"/>
              <w:left w:val="single" w:sz="1" w:space="0" w:color="999999"/>
              <w:bottom w:val="single" w:sz="1" w:space="0" w:color="999999"/>
              <w:right w:val="single" w:sz="1" w:space="0" w:color="999999"/>
            </w:tcBorders>
            <w:shd w:val="clear" w:color="auto" w:fill="CACEE3" w:themeFill="text2" w:themeFillTint="33"/>
            <w:tcMar>
              <w:top w:w="80" w:type="dxa"/>
              <w:left w:w="120" w:type="dxa"/>
              <w:bottom w:w="80" w:type="dxa"/>
              <w:right w:w="120" w:type="dxa"/>
            </w:tcMar>
            <w:vAlign w:val="center"/>
          </w:tcPr>
          <w:p w14:paraId="69BDDAE6" w14:textId="77777777" w:rsidR="00F15A3F" w:rsidRPr="005C596B" w:rsidRDefault="00F15A3F" w:rsidP="00551A7B">
            <w:pPr>
              <w:pStyle w:val="Corpsdetexte3"/>
              <w:rPr>
                <w:rFonts w:asciiTheme="minorHAnsi" w:hAnsiTheme="minorHAnsi"/>
                <w:spacing w:val="0"/>
                <w:kern w:val="2"/>
                <w:sz w:val="24"/>
                <w:szCs w:val="24"/>
                <w14:ligatures w14:val="standardContextual"/>
              </w:rPr>
            </w:pPr>
            <w:r w:rsidRPr="005C596B">
              <w:t>Niveau initial</w:t>
            </w:r>
            <w:r w:rsidRPr="005C596B">
              <w:tab/>
            </w:r>
          </w:p>
        </w:tc>
        <w:tc>
          <w:tcPr>
            <w:tcW w:w="2732" w:type="pct"/>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3838F3C" w14:textId="07114E8E" w:rsidR="00F15A3F" w:rsidRPr="00AD0B06" w:rsidRDefault="00F15A3F" w:rsidP="00551A7B">
            <w:pPr>
              <w:pStyle w:val="Corpsdetexte3"/>
              <w:jc w:val="both"/>
              <w:rPr>
                <w:rFonts w:eastAsia="Open Sans SemiCondensed" w:cs="Times New Roman"/>
                <w:sz w:val="18"/>
                <w:szCs w:val="18"/>
              </w:rPr>
            </w:pPr>
            <w:r w:rsidRPr="00AD0B06">
              <w:rPr>
                <w:rFonts w:eastAsia="Open Sans SemiCondensed" w:cs="Times New Roman"/>
                <w:sz w:val="18"/>
                <w:szCs w:val="18"/>
              </w:rPr>
              <w:t xml:space="preserve">Si l’élève est guidé de manière adéquate, elle ou il accomplit des tâches simples dans des contextes connus. </w:t>
            </w:r>
            <w:r w:rsidR="00551A7B">
              <w:rPr>
                <w:rFonts w:eastAsia="Open Sans SemiCondensed" w:cs="Times New Roman"/>
                <w:sz w:val="18"/>
                <w:szCs w:val="18"/>
              </w:rPr>
              <w:t>E</w:t>
            </w:r>
            <w:r w:rsidRPr="00AD0B06">
              <w:rPr>
                <w:rFonts w:eastAsia="Open Sans SemiCondensed" w:cs="Times New Roman"/>
                <w:sz w:val="18"/>
                <w:szCs w:val="18"/>
              </w:rPr>
              <w:t>lle ou il manifeste des difficultés dans les phases d’interprétation et d’autorégulation.</w:t>
            </w:r>
          </w:p>
        </w:tc>
        <w:tc>
          <w:tcPr>
            <w:tcW w:w="1171" w:type="pct"/>
            <w:tcBorders>
              <w:top w:val="single" w:sz="1" w:space="0" w:color="999999"/>
              <w:left w:val="single" w:sz="1" w:space="0" w:color="999999"/>
              <w:bottom w:val="single" w:sz="1" w:space="0" w:color="999999"/>
              <w:right w:val="single" w:sz="1" w:space="0" w:color="999999"/>
            </w:tcBorders>
            <w:shd w:val="clear" w:color="auto" w:fill="F6F8CE" w:themeFill="accent3" w:themeFillTint="33"/>
            <w:tcMar>
              <w:top w:w="80" w:type="dxa"/>
              <w:left w:w="120" w:type="dxa"/>
              <w:bottom w:w="80" w:type="dxa"/>
              <w:right w:w="120" w:type="dxa"/>
            </w:tcMar>
            <w:vAlign w:val="center"/>
          </w:tcPr>
          <w:p w14:paraId="591AB6EE" w14:textId="77777777" w:rsidR="00F15A3F" w:rsidRPr="00AD0B06" w:rsidRDefault="00F15A3F" w:rsidP="00551A7B">
            <w:pPr>
              <w:pStyle w:val="Corpsdetexte3"/>
              <w:jc w:val="center"/>
              <w:rPr>
                <w:rFonts w:eastAsia="Open Sans SemiCondensed" w:cs="Times New Roman"/>
                <w:sz w:val="18"/>
                <w:szCs w:val="18"/>
              </w:rPr>
            </w:pPr>
            <w:r w:rsidRPr="00AD0B06">
              <w:rPr>
                <w:rFonts w:eastAsia="Open Sans SemiCondensed" w:cs="Times New Roman"/>
                <w:sz w:val="18"/>
                <w:szCs w:val="18"/>
                <w:lang w:val="it-CH"/>
              </w:rPr>
              <w:t>Non autonome</w:t>
            </w:r>
          </w:p>
        </w:tc>
      </w:tr>
      <w:tr w:rsidR="00F15A3F" w:rsidRPr="00AD0B06" w14:paraId="2141594C" w14:textId="77777777" w:rsidTr="00551A7B">
        <w:trPr>
          <w:trHeight w:val="1053"/>
        </w:trPr>
        <w:tc>
          <w:tcPr>
            <w:tcW w:w="1097" w:type="pct"/>
            <w:tcBorders>
              <w:top w:val="single" w:sz="1" w:space="0" w:color="999999"/>
              <w:left w:val="single" w:sz="1" w:space="0" w:color="999999"/>
              <w:bottom w:val="single" w:sz="1" w:space="0" w:color="999999"/>
              <w:right w:val="single" w:sz="1" w:space="0" w:color="999999"/>
            </w:tcBorders>
            <w:shd w:val="clear" w:color="auto" w:fill="CACEE3" w:themeFill="text2" w:themeFillTint="33"/>
            <w:tcMar>
              <w:top w:w="80" w:type="dxa"/>
              <w:left w:w="120" w:type="dxa"/>
              <w:bottom w:w="80" w:type="dxa"/>
              <w:right w:w="120" w:type="dxa"/>
            </w:tcMar>
            <w:vAlign w:val="center"/>
          </w:tcPr>
          <w:p w14:paraId="27BE349D" w14:textId="77777777" w:rsidR="00F15A3F" w:rsidRPr="005C596B" w:rsidRDefault="00F15A3F" w:rsidP="00551A7B">
            <w:pPr>
              <w:pStyle w:val="Corpsdetexte3"/>
              <w:rPr>
                <w:rFonts w:asciiTheme="minorHAnsi" w:hAnsiTheme="minorHAnsi"/>
                <w:spacing w:val="0"/>
                <w:kern w:val="2"/>
                <w:sz w:val="24"/>
                <w:szCs w:val="24"/>
                <w14:ligatures w14:val="standardContextual"/>
              </w:rPr>
            </w:pPr>
            <w:r w:rsidRPr="005C596B">
              <w:t>Niveau de base</w:t>
            </w:r>
          </w:p>
        </w:tc>
        <w:tc>
          <w:tcPr>
            <w:tcW w:w="2732" w:type="pct"/>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6F5239B" w14:textId="2272204E" w:rsidR="00F15A3F" w:rsidRPr="005233F1" w:rsidRDefault="00F15A3F" w:rsidP="00551A7B">
            <w:pPr>
              <w:pStyle w:val="Corpsdetexte3"/>
              <w:jc w:val="both"/>
              <w:rPr>
                <w:rFonts w:eastAsia="Open Sans SemiCondensed" w:cs="Times New Roman"/>
                <w:sz w:val="18"/>
                <w:szCs w:val="18"/>
              </w:rPr>
            </w:pPr>
            <w:r w:rsidRPr="005233F1">
              <w:rPr>
                <w:rFonts w:eastAsia="Open Sans SemiCondensed" w:cs="Times New Roman"/>
                <w:sz w:val="18"/>
                <w:szCs w:val="18"/>
              </w:rPr>
              <w:t xml:space="preserve">L’élève accomplit des tâches simples dans des situations de faible complexité, en montrant qu’elle ou il sait résoudre de manière autonome des problèmes purement exécutifs. </w:t>
            </w:r>
            <w:r w:rsidR="00551A7B">
              <w:rPr>
                <w:rFonts w:eastAsia="Open Sans SemiCondensed" w:cs="Times New Roman"/>
                <w:sz w:val="18"/>
                <w:szCs w:val="18"/>
              </w:rPr>
              <w:t>Cependant, e</w:t>
            </w:r>
            <w:r w:rsidRPr="005233F1">
              <w:rPr>
                <w:rFonts w:eastAsia="Open Sans SemiCondensed" w:cs="Times New Roman"/>
                <w:sz w:val="18"/>
                <w:szCs w:val="18"/>
              </w:rPr>
              <w:t>lle ou il a normalement besoin d’aide pour interpréter la tâche et peine à justifier ses propres choix (autorégulation).</w:t>
            </w:r>
          </w:p>
        </w:tc>
        <w:tc>
          <w:tcPr>
            <w:tcW w:w="1171" w:type="pct"/>
            <w:tcBorders>
              <w:top w:val="single" w:sz="1" w:space="0" w:color="999999"/>
              <w:left w:val="single" w:sz="1" w:space="0" w:color="999999"/>
              <w:bottom w:val="single" w:sz="1" w:space="0" w:color="999999"/>
              <w:right w:val="single" w:sz="1" w:space="0" w:color="999999"/>
            </w:tcBorders>
            <w:shd w:val="clear" w:color="auto" w:fill="DBEDE1" w:themeFill="accent4" w:themeFillTint="33"/>
            <w:tcMar>
              <w:top w:w="80" w:type="dxa"/>
              <w:left w:w="120" w:type="dxa"/>
              <w:bottom w:w="80" w:type="dxa"/>
              <w:right w:w="120" w:type="dxa"/>
            </w:tcMar>
            <w:vAlign w:val="center"/>
          </w:tcPr>
          <w:p w14:paraId="4563D078" w14:textId="77777777" w:rsidR="00F15A3F" w:rsidRPr="00AD0B06" w:rsidRDefault="00F15A3F" w:rsidP="00551A7B">
            <w:pPr>
              <w:pStyle w:val="Corpsdetexte3"/>
              <w:jc w:val="center"/>
              <w:rPr>
                <w:rFonts w:eastAsia="Open Sans SemiCondensed" w:cs="Times New Roman"/>
                <w:sz w:val="18"/>
                <w:szCs w:val="18"/>
                <w:lang w:val="it-CH"/>
              </w:rPr>
            </w:pPr>
            <w:r w:rsidRPr="00AD0B06">
              <w:rPr>
                <w:rFonts w:eastAsia="Open Sans SemiCondensed" w:cs="Times New Roman"/>
                <w:sz w:val="18"/>
                <w:szCs w:val="18"/>
                <w:lang w:val="it-CH"/>
              </w:rPr>
              <w:t>Exécutrice ou exécuteur autonome</w:t>
            </w:r>
          </w:p>
        </w:tc>
      </w:tr>
      <w:tr w:rsidR="00F15A3F" w:rsidRPr="00AD0B06" w14:paraId="321F7D8B" w14:textId="77777777" w:rsidTr="00431C91">
        <w:tc>
          <w:tcPr>
            <w:tcW w:w="1097" w:type="pct"/>
            <w:tcBorders>
              <w:top w:val="single" w:sz="1" w:space="0" w:color="999999"/>
              <w:left w:val="single" w:sz="1" w:space="0" w:color="999999"/>
              <w:bottom w:val="single" w:sz="1" w:space="0" w:color="999999"/>
              <w:right w:val="single" w:sz="1" w:space="0" w:color="999999"/>
            </w:tcBorders>
            <w:shd w:val="clear" w:color="auto" w:fill="CACEE3" w:themeFill="text2" w:themeFillTint="33"/>
            <w:tcMar>
              <w:top w:w="80" w:type="dxa"/>
              <w:left w:w="120" w:type="dxa"/>
              <w:bottom w:w="80" w:type="dxa"/>
              <w:right w:w="120" w:type="dxa"/>
            </w:tcMar>
            <w:vAlign w:val="center"/>
          </w:tcPr>
          <w:p w14:paraId="630B79F2" w14:textId="77777777" w:rsidR="00F15A3F" w:rsidRPr="005C596B" w:rsidRDefault="00F15A3F" w:rsidP="00551A7B">
            <w:pPr>
              <w:pStyle w:val="Corpsdetexte3"/>
            </w:pPr>
            <w:r w:rsidRPr="005C596B">
              <w:t>Niveau intermédiaire</w:t>
            </w:r>
          </w:p>
        </w:tc>
        <w:tc>
          <w:tcPr>
            <w:tcW w:w="2732" w:type="pct"/>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A5221BD" w14:textId="46E61C33" w:rsidR="00F15A3F" w:rsidRPr="005233F1" w:rsidRDefault="00F15A3F" w:rsidP="00551A7B">
            <w:pPr>
              <w:pStyle w:val="Corpsdetexte3"/>
              <w:jc w:val="both"/>
              <w:rPr>
                <w:rFonts w:eastAsia="Open Sans SemiCondensed" w:cs="Times New Roman"/>
                <w:sz w:val="18"/>
                <w:szCs w:val="18"/>
              </w:rPr>
            </w:pPr>
            <w:r w:rsidRPr="005233F1">
              <w:rPr>
                <w:rFonts w:eastAsia="Open Sans SemiCondensed" w:cs="Times New Roman"/>
                <w:sz w:val="18"/>
                <w:szCs w:val="18"/>
              </w:rPr>
              <w:t>L’élève est en mesure, de manière autonome, d’interpréter la situation en choisissant les ressources les plus appropriées et de résoudre des problèmes y compris dans des situations connues.</w:t>
            </w:r>
            <w:r w:rsidR="00551A7B">
              <w:rPr>
                <w:rFonts w:eastAsia="Open Sans SemiCondensed" w:cs="Times New Roman"/>
                <w:sz w:val="18"/>
                <w:szCs w:val="18"/>
              </w:rPr>
              <w:t xml:space="preserve"> Toutefois, e</w:t>
            </w:r>
            <w:r w:rsidRPr="005233F1">
              <w:rPr>
                <w:rFonts w:eastAsia="Open Sans SemiCondensed" w:cs="Times New Roman"/>
                <w:sz w:val="18"/>
                <w:szCs w:val="18"/>
              </w:rPr>
              <w:t>lle ou il manifeste</w:t>
            </w:r>
            <w:r w:rsidR="00551A7B">
              <w:rPr>
                <w:rFonts w:eastAsia="Open Sans SemiCondensed" w:cs="Times New Roman"/>
                <w:sz w:val="18"/>
                <w:szCs w:val="18"/>
              </w:rPr>
              <w:t xml:space="preserve"> </w:t>
            </w:r>
            <w:r w:rsidRPr="005233F1">
              <w:rPr>
                <w:rFonts w:eastAsia="Open Sans SemiCondensed" w:cs="Times New Roman"/>
                <w:sz w:val="18"/>
                <w:szCs w:val="18"/>
              </w:rPr>
              <w:t>certaines difficultés, surtout sans guidage, dans les tâches d’autorégulation (comme justifier ses propres choix).</w:t>
            </w:r>
          </w:p>
        </w:tc>
        <w:tc>
          <w:tcPr>
            <w:tcW w:w="1171" w:type="pct"/>
            <w:tcBorders>
              <w:top w:val="single" w:sz="1" w:space="0" w:color="999999"/>
              <w:left w:val="single" w:sz="1" w:space="0" w:color="999999"/>
              <w:bottom w:val="single" w:sz="1" w:space="0" w:color="999999"/>
              <w:right w:val="single" w:sz="1" w:space="0" w:color="999999"/>
            </w:tcBorders>
            <w:shd w:val="clear" w:color="auto" w:fill="DEEBF1" w:themeFill="accent5" w:themeFillTint="33"/>
            <w:tcMar>
              <w:top w:w="80" w:type="dxa"/>
              <w:left w:w="120" w:type="dxa"/>
              <w:bottom w:w="80" w:type="dxa"/>
              <w:right w:w="120" w:type="dxa"/>
            </w:tcMar>
            <w:vAlign w:val="center"/>
          </w:tcPr>
          <w:p w14:paraId="4BE52DEB" w14:textId="77777777" w:rsidR="00F15A3F" w:rsidRPr="00AD0B06" w:rsidRDefault="00F15A3F" w:rsidP="00551A7B">
            <w:pPr>
              <w:pStyle w:val="Corpsdetexte3"/>
              <w:jc w:val="center"/>
              <w:rPr>
                <w:rFonts w:eastAsia="Open Sans SemiCondensed" w:cs="Times New Roman"/>
                <w:sz w:val="18"/>
                <w:szCs w:val="18"/>
                <w:lang w:val="it-CH"/>
              </w:rPr>
            </w:pPr>
            <w:r w:rsidRPr="00AD0B06">
              <w:rPr>
                <w:rFonts w:eastAsia="Open Sans SemiCondensed" w:cs="Times New Roman"/>
                <w:sz w:val="18"/>
                <w:szCs w:val="18"/>
                <w:lang w:val="it-CH"/>
              </w:rPr>
              <w:t>Compétente ou compétent</w:t>
            </w:r>
          </w:p>
        </w:tc>
      </w:tr>
      <w:tr w:rsidR="00F15A3F" w:rsidRPr="00AD0B06" w14:paraId="4F91ABDB" w14:textId="77777777" w:rsidTr="00431C91">
        <w:tc>
          <w:tcPr>
            <w:tcW w:w="1097" w:type="pct"/>
            <w:tcBorders>
              <w:top w:val="single" w:sz="1" w:space="0" w:color="999999"/>
              <w:left w:val="single" w:sz="1" w:space="0" w:color="999999"/>
              <w:bottom w:val="single" w:sz="1" w:space="0" w:color="999999"/>
              <w:right w:val="single" w:sz="1" w:space="0" w:color="999999"/>
            </w:tcBorders>
            <w:shd w:val="clear" w:color="auto" w:fill="CACEE3" w:themeFill="text2" w:themeFillTint="33"/>
            <w:tcMar>
              <w:top w:w="80" w:type="dxa"/>
              <w:left w:w="120" w:type="dxa"/>
              <w:bottom w:w="80" w:type="dxa"/>
              <w:right w:w="120" w:type="dxa"/>
            </w:tcMar>
            <w:vAlign w:val="center"/>
          </w:tcPr>
          <w:p w14:paraId="7D2009EB" w14:textId="77777777" w:rsidR="00F15A3F" w:rsidRPr="005C596B" w:rsidRDefault="00F15A3F" w:rsidP="00551A7B">
            <w:pPr>
              <w:pStyle w:val="Corpsdetexte3"/>
            </w:pPr>
            <w:r w:rsidRPr="005C596B">
              <w:t>Niveau avancé</w:t>
            </w:r>
          </w:p>
        </w:tc>
        <w:tc>
          <w:tcPr>
            <w:tcW w:w="2732" w:type="pct"/>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1298710" w14:textId="77777777" w:rsidR="00F15A3F" w:rsidRPr="005233F1" w:rsidRDefault="00F15A3F" w:rsidP="00551A7B">
            <w:pPr>
              <w:pStyle w:val="Corpsdetexte3"/>
              <w:jc w:val="both"/>
              <w:rPr>
                <w:rFonts w:eastAsia="Open Sans SemiCondensed" w:cs="Times New Roman"/>
                <w:sz w:val="18"/>
                <w:szCs w:val="18"/>
              </w:rPr>
            </w:pPr>
            <w:r w:rsidRPr="00AD0B06">
              <w:rPr>
                <w:rFonts w:eastAsia="Open Sans SemiCondensed" w:cs="Times New Roman"/>
                <w:sz w:val="18"/>
                <w:szCs w:val="18"/>
              </w:rPr>
              <w:t>L’élève est en mesure d’interpréter la situation, d’agir en démontrant une pleine maitrise et de s’autoréguler, en adaptant sa réponse à la tâche et en justifiant ses propres choix. Elle ou il fait preuve, par moments, d’originalité et de créativité.</w:t>
            </w:r>
          </w:p>
        </w:tc>
        <w:tc>
          <w:tcPr>
            <w:tcW w:w="1171" w:type="pct"/>
            <w:tcBorders>
              <w:top w:val="single" w:sz="1" w:space="0" w:color="999999"/>
              <w:left w:val="single" w:sz="1" w:space="0" w:color="999999"/>
              <w:bottom w:val="single" w:sz="1" w:space="0" w:color="999999"/>
              <w:right w:val="single" w:sz="1" w:space="0" w:color="999999"/>
            </w:tcBorders>
            <w:shd w:val="clear" w:color="auto" w:fill="EDE7EA" w:themeFill="accent6" w:themeFillTint="33"/>
            <w:tcMar>
              <w:top w:w="80" w:type="dxa"/>
              <w:left w:w="120" w:type="dxa"/>
              <w:bottom w:w="80" w:type="dxa"/>
              <w:right w:w="120" w:type="dxa"/>
            </w:tcMar>
            <w:vAlign w:val="center"/>
          </w:tcPr>
          <w:p w14:paraId="412F530B" w14:textId="7EB1FF0B" w:rsidR="00F15A3F" w:rsidRPr="005233F1" w:rsidRDefault="00F15A3F" w:rsidP="00551A7B">
            <w:pPr>
              <w:pStyle w:val="Corpsdetexte3"/>
              <w:jc w:val="center"/>
              <w:rPr>
                <w:rFonts w:eastAsia="Open Sans SemiCondensed" w:cs="Times New Roman"/>
                <w:sz w:val="18"/>
                <w:szCs w:val="18"/>
              </w:rPr>
            </w:pPr>
            <w:r w:rsidRPr="00AD0B06">
              <w:rPr>
                <w:rFonts w:eastAsia="Open Sans SemiCondensed" w:cs="Times New Roman"/>
                <w:sz w:val="18"/>
                <w:szCs w:val="18"/>
              </w:rPr>
              <w:t>Compétente ou compétent avec</w:t>
            </w:r>
            <w:r w:rsidR="00AC6370">
              <w:rPr>
                <w:rFonts w:eastAsia="Open Sans SemiCondensed" w:cs="Times New Roman"/>
                <w:sz w:val="18"/>
                <w:szCs w:val="18"/>
              </w:rPr>
              <w:t xml:space="preserve"> créativité </w:t>
            </w:r>
            <w:r w:rsidRPr="00AD0B06">
              <w:rPr>
                <w:rFonts w:eastAsia="Open Sans SemiCondensed" w:cs="Times New Roman"/>
                <w:sz w:val="18"/>
                <w:szCs w:val="18"/>
              </w:rPr>
              <w:t>et maitrise</w:t>
            </w:r>
          </w:p>
        </w:tc>
      </w:tr>
    </w:tbl>
    <w:p w14:paraId="27A5C024" w14:textId="1FFF2E8F" w:rsidR="008C136F" w:rsidRPr="00D27A27" w:rsidRDefault="008C136F" w:rsidP="00551A7B">
      <w:pPr>
        <w:pStyle w:val="Corpsdetexte"/>
        <w:spacing w:before="240"/>
        <w:ind w:firstLine="0"/>
      </w:pPr>
      <w:r w:rsidRPr="00D27A27">
        <w:t xml:space="preserve">Dans un contexte de différenciation, l’évaluation se déploie selon quatre principes complémentaires. Premièrement, le recours à un continuum varié d’outils d’évaluation, dépassant les seules épreuves sommatives pour inclure des observations, des contrôles informels, des épreuves authentiques et des portfolios (Wiggins </w:t>
      </w:r>
      <w:r w:rsidR="00BC7832" w:rsidRPr="00BC7832">
        <w:rPr>
          <w:rFonts w:cs="Open Sans SemiCondensed"/>
        </w:rPr>
        <w:t>&amp;</w:t>
      </w:r>
      <w:r w:rsidRPr="00D27A27">
        <w:t xml:space="preserve"> McTighe, 2004). Deuxièmement, l’élaboration de plans d’apprentissage personnalisés en référence au profil de compétence, en considérant prioritairement le progrès (</w:t>
      </w:r>
      <w:r w:rsidRPr="007277B3">
        <w:rPr>
          <w:i/>
          <w:iCs/>
        </w:rPr>
        <w:t>effort grade</w:t>
      </w:r>
      <w:r w:rsidRPr="00D27A27">
        <w:t xml:space="preserve">) par rapport à une situation initiale. Troisièmement, la prise en compte des compétences transversales du </w:t>
      </w:r>
      <w:proofErr w:type="spellStart"/>
      <w:r w:rsidRPr="00D27A27">
        <w:t>PdS</w:t>
      </w:r>
      <w:proofErr w:type="spellEnd"/>
      <w:r w:rsidRPr="00D27A27">
        <w:t xml:space="preserve"> </w:t>
      </w:r>
      <w:r w:rsidR="00706A48">
        <w:rPr>
          <w:rFonts w:cs="Open Sans SemiCondensed"/>
        </w:rPr>
        <w:t>–</w:t>
      </w:r>
      <w:r w:rsidR="00C6357C">
        <w:t xml:space="preserve"> </w:t>
      </w:r>
      <w:r w:rsidRPr="00D27A27">
        <w:t>développement personnel, collaboration, communication, pensée réflexive et critique, pensée créative, stratégies d’apprentissage, technologie et médias</w:t>
      </w:r>
      <w:r w:rsidR="00C6357C">
        <w:t xml:space="preserve"> </w:t>
      </w:r>
      <w:r w:rsidR="00CA0C68">
        <w:rPr>
          <w:rFonts w:cs="Open Sans SemiCondensed"/>
        </w:rPr>
        <w:t>–</w:t>
      </w:r>
      <w:r w:rsidRPr="00D27A27">
        <w:t xml:space="preserve"> qui sont nécessaires pour un concept plus large de ma</w:t>
      </w:r>
      <w:r w:rsidR="005C6D52">
        <w:t>i</w:t>
      </w:r>
      <w:r w:rsidRPr="00D27A27">
        <w:t>trise et de capabilisation. Quatrièmement, la possibilité de concéder une «</w:t>
      </w:r>
      <w:r w:rsidR="002960ED">
        <w:t> </w:t>
      </w:r>
      <w:r w:rsidRPr="00D27A27">
        <w:t>deuxième chance</w:t>
      </w:r>
      <w:r w:rsidR="002960ED">
        <w:t> </w:t>
      </w:r>
      <w:r w:rsidRPr="00D27A27">
        <w:t>», en considérant la dimension temporelle du développement des compétences et en déconnectant la performance de la vitesse d’exécution (</w:t>
      </w:r>
      <w:r w:rsidR="00AC6370" w:rsidRPr="00D27A27">
        <w:t xml:space="preserve">Mincu, 2015 ; </w:t>
      </w:r>
      <w:r w:rsidRPr="00D27A27">
        <w:t>Moon, 2005</w:t>
      </w:r>
      <w:r w:rsidR="002960ED">
        <w:t> </w:t>
      </w:r>
      <w:r w:rsidRPr="00D27A27">
        <w:t xml:space="preserve">; </w:t>
      </w:r>
      <w:proofErr w:type="spellStart"/>
      <w:r w:rsidRPr="00D27A27">
        <w:t>Porcarelli</w:t>
      </w:r>
      <w:proofErr w:type="spellEnd"/>
      <w:r w:rsidRPr="00D27A27">
        <w:t>, 2020</w:t>
      </w:r>
      <w:r w:rsidR="00AC6370">
        <w:t xml:space="preserve"> ; </w:t>
      </w:r>
      <w:r w:rsidR="00AC6370" w:rsidRPr="00D27A27">
        <w:t>Tomlinson, 20</w:t>
      </w:r>
      <w:r w:rsidR="00AC6370">
        <w:t>12</w:t>
      </w:r>
      <w:r w:rsidRPr="00D27A27">
        <w:t>).</w:t>
      </w:r>
    </w:p>
    <w:p w14:paraId="469B02C8" w14:textId="1AFDEF49" w:rsidR="008C136F" w:rsidRDefault="008C136F" w:rsidP="00291C05">
      <w:pPr>
        <w:pStyle w:val="Corpsdetexte"/>
      </w:pPr>
      <w:r w:rsidRPr="00D27A27">
        <w:t>Un point mérite d’être souligné</w:t>
      </w:r>
      <w:r w:rsidR="002960ED">
        <w:t> </w:t>
      </w:r>
      <w:r w:rsidRPr="00D27A27">
        <w:t>: les profils de compétence peuvent accueillir des déclinaisons personnalisées pour les élèves présentant des besoins éducatifs particuliers sans qu’il s’agisse d’une «</w:t>
      </w:r>
      <w:r w:rsidR="002960ED">
        <w:t> </w:t>
      </w:r>
      <w:r w:rsidRPr="00D27A27">
        <w:t>réduction</w:t>
      </w:r>
      <w:r w:rsidR="002960ED">
        <w:t> </w:t>
      </w:r>
      <w:r w:rsidRPr="00D27A27">
        <w:t xml:space="preserve">» du curriculum, mais d’une interprétation orientée vers le développement du potentiel de chaque élève. Sur la question spécifique de l’adaptation des objectifs et de la rédaction des projets pédagogiques individuels, on se reportera utilement à </w:t>
      </w:r>
      <w:hyperlink r:id="rId14" w:history="1">
        <w:r w:rsidRPr="00674D97">
          <w:rPr>
            <w:rStyle w:val="Lienhypertexte"/>
          </w:rPr>
          <w:t>Gremion</w:t>
        </w:r>
        <w:r w:rsidR="000B7330" w:rsidRPr="00674D97">
          <w:rPr>
            <w:rStyle w:val="Lienhypertexte"/>
          </w:rPr>
          <w:t xml:space="preserve"> et al. </w:t>
        </w:r>
        <w:r w:rsidRPr="00674D97">
          <w:rPr>
            <w:rStyle w:val="Lienhypertexte"/>
          </w:rPr>
          <w:t>(</w:t>
        </w:r>
        <w:r w:rsidR="00C60AA7" w:rsidRPr="00674D97">
          <w:rPr>
            <w:rStyle w:val="Lienhypertexte"/>
          </w:rPr>
          <w:t>2026</w:t>
        </w:r>
        <w:r w:rsidR="00B20CC4" w:rsidRPr="00674D97">
          <w:rPr>
            <w:rStyle w:val="Lienhypertexte"/>
          </w:rPr>
          <w:t xml:space="preserve"> ; </w:t>
        </w:r>
        <w:r w:rsidRPr="00674D97">
          <w:rPr>
            <w:rStyle w:val="Lienhypertexte"/>
          </w:rPr>
          <w:t>dans ce même numéro)</w:t>
        </w:r>
      </w:hyperlink>
      <w:r w:rsidRPr="00D27A27">
        <w:t>, qui approfondissent la démarche d’observation et de traduction pédagogique dans le cadre des adaptations curriculaires.</w:t>
      </w:r>
    </w:p>
    <w:p w14:paraId="43C67A70" w14:textId="77777777" w:rsidR="008C136F" w:rsidRPr="00D27A27" w:rsidRDefault="008C136F" w:rsidP="00291C05">
      <w:pPr>
        <w:pStyle w:val="Titre2"/>
      </w:pPr>
      <w:r w:rsidRPr="00D27A27">
        <w:lastRenderedPageBreak/>
        <w:t>Formation des enseignantes et enseignants</w:t>
      </w:r>
    </w:p>
    <w:p w14:paraId="3053F4FA" w14:textId="0E18F8C5" w:rsidR="008C136F" w:rsidRPr="00D27A27" w:rsidRDefault="008046B2" w:rsidP="005C596B">
      <w:pPr>
        <w:pStyle w:val="Corpsdetexte"/>
        <w:ind w:firstLine="0"/>
      </w:pPr>
      <w:r w:rsidRPr="00037AE3">
        <w:rPr>
          <w:noProof/>
        </w:rPr>
        <mc:AlternateContent>
          <mc:Choice Requires="wps">
            <w:drawing>
              <wp:anchor distT="45720" distB="45720" distL="46990" distR="46990" simplePos="0" relativeHeight="251663360" behindDoc="0" locked="0" layoutInCell="1" allowOverlap="0" wp14:anchorId="4FC1AFAA" wp14:editId="7B5FA322">
                <wp:simplePos x="0" y="0"/>
                <wp:positionH relativeFrom="column">
                  <wp:posOffset>-900430</wp:posOffset>
                </wp:positionH>
                <wp:positionV relativeFrom="paragraph">
                  <wp:posOffset>820626</wp:posOffset>
                </wp:positionV>
                <wp:extent cx="5472000" cy="468000"/>
                <wp:effectExtent l="0" t="0" r="0" b="0"/>
                <wp:wrapTopAndBottom/>
                <wp:docPr id="818294141"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2000" cy="468000"/>
                        </a:xfrm>
                        <a:prstGeom prst="rect">
                          <a:avLst/>
                        </a:prstGeom>
                        <a:noFill/>
                        <a:ln w="9525">
                          <a:noFill/>
                          <a:miter lim="800000"/>
                          <a:headEnd/>
                          <a:tailEnd/>
                        </a:ln>
                      </wps:spPr>
                      <wps:txbx>
                        <w:txbxContent>
                          <w:p w14:paraId="574B307E" w14:textId="19907409" w:rsidR="008046B2" w:rsidRPr="00B06C44" w:rsidRDefault="008046B2" w:rsidP="008046B2">
                            <w:pPr>
                              <w:pStyle w:val="Hervorhebung1"/>
                              <w:jc w:val="both"/>
                            </w:pPr>
                            <w:r w:rsidRPr="00D27A27">
                              <w:t>La réalisation effective de ces principes repose en grande partie sur la formation, initiale et continue, des professionnelles et professionnels de l’éducation.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C1AFAA" id="_x0000_s1028" type="#_x0000_t202" alt="&quot;&quot;" style="position:absolute;left:0;text-align:left;margin-left:-70.9pt;margin-top:64.6pt;width:430.85pt;height:36.85pt;z-index:25166336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" o:allowoverlap="f" filled="f" stroked="f">
                <v:textbox inset="29mm,,2.5mm">
                  <w:txbxContent>
                    <w:p w14:paraId="574B307E" w14:textId="19907409" w:rsidR="008046B2" w:rsidRPr="00B06C44" w:rsidRDefault="008046B2" w:rsidP="008046B2">
                      <w:pPr>
                        <w:pStyle w:val="Hervorhebung1"/>
                        <w:jc w:val="both"/>
                      </w:pPr>
                      <w:r w:rsidRPr="00D27A27">
                        <w:t>La réalisation effective de ces principes repose en grande partie sur la formation, initiale et continue, des professionnelles et professionnels de l’éducation.</w:t>
                      </w:r>
                    </w:p>
                  </w:txbxContent>
                </v:textbox>
                <w10:wrap type="topAndBottom"/>
              </v:shape>
            </w:pict>
          </mc:Fallback>
        </mc:AlternateContent>
      </w:r>
      <w:r w:rsidR="008C136F" w:rsidRPr="00D27A27">
        <w:t xml:space="preserve">La réalisation effective de ces principes repose en grande partie sur la formation, initiale et continue, des professionnelles et professionnels de l’éducation. </w:t>
      </w:r>
      <w:r w:rsidR="008C136F" w:rsidRPr="005233F1">
        <w:t xml:space="preserve">Le document </w:t>
      </w:r>
      <w:proofErr w:type="spellStart"/>
      <w:r w:rsidR="008C136F" w:rsidRPr="005233F1">
        <w:rPr>
          <w:i/>
          <w:iCs/>
        </w:rPr>
        <w:t>Inclusione</w:t>
      </w:r>
      <w:proofErr w:type="spellEnd"/>
      <w:r w:rsidR="008C136F" w:rsidRPr="005233F1">
        <w:rPr>
          <w:i/>
          <w:iCs/>
        </w:rPr>
        <w:t xml:space="preserve"> e </w:t>
      </w:r>
      <w:proofErr w:type="spellStart"/>
      <w:r w:rsidR="008C136F" w:rsidRPr="005233F1">
        <w:rPr>
          <w:i/>
          <w:iCs/>
        </w:rPr>
        <w:t>accessibilità</w:t>
      </w:r>
      <w:proofErr w:type="spellEnd"/>
      <w:r w:rsidR="008C136F" w:rsidRPr="005233F1">
        <w:rPr>
          <w:i/>
          <w:iCs/>
        </w:rPr>
        <w:t xml:space="preserve"> </w:t>
      </w:r>
      <w:proofErr w:type="spellStart"/>
      <w:r w:rsidR="008C136F" w:rsidRPr="005233F1">
        <w:rPr>
          <w:i/>
          <w:iCs/>
        </w:rPr>
        <w:t>nel</w:t>
      </w:r>
      <w:proofErr w:type="spellEnd"/>
      <w:r w:rsidR="008C136F" w:rsidRPr="005233F1">
        <w:rPr>
          <w:i/>
          <w:iCs/>
        </w:rPr>
        <w:t xml:space="preserve"> </w:t>
      </w:r>
      <w:proofErr w:type="spellStart"/>
      <w:r w:rsidR="008C136F" w:rsidRPr="005233F1">
        <w:rPr>
          <w:i/>
          <w:iCs/>
        </w:rPr>
        <w:t>sistema</w:t>
      </w:r>
      <w:proofErr w:type="spellEnd"/>
      <w:r w:rsidR="008C136F" w:rsidRPr="005233F1">
        <w:rPr>
          <w:i/>
          <w:iCs/>
        </w:rPr>
        <w:t xml:space="preserve"> </w:t>
      </w:r>
      <w:proofErr w:type="spellStart"/>
      <w:r w:rsidR="008C136F" w:rsidRPr="005233F1">
        <w:rPr>
          <w:i/>
          <w:iCs/>
        </w:rPr>
        <w:t>scolastico</w:t>
      </w:r>
      <w:proofErr w:type="spellEnd"/>
      <w:r w:rsidR="008C136F" w:rsidRPr="005233F1">
        <w:rPr>
          <w:i/>
          <w:iCs/>
        </w:rPr>
        <w:t xml:space="preserve"> </w:t>
      </w:r>
      <w:proofErr w:type="spellStart"/>
      <w:r w:rsidR="008C136F" w:rsidRPr="005233F1">
        <w:rPr>
          <w:i/>
          <w:iCs/>
        </w:rPr>
        <w:t>ticinese</w:t>
      </w:r>
      <w:proofErr w:type="spellEnd"/>
      <w:r w:rsidR="008C136F" w:rsidRPr="005233F1">
        <w:rPr>
          <w:i/>
          <w:iCs/>
        </w:rPr>
        <w:t xml:space="preserve"> </w:t>
      </w:r>
      <w:r w:rsidR="008C136F" w:rsidRPr="005233F1">
        <w:t>(p.</w:t>
      </w:r>
      <w:r w:rsidR="008C136F" w:rsidRPr="00D27A27">
        <w:t xml:space="preserve">13) souligne la nécessité d’investir dans la formation </w:t>
      </w:r>
      <w:r w:rsidR="00674D97">
        <w:t>l’ensemble d</w:t>
      </w:r>
      <w:r w:rsidR="008C136F" w:rsidRPr="00D27A27">
        <w:t>es actrices et acteur</w:t>
      </w:r>
      <w:r w:rsidR="00951470">
        <w:t>s sc</w:t>
      </w:r>
      <w:r w:rsidR="008C136F" w:rsidRPr="00D27A27">
        <w:t>olaires</w:t>
      </w:r>
      <w:r w:rsidR="00951470">
        <w:t>,</w:t>
      </w:r>
      <w:r w:rsidR="008C136F" w:rsidRPr="00D27A27">
        <w:t xml:space="preserve"> afin qu’</w:t>
      </w:r>
      <w:r w:rsidR="00674D97">
        <w:t xml:space="preserve">elles et </w:t>
      </w:r>
      <w:r w:rsidR="008C136F" w:rsidRPr="00D27A27">
        <w:t>ils acquièrent une vision partagée de la valeur de l’hétérogénéité et de la gestion de la complexité.</w:t>
      </w:r>
    </w:p>
    <w:p w14:paraId="1FE9EFF1" w14:textId="01149807" w:rsidR="008C136F" w:rsidRPr="00D27A27" w:rsidRDefault="008C136F" w:rsidP="008046B2">
      <w:pPr>
        <w:pStyle w:val="Corpsdetexte"/>
        <w:ind w:firstLine="0"/>
      </w:pPr>
      <w:r w:rsidRPr="00D27A27">
        <w:t>Sur le plan structurel, le D</w:t>
      </w:r>
      <w:r w:rsidR="007907A6">
        <w:t>épartement de la formation et des apprentissage</w:t>
      </w:r>
      <w:r w:rsidR="00880A52">
        <w:t>s</w:t>
      </w:r>
      <w:r w:rsidR="007907A6">
        <w:t xml:space="preserve"> de la Haute école pédagogique</w:t>
      </w:r>
      <w:r w:rsidR="00674D97">
        <w:t xml:space="preserve"> /</w:t>
      </w:r>
      <w:r w:rsidR="004F6EB7">
        <w:t> </w:t>
      </w:r>
      <w:r w:rsidR="00880A52">
        <w:t>Haute école spécialisée de</w:t>
      </w:r>
      <w:r w:rsidR="00EB2328">
        <w:t xml:space="preserve"> la</w:t>
      </w:r>
      <w:r w:rsidR="00880A52">
        <w:t xml:space="preserve"> Suisse italienne</w:t>
      </w:r>
      <w:r w:rsidR="00597EF5">
        <w:t xml:space="preserve"> (</w:t>
      </w:r>
      <w:proofErr w:type="spellStart"/>
      <w:r w:rsidR="008555AE" w:rsidRPr="000570FE">
        <w:rPr>
          <w:i/>
          <w:iCs/>
        </w:rPr>
        <w:t>Dipartimento</w:t>
      </w:r>
      <w:proofErr w:type="spellEnd"/>
      <w:r w:rsidR="008555AE" w:rsidRPr="000570FE">
        <w:rPr>
          <w:i/>
          <w:iCs/>
        </w:rPr>
        <w:t xml:space="preserve"> </w:t>
      </w:r>
      <w:proofErr w:type="spellStart"/>
      <w:r w:rsidR="008555AE" w:rsidRPr="000570FE">
        <w:rPr>
          <w:i/>
          <w:iCs/>
        </w:rPr>
        <w:t>formazione</w:t>
      </w:r>
      <w:proofErr w:type="spellEnd"/>
      <w:r w:rsidR="008555AE" w:rsidRPr="000570FE">
        <w:rPr>
          <w:i/>
          <w:iCs/>
        </w:rPr>
        <w:t xml:space="preserve"> et </w:t>
      </w:r>
      <w:proofErr w:type="spellStart"/>
      <w:r w:rsidR="008555AE" w:rsidRPr="000570FE">
        <w:rPr>
          <w:i/>
          <w:iCs/>
        </w:rPr>
        <w:t>apprendimento</w:t>
      </w:r>
      <w:proofErr w:type="spellEnd"/>
      <w:r w:rsidR="006D73D8">
        <w:rPr>
          <w:i/>
          <w:iCs/>
        </w:rPr>
        <w:t xml:space="preserve"> / </w:t>
      </w:r>
      <w:r w:rsidR="00474D9F" w:rsidRPr="000570FE">
        <w:rPr>
          <w:i/>
          <w:iCs/>
        </w:rPr>
        <w:t xml:space="preserve">Alta </w:t>
      </w:r>
      <w:proofErr w:type="spellStart"/>
      <w:r w:rsidR="00474D9F" w:rsidRPr="000570FE">
        <w:rPr>
          <w:i/>
          <w:iCs/>
        </w:rPr>
        <w:t>Scuola</w:t>
      </w:r>
      <w:proofErr w:type="spellEnd"/>
      <w:r w:rsidR="00474D9F" w:rsidRPr="000570FE">
        <w:rPr>
          <w:i/>
          <w:iCs/>
        </w:rPr>
        <w:t xml:space="preserve"> Pedagogica </w:t>
      </w:r>
      <w:r w:rsidR="00282DBF" w:rsidRPr="000570FE">
        <w:rPr>
          <w:i/>
          <w:iCs/>
        </w:rPr>
        <w:t xml:space="preserve">Scuola </w:t>
      </w:r>
      <w:proofErr w:type="spellStart"/>
      <w:r w:rsidR="00282DBF" w:rsidRPr="000570FE">
        <w:rPr>
          <w:i/>
          <w:iCs/>
        </w:rPr>
        <w:t>universitaria</w:t>
      </w:r>
      <w:proofErr w:type="spellEnd"/>
      <w:r w:rsidR="00282DBF" w:rsidRPr="000570FE">
        <w:rPr>
          <w:i/>
          <w:iCs/>
        </w:rPr>
        <w:t xml:space="preserve"> </w:t>
      </w:r>
      <w:proofErr w:type="spellStart"/>
      <w:r w:rsidR="00282DBF" w:rsidRPr="000570FE">
        <w:rPr>
          <w:i/>
          <w:iCs/>
        </w:rPr>
        <w:t>professionale</w:t>
      </w:r>
      <w:proofErr w:type="spellEnd"/>
      <w:r w:rsidR="00282DBF" w:rsidRPr="000570FE">
        <w:rPr>
          <w:i/>
          <w:iCs/>
        </w:rPr>
        <w:t xml:space="preserve"> </w:t>
      </w:r>
      <w:proofErr w:type="spellStart"/>
      <w:r w:rsidR="00282DBF" w:rsidRPr="000570FE">
        <w:rPr>
          <w:i/>
          <w:iCs/>
        </w:rPr>
        <w:t>della</w:t>
      </w:r>
      <w:proofErr w:type="spellEnd"/>
      <w:r w:rsidR="00282DBF" w:rsidRPr="000570FE">
        <w:rPr>
          <w:i/>
          <w:iCs/>
        </w:rPr>
        <w:t xml:space="preserve"> Svizzera </w:t>
      </w:r>
      <w:proofErr w:type="spellStart"/>
      <w:r w:rsidR="00282DBF" w:rsidRPr="000570FE">
        <w:rPr>
          <w:i/>
          <w:iCs/>
        </w:rPr>
        <w:t>italiana</w:t>
      </w:r>
      <w:proofErr w:type="spellEnd"/>
      <w:r w:rsidR="00282DBF" w:rsidRPr="00282DBF">
        <w:t xml:space="preserve"> </w:t>
      </w:r>
      <w:r w:rsidR="00674D97">
        <w:t>[</w:t>
      </w:r>
      <w:r w:rsidR="00597EF5">
        <w:t>D</w:t>
      </w:r>
      <w:r w:rsidRPr="00D27A27">
        <w:t>FA /ASP-SUPSI</w:t>
      </w:r>
      <w:r w:rsidR="00674D97">
        <w:t>]</w:t>
      </w:r>
      <w:r w:rsidR="00597EF5">
        <w:t>)</w:t>
      </w:r>
      <w:r w:rsidRPr="00D27A27">
        <w:t xml:space="preserve"> propose depuis 2021 un </w:t>
      </w:r>
      <w:r w:rsidRPr="000570FE">
        <w:rPr>
          <w:i/>
          <w:iCs/>
        </w:rPr>
        <w:t>Master of Arts</w:t>
      </w:r>
      <w:r w:rsidRPr="00D27A27">
        <w:t xml:space="preserve"> en pédagogie spécialisée et didactique inclusive, qui forme des enseignantes et enseignants spécialisés capables d’intervenir dans des contextes scolaires hétérogènes en articulant compétences didactiques, connaissances en pédagogie spécialisée et pratiques fondées sur l’accessibilité.</w:t>
      </w:r>
    </w:p>
    <w:p w14:paraId="3A8A8807" w14:textId="38DA2D2B" w:rsidR="003E04B0" w:rsidRDefault="008C136F" w:rsidP="00674D97">
      <w:pPr>
        <w:pStyle w:val="Corpsdetexte"/>
        <w:ind w:firstLine="0"/>
      </w:pPr>
      <w:r w:rsidRPr="00D27A27">
        <w:t xml:space="preserve">Un outil opérationnel central est le modèle d’adaptation des objectifs curriculaires d’Ianes et </w:t>
      </w:r>
      <w:proofErr w:type="spellStart"/>
      <w:r w:rsidRPr="00D27A27">
        <w:t>Cramerotti</w:t>
      </w:r>
      <w:proofErr w:type="spellEnd"/>
      <w:r w:rsidRPr="00D27A27">
        <w:t xml:space="preserve"> (2019), qui identifie cinq niveaux progressifs</w:t>
      </w:r>
      <w:r w:rsidR="004F6EB7">
        <w:t> </w:t>
      </w:r>
      <w:r w:rsidRPr="00D27A27">
        <w:t xml:space="preserve">: </w:t>
      </w:r>
    </w:p>
    <w:p w14:paraId="45CA3BB0" w14:textId="1760A61B" w:rsidR="003E04B0" w:rsidRPr="00674D97" w:rsidRDefault="008C136F" w:rsidP="00674D97">
      <w:pPr>
        <w:pStyle w:val="Listenumros"/>
        <w:ind w:left="426" w:hanging="256"/>
      </w:pPr>
      <w:proofErr w:type="gramStart"/>
      <w:r w:rsidRPr="00D27A27">
        <w:t>substitution</w:t>
      </w:r>
      <w:proofErr w:type="gramEnd"/>
      <w:r w:rsidRPr="00D27A27">
        <w:t xml:space="preserve"> (</w:t>
      </w:r>
      <w:r w:rsidRPr="00674D97">
        <w:t xml:space="preserve">traduction dans un autre code sans simplification), </w:t>
      </w:r>
    </w:p>
    <w:p w14:paraId="50DAAFD1" w14:textId="77777777" w:rsidR="003E04B0" w:rsidRPr="00674D97" w:rsidRDefault="008C136F" w:rsidP="00674D97">
      <w:pPr>
        <w:pStyle w:val="Listenumros"/>
        <w:ind w:left="426" w:hanging="256"/>
      </w:pPr>
      <w:proofErr w:type="gramStart"/>
      <w:r w:rsidRPr="00674D97">
        <w:t>facilitation</w:t>
      </w:r>
      <w:proofErr w:type="gramEnd"/>
      <w:r w:rsidRPr="00674D97">
        <w:t xml:space="preserve"> (recontextualisation par des environnements et aides adaptés), </w:t>
      </w:r>
    </w:p>
    <w:p w14:paraId="39494F27" w14:textId="59D56E95" w:rsidR="003E04B0" w:rsidRPr="00674D97" w:rsidRDefault="008C136F" w:rsidP="00674D97">
      <w:pPr>
        <w:pStyle w:val="Listenumros"/>
        <w:ind w:left="426" w:hanging="256"/>
      </w:pPr>
      <w:proofErr w:type="gramStart"/>
      <w:r w:rsidRPr="00674D97">
        <w:t>simplification</w:t>
      </w:r>
      <w:proofErr w:type="gramEnd"/>
      <w:r w:rsidRPr="00674D97">
        <w:t xml:space="preserve"> (réduction de la complexité de certaines composantes), </w:t>
      </w:r>
    </w:p>
    <w:p w14:paraId="1B731F70" w14:textId="74476312" w:rsidR="003E04B0" w:rsidRPr="00674D97" w:rsidRDefault="008C136F" w:rsidP="00674D97">
      <w:pPr>
        <w:pStyle w:val="Listenumros"/>
        <w:ind w:left="426" w:hanging="256"/>
      </w:pPr>
      <w:proofErr w:type="gramStart"/>
      <w:r w:rsidRPr="00674D97">
        <w:t>décomposition</w:t>
      </w:r>
      <w:proofErr w:type="gramEnd"/>
      <w:r w:rsidRPr="00674D97">
        <w:t xml:space="preserve"> en noyaux fondamentaux (identification d’activités disciplinaires fondatrices et accessibles),</w:t>
      </w:r>
    </w:p>
    <w:p w14:paraId="4ACF0728" w14:textId="3BB5F674" w:rsidR="00674D97" w:rsidRDefault="008C136F" w:rsidP="00674D97">
      <w:pPr>
        <w:pStyle w:val="Listenumros"/>
        <w:ind w:left="426" w:hanging="256"/>
      </w:pPr>
      <w:proofErr w:type="gramStart"/>
      <w:r w:rsidRPr="00674D97">
        <w:t>participation</w:t>
      </w:r>
      <w:proofErr w:type="gramEnd"/>
      <w:r w:rsidRPr="00674D97">
        <w:t xml:space="preserve"> à la culture</w:t>
      </w:r>
      <w:r w:rsidRPr="00D27A27">
        <w:t xml:space="preserve"> de la tâche (occasions de vivre des moments significatifs d’utilisation des compétences).</w:t>
      </w:r>
    </w:p>
    <w:p w14:paraId="6CA6B136" w14:textId="41418073" w:rsidR="008C136F" w:rsidRPr="00D27A27" w:rsidRDefault="008C136F" w:rsidP="00674D97">
      <w:pPr>
        <w:pStyle w:val="Corpsdetexte"/>
        <w:ind w:firstLine="0"/>
      </w:pPr>
      <w:r w:rsidRPr="00D27A27">
        <w:t>Ce continuum offre un répertoire structuré allant des aménagements aux modifications substantielles.</w:t>
      </w:r>
    </w:p>
    <w:p w14:paraId="51E95B74" w14:textId="459A1F34" w:rsidR="008C136F" w:rsidRPr="00D27A27" w:rsidRDefault="008C136F" w:rsidP="00674D97">
      <w:pPr>
        <w:pStyle w:val="Corpsdetexte"/>
      </w:pPr>
      <w:r w:rsidRPr="00D27A27">
        <w:t>La recherche doctorale de Rusconi (2025), conduite dans le canton du Tessin, a étudié les effets d’une formation à la CUA fondée sur les neurosciences</w:t>
      </w:r>
      <w:r w:rsidR="003971ED">
        <w:t>,</w:t>
      </w:r>
      <w:r w:rsidRPr="00D27A27">
        <w:t xml:space="preserve"> sur le développement des compétences des enseignantes et enseignants travaillant en classes inclusives. Les résultats montrent des effets positifs sur les conceptions constructivistes de l’intelligence, sur la capacité à planifier des leçons accessibles, sur les pratiques de coenseignement et sur le sentiment d’</w:t>
      </w:r>
      <w:proofErr w:type="spellStart"/>
      <w:r w:rsidRPr="00D27A27">
        <w:t>autoefficacité</w:t>
      </w:r>
      <w:proofErr w:type="spellEnd"/>
      <w:r w:rsidRPr="00D27A27">
        <w:t>, confirmant ainsi les recommandations du</w:t>
      </w:r>
      <w:r w:rsidRPr="0021587B">
        <w:t xml:space="preserve"> </w:t>
      </w:r>
      <w:r w:rsidRPr="005233F1">
        <w:t>Profil de</w:t>
      </w:r>
      <w:r w:rsidR="00E619A0" w:rsidRPr="005233F1">
        <w:t xml:space="preserve">s </w:t>
      </w:r>
      <w:r w:rsidR="008046B2">
        <w:t xml:space="preserve">enseignantes et </w:t>
      </w:r>
      <w:r w:rsidR="007277B3" w:rsidRPr="005233F1">
        <w:rPr>
          <w:rFonts w:cs="Open Sans SemiCondensed"/>
        </w:rPr>
        <w:t>enseignant</w:t>
      </w:r>
      <w:r w:rsidR="00E619A0" w:rsidRPr="005233F1">
        <w:rPr>
          <w:rFonts w:cs="Open Sans SemiCondensed"/>
        </w:rPr>
        <w:t>s</w:t>
      </w:r>
      <w:r w:rsidR="007277B3" w:rsidRPr="005233F1">
        <w:rPr>
          <w:rFonts w:cs="Open Sans SemiCondensed"/>
        </w:rPr>
        <w:t xml:space="preserve"> i</w:t>
      </w:r>
      <w:r w:rsidRPr="005233F1">
        <w:t>nclusif</w:t>
      </w:r>
      <w:r w:rsidR="00E619A0" w:rsidRPr="005233F1">
        <w:t>s</w:t>
      </w:r>
      <w:r w:rsidRPr="005233F1">
        <w:t xml:space="preserve"> de l’Agence européenne</w:t>
      </w:r>
      <w:r w:rsidRPr="00D27A27">
        <w:t xml:space="preserve"> (</w:t>
      </w:r>
      <w:proofErr w:type="spellStart"/>
      <w:r w:rsidR="008046B2" w:rsidRPr="008046B2">
        <w:rPr>
          <w:i/>
          <w:iCs/>
        </w:rPr>
        <w:t>European</w:t>
      </w:r>
      <w:proofErr w:type="spellEnd"/>
      <w:r w:rsidR="008046B2" w:rsidRPr="008046B2">
        <w:rPr>
          <w:i/>
          <w:iCs/>
        </w:rPr>
        <w:t xml:space="preserve"> Agency for </w:t>
      </w:r>
      <w:proofErr w:type="spellStart"/>
      <w:r w:rsidR="008046B2" w:rsidRPr="008046B2">
        <w:rPr>
          <w:i/>
          <w:iCs/>
        </w:rPr>
        <w:t>Development</w:t>
      </w:r>
      <w:proofErr w:type="spellEnd"/>
      <w:r w:rsidR="008046B2" w:rsidRPr="008046B2">
        <w:rPr>
          <w:i/>
          <w:iCs/>
        </w:rPr>
        <w:t xml:space="preserve"> in Special Needs Education </w:t>
      </w:r>
      <w:r w:rsidR="008046B2" w:rsidRPr="008046B2">
        <w:rPr>
          <w:rFonts w:cs="Open Sans SemiCondensed"/>
        </w:rPr>
        <w:t>[</w:t>
      </w:r>
      <w:r w:rsidR="008046B2" w:rsidRPr="008046B2">
        <w:t>EADSNE</w:t>
      </w:r>
      <w:r w:rsidR="008046B2" w:rsidRPr="008046B2">
        <w:rPr>
          <w:rFonts w:cs="Open Sans SemiCondensed"/>
        </w:rPr>
        <w:t>]</w:t>
      </w:r>
      <w:r w:rsidRPr="00D27A27">
        <w:t>, 2012).</w:t>
      </w:r>
    </w:p>
    <w:p w14:paraId="00664E48" w14:textId="3B4C2767" w:rsidR="008C136F" w:rsidRPr="00D27A27" w:rsidRDefault="008C136F" w:rsidP="008046B2">
      <w:pPr>
        <w:pStyle w:val="Corpsdetexte"/>
        <w:ind w:firstLine="0"/>
      </w:pPr>
      <w:r w:rsidRPr="00D27A27">
        <w:t>Par ailleurs, un dispositif de formation continue sur les neurosciences et la neurodiversité, développé au DFA</w:t>
      </w:r>
      <w:r w:rsidR="006E2A67">
        <w:t> </w:t>
      </w:r>
      <w:r w:rsidRPr="00D27A27">
        <w:t>/</w:t>
      </w:r>
      <w:r w:rsidR="006E2A67">
        <w:t> </w:t>
      </w:r>
      <w:r w:rsidRPr="00D27A27">
        <w:t>ASP-SUPSI, diffuse une conception actualisée de la variabilité cognitive. Le paradigme de la neurodiversité (</w:t>
      </w:r>
      <w:proofErr w:type="spellStart"/>
      <w:r w:rsidR="008046B2" w:rsidRPr="00D27A27">
        <w:t>Honeybourne</w:t>
      </w:r>
      <w:proofErr w:type="spellEnd"/>
      <w:r w:rsidR="008046B2" w:rsidRPr="00D27A27">
        <w:t>, 2018</w:t>
      </w:r>
      <w:r w:rsidR="008046B2">
        <w:t xml:space="preserve"> ; </w:t>
      </w:r>
      <w:r w:rsidRPr="00D27A27">
        <w:t>Walker, 2014) considère les différences neurologiques comme une partie naturelle de la variation humaine. Le modèle des «</w:t>
      </w:r>
      <w:r w:rsidR="00D017C5">
        <w:t> </w:t>
      </w:r>
      <w:r w:rsidRPr="00D27A27">
        <w:t>niches positives</w:t>
      </w:r>
      <w:r w:rsidR="00D017C5">
        <w:t> </w:t>
      </w:r>
      <w:r w:rsidRPr="00D27A27">
        <w:t>» (Armstrong,</w:t>
      </w:r>
      <w:r w:rsidR="008046B2">
        <w:t xml:space="preserve"> </w:t>
      </w:r>
      <w:r w:rsidRPr="00D27A27">
        <w:t xml:space="preserve">2012), qui articule plusieurs dimensions </w:t>
      </w:r>
      <w:r w:rsidR="00D017C5">
        <w:rPr>
          <w:rFonts w:cs="Open Sans SemiCondensed"/>
        </w:rPr>
        <w:t>–</w:t>
      </w:r>
      <w:r w:rsidR="00C6357C">
        <w:t xml:space="preserve"> </w:t>
      </w:r>
      <w:r w:rsidRPr="00D27A27">
        <w:t xml:space="preserve">conscience des forces de chaque élève, recours aux technologies </w:t>
      </w:r>
      <w:r w:rsidR="00D017C5">
        <w:t>d’aide</w:t>
      </w:r>
      <w:r w:rsidRPr="00D27A27">
        <w:t xml:space="preserve"> et à la CUA, stratégies d’apprentissage fondées sur les points forts et aménagements environnementaux</w:t>
      </w:r>
      <w:r w:rsidR="00C6357C">
        <w:t xml:space="preserve"> </w:t>
      </w:r>
      <w:r w:rsidR="00033A08">
        <w:rPr>
          <w:rFonts w:cs="Open Sans SemiCondensed"/>
        </w:rPr>
        <w:t>–</w:t>
      </w:r>
      <w:r w:rsidRPr="00D27A27">
        <w:t xml:space="preserve"> offre un cadre complémentaire. Les compétences telles que le </w:t>
      </w:r>
      <w:proofErr w:type="spellStart"/>
      <w:r w:rsidRPr="00D27A27">
        <w:t>PdS</w:t>
      </w:r>
      <w:proofErr w:type="spellEnd"/>
      <w:r w:rsidRPr="00D27A27">
        <w:t xml:space="preserve"> les conçoit ne sont pas des instruments de pilotage standardisé, mais des outils au service du projet éducatif de chaque élève, capables de répondre à un large éventail de besoins.</w:t>
      </w:r>
    </w:p>
    <w:p w14:paraId="64BFA1E2" w14:textId="77777777" w:rsidR="008C136F" w:rsidRPr="00D27A27" w:rsidRDefault="008C136F" w:rsidP="00291C05">
      <w:pPr>
        <w:pStyle w:val="Titre1"/>
      </w:pPr>
      <w:r w:rsidRPr="00D27A27">
        <w:t>Perspectives</w:t>
      </w:r>
    </w:p>
    <w:p w14:paraId="26B24DF8" w14:textId="77A15240" w:rsidR="008C136F" w:rsidRPr="00D27A27" w:rsidRDefault="008C136F" w:rsidP="005C596B">
      <w:pPr>
        <w:pStyle w:val="Corpsdetexte"/>
        <w:ind w:firstLine="0"/>
      </w:pPr>
      <w:r w:rsidRPr="00D27A27">
        <w:t>L’architecture argumentative de cet article repose sur un encha</w:t>
      </w:r>
      <w:r w:rsidR="008046B2">
        <w:t>i</w:t>
      </w:r>
      <w:r w:rsidRPr="00D27A27">
        <w:t>nement qu</w:t>
      </w:r>
      <w:r w:rsidR="008046B2">
        <w:t xml:space="preserve">i se </w:t>
      </w:r>
      <w:r w:rsidRPr="00D27A27">
        <w:t>résume ainsi</w:t>
      </w:r>
      <w:r w:rsidR="00C714A1">
        <w:t> </w:t>
      </w:r>
      <w:r w:rsidRPr="00D27A27">
        <w:t xml:space="preserve">: la manière dont on conçoit la compétence détermine la manière dont on construit le curriculum, qui conditionne à son tour la manière dont on évalue. Or, cette évaluation ne peut se transformer durablement sans une formation cohérente avec ces prémisses. Lorsque l’un de ces maillons se désolidarise des autres </w:t>
      </w:r>
      <w:r w:rsidR="005F75C0">
        <w:rPr>
          <w:rFonts w:cs="Open Sans SemiCondensed"/>
        </w:rPr>
        <w:t>–</w:t>
      </w:r>
      <w:r w:rsidR="00C6357C">
        <w:t xml:space="preserve"> </w:t>
      </w:r>
      <w:r w:rsidRPr="00D27A27">
        <w:t>par exemple</w:t>
      </w:r>
      <w:r w:rsidR="008046B2">
        <w:t>,</w:t>
      </w:r>
      <w:r w:rsidRPr="00D27A27">
        <w:t xml:space="preserve"> lorsque des dispositifs d’évaluation standardisée contredisent une conception émancipatrice du curriculum</w:t>
      </w:r>
      <w:r w:rsidR="00C6357C">
        <w:t xml:space="preserve"> </w:t>
      </w:r>
      <w:r w:rsidR="005F75C0">
        <w:rPr>
          <w:rFonts w:cs="Open Sans SemiCondensed"/>
        </w:rPr>
        <w:t>–</w:t>
      </w:r>
      <w:r w:rsidRPr="00D27A27">
        <w:t xml:space="preserve"> c’est l’ensemble de la cha</w:t>
      </w:r>
      <w:r w:rsidR="008046B2">
        <w:t>i</w:t>
      </w:r>
      <w:r w:rsidRPr="00D27A27">
        <w:t>ne qui perd en crédibilité.</w:t>
      </w:r>
    </w:p>
    <w:p w14:paraId="2165E808" w14:textId="204B0EAE" w:rsidR="008C136F" w:rsidRDefault="003E47D3" w:rsidP="008046B2">
      <w:pPr>
        <w:pStyle w:val="Corpsdetexte"/>
        <w:ind w:firstLine="0"/>
      </w:pPr>
      <w:r w:rsidRPr="00037AE3">
        <w:rPr>
          <w:noProof/>
        </w:rPr>
        <w:lastRenderedPageBreak/>
        <mc:AlternateContent>
          <mc:Choice Requires="wps">
            <w:drawing>
              <wp:anchor distT="45720" distB="45720" distL="46990" distR="46990" simplePos="0" relativeHeight="251665408" behindDoc="0" locked="0" layoutInCell="1" allowOverlap="0" wp14:anchorId="130FC495" wp14:editId="51DCC590">
                <wp:simplePos x="0" y="0"/>
                <wp:positionH relativeFrom="column">
                  <wp:posOffset>-900430</wp:posOffset>
                </wp:positionH>
                <wp:positionV relativeFrom="paragraph">
                  <wp:posOffset>1017905</wp:posOffset>
                </wp:positionV>
                <wp:extent cx="5471795" cy="684000"/>
                <wp:effectExtent l="0" t="0" r="0" b="1905"/>
                <wp:wrapTopAndBottom/>
                <wp:docPr id="1838002465"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795" cy="684000"/>
                        </a:xfrm>
                        <a:prstGeom prst="rect">
                          <a:avLst/>
                        </a:prstGeom>
                        <a:noFill/>
                        <a:ln w="9525">
                          <a:noFill/>
                          <a:miter lim="800000"/>
                          <a:headEnd/>
                          <a:tailEnd/>
                        </a:ln>
                      </wps:spPr>
                      <wps:txbx>
                        <w:txbxContent>
                          <w:p w14:paraId="487D803A" w14:textId="68EEEC3B" w:rsidR="008046B2" w:rsidRPr="00B06C44" w:rsidRDefault="003E47D3" w:rsidP="008046B2">
                            <w:pPr>
                              <w:pStyle w:val="Hervorhebung1"/>
                              <w:jc w:val="both"/>
                            </w:pPr>
                            <w:r>
                              <w:t>U</w:t>
                            </w:r>
                            <w:r w:rsidRPr="00D27A27">
                              <w:t>n curriculum qui interprète les compétences comme des horizons de capabilités</w:t>
                            </w:r>
                            <w:r>
                              <w:t xml:space="preserve"> </w:t>
                            </w:r>
                            <w:r w:rsidRPr="00D27A27">
                              <w:t>offre un cadre dans lequel la différenciation, l’évaluation et la formation peuvent se nourrir mutuellement au service du projet éducatif de chaque élève.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0FC495" id="_x0000_s1029" type="#_x0000_t202" alt="&quot;&quot;" style="position:absolute;left:0;text-align:left;margin-left:-70.9pt;margin-top:80.15pt;width:430.85pt;height:53.85pt;z-index:251665408;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" o:allowoverlap="f" filled="f" stroked="f">
                <v:textbox inset="29mm,,2.5mm">
                  <w:txbxContent>
                    <w:p w14:paraId="487D803A" w14:textId="68EEEC3B" w:rsidR="008046B2" w:rsidRPr="00B06C44" w:rsidRDefault="003E47D3" w:rsidP="008046B2">
                      <w:pPr>
                        <w:pStyle w:val="Hervorhebung1"/>
                        <w:jc w:val="both"/>
                      </w:pPr>
                      <w:r>
                        <w:t>U</w:t>
                      </w:r>
                      <w:r w:rsidRPr="00D27A27">
                        <w:t>n curriculum qui interprète les compétences comme des horizons de capabilités</w:t>
                      </w:r>
                      <w:r>
                        <w:t xml:space="preserve"> </w:t>
                      </w:r>
                      <w:r w:rsidRPr="00D27A27">
                        <w:t>offre un cadre dans lequel la différenciation, l’évaluation et la formation peuvent se nourrir mutuellement au service du projet éducatif de chaque élève.</w:t>
                      </w:r>
                    </w:p>
                  </w:txbxContent>
                </v:textbox>
                <w10:wrap type="topAndBottom"/>
              </v:shape>
            </w:pict>
          </mc:Fallback>
        </mc:AlternateContent>
      </w:r>
      <w:r w:rsidR="008C136F" w:rsidRPr="00D27A27">
        <w:t xml:space="preserve">Le Canton du Tessin se trouve dans une phase de transition où </w:t>
      </w:r>
      <w:r w:rsidR="00FB528E">
        <w:t>différents chantiers avancent</w:t>
      </w:r>
      <w:r w:rsidR="008C136F" w:rsidRPr="00D27A27">
        <w:t xml:space="preserve"> simultanément</w:t>
      </w:r>
      <w:r w:rsidR="00023914">
        <w:t> </w:t>
      </w:r>
      <w:r w:rsidR="008C136F" w:rsidRPr="00D27A27">
        <w:t>: consolidation des classes inclusives, notamment à l’école secondaire, gestion coordonnée des mesures de soutien par l</w:t>
      </w:r>
      <w:r w:rsidR="00606A4C">
        <w:t xml:space="preserve">e </w:t>
      </w:r>
      <w:r w:rsidR="008C136F" w:rsidRPr="00D27A27">
        <w:t xml:space="preserve">SPS, extension des principes d’accessibilité au </w:t>
      </w:r>
      <w:proofErr w:type="spellStart"/>
      <w:r w:rsidR="008C136F" w:rsidRPr="00D27A27">
        <w:t>post-obligatoire</w:t>
      </w:r>
      <w:proofErr w:type="spellEnd"/>
      <w:r w:rsidR="008C136F" w:rsidRPr="00D27A27">
        <w:t xml:space="preserve"> (DECS, 2024), transformation des pratiques évaluatives dans des contextes d</w:t>
      </w:r>
      <w:r w:rsidR="006D5EE6">
        <w:t>’</w:t>
      </w:r>
      <w:r w:rsidR="008C136F" w:rsidRPr="00D27A27">
        <w:t xml:space="preserve">hétérogénéité croissante. </w:t>
      </w:r>
      <w:r w:rsidR="008C136F" w:rsidRPr="0035440D">
        <w:t>L’</w:t>
      </w:r>
      <w:r w:rsidR="008C136F" w:rsidRPr="005233F1">
        <w:t xml:space="preserve">Index pour l’inclusion </w:t>
      </w:r>
      <w:r w:rsidR="008C136F" w:rsidRPr="0035440D">
        <w:t>(Bo</w:t>
      </w:r>
      <w:r w:rsidR="008C136F" w:rsidRPr="00D27A27">
        <w:t xml:space="preserve">oth </w:t>
      </w:r>
      <w:r w:rsidR="009A7F18">
        <w:t>&amp;</w:t>
      </w:r>
      <w:r w:rsidR="009A7F18" w:rsidRPr="00D27A27">
        <w:t xml:space="preserve"> </w:t>
      </w:r>
      <w:proofErr w:type="spellStart"/>
      <w:r w:rsidR="008C136F" w:rsidRPr="00D27A27">
        <w:t>Ainscow</w:t>
      </w:r>
      <w:proofErr w:type="spellEnd"/>
      <w:r w:rsidR="008C136F" w:rsidRPr="00D27A27">
        <w:t>, 2014) rappelle que la culture, les politiques et les pratiques inclusives doivent avancer de concert.</w:t>
      </w:r>
    </w:p>
    <w:p w14:paraId="0D383009" w14:textId="733A82E7" w:rsidR="008C136F" w:rsidRPr="00291C05" w:rsidRDefault="008C136F" w:rsidP="008046B2">
      <w:pPr>
        <w:pStyle w:val="Corpsdetexte"/>
        <w:ind w:firstLine="0"/>
      </w:pPr>
      <w:r w:rsidRPr="00D27A27">
        <w:t>Plusieurs tensions restent ouvertes</w:t>
      </w:r>
      <w:r w:rsidR="00F51C85">
        <w:t> </w:t>
      </w:r>
      <w:r w:rsidRPr="00D27A27">
        <w:t>: l’articulation entre accessibilité universelle et personnalisation, la question des indicateurs de qualité permettant d’évaluer si un établissement est effectivement inclusif, ainsi que la traduction durable des compétences acquises en formation dans les pratiques quotidiennes. Cependant, la direction est tracée</w:t>
      </w:r>
      <w:r w:rsidR="00F51C85">
        <w:t> </w:t>
      </w:r>
      <w:r w:rsidRPr="00D27A27">
        <w:t xml:space="preserve">: un curriculum qui interprète les compétences comme des horizons de capabilités </w:t>
      </w:r>
      <w:r w:rsidR="00F51C85">
        <w:rPr>
          <w:rFonts w:cs="Open Sans SemiCondensed"/>
        </w:rPr>
        <w:t>–</w:t>
      </w:r>
      <w:r w:rsidR="00C6357C">
        <w:t xml:space="preserve"> </w:t>
      </w:r>
      <w:r w:rsidRPr="00D27A27">
        <w:t>et non comme des seuils de performance à franchir</w:t>
      </w:r>
      <w:r w:rsidR="00C6357C">
        <w:t xml:space="preserve"> </w:t>
      </w:r>
      <w:r w:rsidR="00F51C85">
        <w:rPr>
          <w:rFonts w:cs="Open Sans SemiCondensed"/>
        </w:rPr>
        <w:t>–</w:t>
      </w:r>
      <w:r w:rsidRPr="00D27A27">
        <w:t xml:space="preserve"> offre un cadre dans lequel la différenciation, l’évaluation et la formation peuvent se nourrir mutuellement au service du projet éducatif de chaque élève. </w:t>
      </w:r>
    </w:p>
    <w:p w14:paraId="6EC8626A" w14:textId="77777777" w:rsidR="006632EC" w:rsidRPr="00153133" w:rsidRDefault="006632EC" w:rsidP="006632EC">
      <w:pPr>
        <w:pStyle w:val="Titre1"/>
      </w:pPr>
      <w:r>
        <w:t>Auteur</w:t>
      </w:r>
    </w:p>
    <w:tbl>
      <w:tblPr>
        <w:tblStyle w:val="Grilledutableau"/>
        <w:tblW w:w="343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tblGrid>
      <w:tr w:rsidR="006632EC" w:rsidRPr="00153133" w14:paraId="4800C284" w14:textId="77777777" w:rsidTr="00204AD7">
        <w:tc>
          <w:tcPr>
            <w:tcW w:w="5000" w:type="pct"/>
            <w:vAlign w:val="center"/>
          </w:tcPr>
          <w:p w14:paraId="18747D89" w14:textId="77777777" w:rsidR="006632EC" w:rsidRPr="00153133" w:rsidRDefault="006632EC" w:rsidP="00AD5676">
            <w:pPr>
              <w:pStyle w:val="Corpsdetexte2"/>
            </w:pPr>
            <w:r w:rsidRPr="00153133">
              <w:rPr>
                <w:noProof/>
              </w:rPr>
              <w:drawing>
                <wp:inline distT="0" distB="0" distL="0" distR="0" wp14:anchorId="6E88DE5E" wp14:editId="5342D707">
                  <wp:extent cx="977265" cy="959654"/>
                  <wp:effectExtent l="0" t="0" r="0" b="0"/>
                  <wp:docPr id="1665238789" name="Graphique 16652387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238789" name="Graphique 1665238789">
                            <a:extLst>
                              <a:ext uri="{C183D7F6-B498-43B3-948B-1728B52AA6E4}">
                                <adec:decorative xmlns:adec="http://schemas.microsoft.com/office/drawing/2017/decorative" val="1"/>
                              </a:ext>
                            </a:extLst>
                          </pic:cNvPr>
                          <pic:cNvPicPr/>
                        </pic:nvPicPr>
                        <pic:blipFill rotWithShape="1">
                          <a:blip r:embed="rId15" cstate="print">
                            <a:extLst>
                              <a:ext uri="{28A0092B-C50C-407E-A947-70E740481C1C}">
                                <a14:useLocalDpi xmlns:a14="http://schemas.microsoft.com/office/drawing/2010/main" val="0"/>
                              </a:ext>
                            </a:extLst>
                          </a:blip>
                          <a:srcRect l="5655" t="7356"/>
                          <a:stretch/>
                        </pic:blipFill>
                        <pic:spPr bwMode="auto">
                          <a:xfrm>
                            <a:off x="0" y="0"/>
                            <a:ext cx="977705" cy="960086"/>
                          </a:xfrm>
                          <a:prstGeom prst="rect">
                            <a:avLst/>
                          </a:prstGeom>
                          <a:ln>
                            <a:noFill/>
                          </a:ln>
                          <a:extLst>
                            <a:ext uri="{53640926-AAD7-44D8-BBD7-CCE9431645EC}">
                              <a14:shadowObscured xmlns:a14="http://schemas.microsoft.com/office/drawing/2010/main"/>
                            </a:ext>
                          </a:extLst>
                        </pic:spPr>
                      </pic:pic>
                    </a:graphicData>
                  </a:graphic>
                </wp:inline>
              </w:drawing>
            </w:r>
          </w:p>
        </w:tc>
      </w:tr>
      <w:tr w:rsidR="006632EC" w:rsidRPr="00204AD7" w14:paraId="7ED080CC" w14:textId="77777777" w:rsidTr="00204AD7">
        <w:trPr>
          <w:trHeight w:val="960"/>
        </w:trPr>
        <w:tc>
          <w:tcPr>
            <w:tcW w:w="5000" w:type="pct"/>
          </w:tcPr>
          <w:p w14:paraId="6033224F" w14:textId="77777777" w:rsidR="006632EC" w:rsidRPr="00AC6370" w:rsidRDefault="006632EC" w:rsidP="00AC6370">
            <w:pPr>
              <w:pStyle w:val="Corpsdetexte3"/>
            </w:pPr>
            <w:r w:rsidRPr="00AC6370">
              <w:t>Matteo Luigi Piricò</w:t>
            </w:r>
          </w:p>
          <w:p w14:paraId="44D65685" w14:textId="77777777" w:rsidR="00A24F2B" w:rsidRPr="00AC6370" w:rsidRDefault="00A24F2B" w:rsidP="00AC6370">
            <w:pPr>
              <w:pStyle w:val="Corpsdetexte3"/>
            </w:pPr>
            <w:r w:rsidRPr="00AC6370">
              <w:t>Expert cantonal en sciences de l’éducation pour l’école obligatoire</w:t>
            </w:r>
          </w:p>
          <w:p w14:paraId="616DAC03" w14:textId="15E71AB5" w:rsidR="00843659" w:rsidRPr="00AC6370" w:rsidRDefault="00A24F2B" w:rsidP="00AC6370">
            <w:pPr>
              <w:pStyle w:val="Corpsdetexte3"/>
            </w:pPr>
            <w:r w:rsidRPr="00AC6370">
              <w:t>Chef de projet pour le </w:t>
            </w:r>
            <w:r w:rsidRPr="00AD5676">
              <w:rPr>
                <w:i/>
                <w:iCs/>
              </w:rPr>
              <w:t>Piano di studio</w:t>
            </w:r>
            <w:r w:rsidRPr="00AC6370">
              <w:t xml:space="preserve"> de l’école obligatoire tessinoise</w:t>
            </w:r>
          </w:p>
          <w:p w14:paraId="24B8212B" w14:textId="7D7DE2AB" w:rsidR="006632EC" w:rsidRPr="00AC6370" w:rsidRDefault="006632EC" w:rsidP="00AC6370">
            <w:pPr>
              <w:pStyle w:val="Corpsdetexte3"/>
            </w:pPr>
            <w:r w:rsidRPr="00AC6370">
              <w:t>Professeur associé en didactique générale et didactique de la musique</w:t>
            </w:r>
          </w:p>
          <w:p w14:paraId="46DD3AC0" w14:textId="77777777" w:rsidR="006632EC" w:rsidRPr="00AC6370" w:rsidRDefault="006632EC" w:rsidP="00AC6370">
            <w:pPr>
              <w:pStyle w:val="Corpsdetexte3"/>
            </w:pPr>
            <w:r w:rsidRPr="00AC6370">
              <w:t>Département formation et apprentissage, Haute école pédagogique DFA-ASP</w:t>
            </w:r>
          </w:p>
          <w:p w14:paraId="6CF35BA7" w14:textId="0D5342E6" w:rsidR="002051B8" w:rsidRPr="00AC6370" w:rsidRDefault="002051B8" w:rsidP="00AC6370">
            <w:pPr>
              <w:pStyle w:val="Corpsdetexte3"/>
            </w:pPr>
            <w:r w:rsidRPr="00AC6370">
              <w:t>Centre de compétences Besoins éducatifs, école et société (BESS)</w:t>
            </w:r>
          </w:p>
          <w:p w14:paraId="3023A035" w14:textId="1FFC219C" w:rsidR="006632EC" w:rsidRPr="00AC6370" w:rsidRDefault="006632EC" w:rsidP="00AC6370">
            <w:pPr>
              <w:pStyle w:val="Corpsdetexte3"/>
            </w:pPr>
            <w:r w:rsidRPr="00AC6370">
              <w:t xml:space="preserve">Haute école spécialisée de </w:t>
            </w:r>
            <w:r w:rsidR="00052D67" w:rsidRPr="00AC6370">
              <w:t xml:space="preserve">la </w:t>
            </w:r>
            <w:r w:rsidRPr="00AC6370">
              <w:t>Suisse italienne SUPSI</w:t>
            </w:r>
          </w:p>
          <w:p w14:paraId="61C5DD87" w14:textId="60F1FEF5" w:rsidR="006632EC" w:rsidRPr="00AC6370" w:rsidRDefault="006632EC" w:rsidP="00AC6370">
            <w:pPr>
              <w:pStyle w:val="Corpsdetexte3"/>
              <w:rPr>
                <w:rStyle w:val="Lienhypertexte"/>
              </w:rPr>
            </w:pPr>
            <w:hyperlink r:id="rId16" w:history="1">
              <w:r w:rsidRPr="00AC6370">
                <w:rPr>
                  <w:rStyle w:val="Lienhypertexte"/>
                </w:rPr>
                <w:t>matteo.pirico@supsi.ch</w:t>
              </w:r>
            </w:hyperlink>
            <w:r w:rsidRPr="00AC6370">
              <w:rPr>
                <w:rStyle w:val="Lienhypertexte"/>
              </w:rPr>
              <w:t xml:space="preserve"> </w:t>
            </w:r>
          </w:p>
        </w:tc>
      </w:tr>
    </w:tbl>
    <w:p w14:paraId="3F977BB2" w14:textId="59494B1B" w:rsidR="008C136F" w:rsidRPr="00D27A27" w:rsidRDefault="008C136F" w:rsidP="00291C05">
      <w:pPr>
        <w:pStyle w:val="Titre1"/>
        <w:rPr>
          <w:lang w:val="en-US"/>
        </w:rPr>
      </w:pPr>
      <w:proofErr w:type="spellStart"/>
      <w:r w:rsidRPr="00D27A27">
        <w:rPr>
          <w:lang w:val="en-US"/>
        </w:rPr>
        <w:t>Références</w:t>
      </w:r>
      <w:proofErr w:type="spellEnd"/>
    </w:p>
    <w:p w14:paraId="31713EDF" w14:textId="2202B1E0" w:rsidR="008C136F" w:rsidRPr="000570FE" w:rsidRDefault="008C136F" w:rsidP="00ED56B6">
      <w:pPr>
        <w:pStyle w:val="Bibliographie"/>
        <w:suppressAutoHyphens/>
        <w:rPr>
          <w:lang w:val="it-CH"/>
        </w:rPr>
      </w:pPr>
      <w:r w:rsidRPr="00D27A27">
        <w:rPr>
          <w:lang w:val="en-US"/>
        </w:rPr>
        <w:t>Armstrong, T. (2012).</w:t>
      </w:r>
      <w:r w:rsidR="006D5EE6">
        <w:rPr>
          <w:rFonts w:cs="Cambria"/>
          <w:lang w:val="en-US"/>
        </w:rPr>
        <w:t xml:space="preserve"> </w:t>
      </w:r>
      <w:r w:rsidRPr="000570FE">
        <w:rPr>
          <w:i/>
          <w:iCs/>
          <w:lang w:val="en-US"/>
        </w:rPr>
        <w:t>Neurodiversity in the classroom</w:t>
      </w:r>
      <w:r w:rsidRPr="00D27A27">
        <w:rPr>
          <w:lang w:val="en-US"/>
        </w:rPr>
        <w:t xml:space="preserve">. </w:t>
      </w:r>
      <w:r w:rsidRPr="000570FE">
        <w:rPr>
          <w:lang w:val="it-CH"/>
        </w:rPr>
        <w:t>ASCD.</w:t>
      </w:r>
    </w:p>
    <w:p w14:paraId="6085B75E" w14:textId="1AA45570" w:rsidR="008C136F" w:rsidRPr="00D27A27" w:rsidRDefault="008C136F" w:rsidP="00ED56B6">
      <w:pPr>
        <w:pStyle w:val="Bibliographie"/>
        <w:suppressAutoHyphens/>
        <w:rPr>
          <w:lang w:val="it-CH"/>
        </w:rPr>
      </w:pPr>
      <w:r w:rsidRPr="00D27A27">
        <w:rPr>
          <w:lang w:val="it-CH"/>
        </w:rPr>
        <w:t>Baldacci, M. (2008).</w:t>
      </w:r>
      <w:r w:rsidR="006D5EE6">
        <w:rPr>
          <w:rFonts w:cs="Cambria"/>
          <w:lang w:val="it-CH"/>
        </w:rPr>
        <w:t xml:space="preserve"> </w:t>
      </w:r>
      <w:r w:rsidRPr="000570FE">
        <w:rPr>
          <w:i/>
          <w:iCs/>
          <w:lang w:val="it-CH"/>
        </w:rPr>
        <w:t>Una scuola a misura d’alunno</w:t>
      </w:r>
      <w:r w:rsidRPr="00D27A27">
        <w:rPr>
          <w:lang w:val="it-CH"/>
        </w:rPr>
        <w:t>. UTET</w:t>
      </w:r>
      <w:r w:rsidR="00F240FB">
        <w:rPr>
          <w:lang w:val="it-CH"/>
        </w:rPr>
        <w:t xml:space="preserve"> </w:t>
      </w:r>
      <w:r w:rsidR="00F240FB" w:rsidRPr="00F240FB">
        <w:rPr>
          <w:lang w:val="it-CH"/>
        </w:rPr>
        <w:t>Università</w:t>
      </w:r>
      <w:r w:rsidRPr="00D27A27">
        <w:rPr>
          <w:lang w:val="it-CH"/>
        </w:rPr>
        <w:t>.</w:t>
      </w:r>
    </w:p>
    <w:p w14:paraId="04D8807F" w14:textId="5FFC7A3B" w:rsidR="008C136F" w:rsidRPr="00D27A27" w:rsidRDefault="008C136F" w:rsidP="00ED56B6">
      <w:pPr>
        <w:pStyle w:val="Bibliographie"/>
        <w:suppressAutoHyphens/>
        <w:rPr>
          <w:lang w:val="it-CH"/>
        </w:rPr>
      </w:pPr>
      <w:r w:rsidRPr="00D27A27">
        <w:rPr>
          <w:lang w:val="it-CH"/>
        </w:rPr>
        <w:t>Baldacci, M. (2012). Scuola, lavoro e democrazia. In M. Baldacci &amp; A. De Simone</w:t>
      </w:r>
      <w:r w:rsidR="00F240FB">
        <w:rPr>
          <w:lang w:val="it-CH"/>
        </w:rPr>
        <w:t xml:space="preserve"> (Éds)</w:t>
      </w:r>
      <w:r w:rsidRPr="00D27A27">
        <w:rPr>
          <w:lang w:val="it-CH"/>
        </w:rPr>
        <w:t xml:space="preserve">, La formazione </w:t>
      </w:r>
      <w:r w:rsidRPr="000570FE">
        <w:rPr>
          <w:i/>
          <w:iCs/>
          <w:lang w:val="it-CH"/>
        </w:rPr>
        <w:t>dell’umano. Bildung e giovani in una prospettiva europea</w:t>
      </w:r>
      <w:r w:rsidRPr="00D27A27">
        <w:rPr>
          <w:lang w:val="it-CH"/>
        </w:rPr>
        <w:t xml:space="preserve"> (pp.</w:t>
      </w:r>
      <w:r w:rsidR="00A35551">
        <w:rPr>
          <w:rFonts w:cs="Open Sans SemiCondensed"/>
          <w:lang w:val="it-CH"/>
        </w:rPr>
        <w:t> </w:t>
      </w:r>
      <w:r w:rsidR="00792DDB" w:rsidRPr="00792DDB">
        <w:rPr>
          <w:rFonts w:cs="Open Sans SemiCondensed"/>
          <w:lang w:val="it-CH"/>
        </w:rPr>
        <w:t>23-</w:t>
      </w:r>
      <w:r w:rsidRPr="00D27A27">
        <w:rPr>
          <w:lang w:val="it-CH"/>
        </w:rPr>
        <w:t>38). Consiglio Regionale delle Marche.</w:t>
      </w:r>
    </w:p>
    <w:p w14:paraId="00C63878" w14:textId="14389585" w:rsidR="008C136F" w:rsidRPr="00D27A27" w:rsidRDefault="008C136F" w:rsidP="00ED56B6">
      <w:pPr>
        <w:pStyle w:val="Bibliographie"/>
        <w:suppressAutoHyphens/>
        <w:rPr>
          <w:lang w:val="it-CH"/>
        </w:rPr>
      </w:pPr>
      <w:r w:rsidRPr="005233F1">
        <w:rPr>
          <w:lang w:val="it-CH"/>
        </w:rPr>
        <w:t>Booth, T.</w:t>
      </w:r>
      <w:r w:rsidR="00F240FB">
        <w:rPr>
          <w:lang w:val="it-CH"/>
        </w:rPr>
        <w:t>,</w:t>
      </w:r>
      <w:r w:rsidRPr="005233F1">
        <w:rPr>
          <w:lang w:val="it-CH"/>
        </w:rPr>
        <w:t xml:space="preserve"> </w:t>
      </w:r>
      <w:r w:rsidR="004E64F3" w:rsidRPr="005233F1">
        <w:rPr>
          <w:lang w:val="it-CH"/>
        </w:rPr>
        <w:t xml:space="preserve">&amp; </w:t>
      </w:r>
      <w:r w:rsidRPr="005233F1">
        <w:rPr>
          <w:lang w:val="it-CH"/>
        </w:rPr>
        <w:t>Ainscow, M. (2014).</w:t>
      </w:r>
      <w:r w:rsidRPr="005233F1">
        <w:rPr>
          <w:rFonts w:cs="Cambria"/>
          <w:lang w:val="it-CH"/>
        </w:rPr>
        <w:t> </w:t>
      </w:r>
      <w:r w:rsidRPr="000570FE">
        <w:rPr>
          <w:i/>
          <w:iCs/>
          <w:lang w:val="it-CH"/>
        </w:rPr>
        <w:t>Nuovo Index per l’inclusione</w:t>
      </w:r>
      <w:r w:rsidRPr="00D27A27">
        <w:rPr>
          <w:rFonts w:cs="Cambria"/>
          <w:lang w:val="it-CH"/>
        </w:rPr>
        <w:t> </w:t>
      </w:r>
      <w:r w:rsidRPr="00D27A27">
        <w:rPr>
          <w:lang w:val="it-CH"/>
        </w:rPr>
        <w:t>(a cura di</w:t>
      </w:r>
      <w:r w:rsidR="00A35551">
        <w:rPr>
          <w:lang w:val="it-CH"/>
        </w:rPr>
        <w:t> </w:t>
      </w:r>
      <w:r w:rsidRPr="00D27A27">
        <w:rPr>
          <w:lang w:val="it-CH"/>
        </w:rPr>
        <w:t>F.</w:t>
      </w:r>
      <w:r w:rsidR="00A35551">
        <w:rPr>
          <w:lang w:val="it-CH"/>
        </w:rPr>
        <w:t> </w:t>
      </w:r>
      <w:r w:rsidRPr="00D27A27">
        <w:rPr>
          <w:lang w:val="it-CH"/>
        </w:rPr>
        <w:t>Dovigo). Carocci.</w:t>
      </w:r>
    </w:p>
    <w:p w14:paraId="4F710D23" w14:textId="77777777" w:rsidR="008C136F" w:rsidRPr="00D27A27" w:rsidRDefault="008C136F" w:rsidP="00ED56B6">
      <w:pPr>
        <w:pStyle w:val="Bibliographie"/>
        <w:suppressAutoHyphens/>
        <w:rPr>
          <w:lang w:val="it-CH"/>
        </w:rPr>
      </w:pPr>
      <w:r w:rsidRPr="00D27A27">
        <w:rPr>
          <w:lang w:val="it-CH"/>
        </w:rPr>
        <w:t>Castoldi, M. (2016).</w:t>
      </w:r>
      <w:r w:rsidRPr="00D27A27">
        <w:rPr>
          <w:rFonts w:cs="Cambria"/>
          <w:lang w:val="it-CH"/>
        </w:rPr>
        <w:t> </w:t>
      </w:r>
      <w:r w:rsidRPr="000570FE">
        <w:rPr>
          <w:i/>
          <w:iCs/>
          <w:lang w:val="it-CH"/>
        </w:rPr>
        <w:t>Valutare e certificare le competenze</w:t>
      </w:r>
      <w:r w:rsidRPr="00D27A27">
        <w:rPr>
          <w:lang w:val="it-CH"/>
        </w:rPr>
        <w:t>. Carocci.</w:t>
      </w:r>
    </w:p>
    <w:p w14:paraId="3F11E4BD" w14:textId="77777777" w:rsidR="008C136F" w:rsidRPr="00D27A27" w:rsidRDefault="008C136F" w:rsidP="00ED56B6">
      <w:pPr>
        <w:pStyle w:val="Bibliographie"/>
        <w:suppressAutoHyphens/>
        <w:rPr>
          <w:lang w:val="it-CH"/>
        </w:rPr>
      </w:pPr>
      <w:r w:rsidRPr="00D27A27">
        <w:rPr>
          <w:lang w:val="it-CH"/>
        </w:rPr>
        <w:t>Cottini, L. (2019).</w:t>
      </w:r>
      <w:r w:rsidRPr="00D27A27">
        <w:rPr>
          <w:rFonts w:cs="Cambria"/>
          <w:lang w:val="it-CH"/>
        </w:rPr>
        <w:t> </w:t>
      </w:r>
      <w:r w:rsidRPr="000570FE">
        <w:rPr>
          <w:i/>
          <w:iCs/>
          <w:lang w:val="it-CH"/>
        </w:rPr>
        <w:t>Universal Design for Learning e curricolo inclusivo</w:t>
      </w:r>
      <w:r w:rsidRPr="00D27A27">
        <w:rPr>
          <w:lang w:val="it-CH"/>
        </w:rPr>
        <w:t>. Giunti.</w:t>
      </w:r>
    </w:p>
    <w:p w14:paraId="2C80F09E" w14:textId="77777777" w:rsidR="008C136F" w:rsidRPr="005F6B5E" w:rsidRDefault="008C136F" w:rsidP="00ED56B6">
      <w:pPr>
        <w:pStyle w:val="Bibliographie"/>
        <w:suppressAutoHyphens/>
        <w:rPr>
          <w:lang w:val="it-CH"/>
        </w:rPr>
      </w:pPr>
      <w:r w:rsidRPr="00D27A27">
        <w:rPr>
          <w:lang w:val="it-CH"/>
        </w:rPr>
        <w:t>Demo, H. (2016).</w:t>
      </w:r>
      <w:r w:rsidRPr="00D27A27">
        <w:rPr>
          <w:rFonts w:cs="Cambria"/>
          <w:lang w:val="it-CH"/>
        </w:rPr>
        <w:t> </w:t>
      </w:r>
      <w:r w:rsidRPr="000570FE">
        <w:rPr>
          <w:i/>
          <w:iCs/>
          <w:lang w:val="it-CH"/>
        </w:rPr>
        <w:t>Didattica aperta e inclusione</w:t>
      </w:r>
      <w:r w:rsidRPr="00D27A27">
        <w:rPr>
          <w:lang w:val="it-CH"/>
        </w:rPr>
        <w:t xml:space="preserve">. </w:t>
      </w:r>
      <w:r w:rsidRPr="005F6B5E">
        <w:rPr>
          <w:lang w:val="it-CH"/>
        </w:rPr>
        <w:t>Erickson.</w:t>
      </w:r>
    </w:p>
    <w:p w14:paraId="584CAF0D" w14:textId="727FBA76" w:rsidR="00D540CC" w:rsidRPr="005233F1" w:rsidRDefault="00D540CC" w:rsidP="00ED56B6">
      <w:pPr>
        <w:pStyle w:val="Bibliographie"/>
        <w:suppressAutoHyphens/>
        <w:rPr>
          <w:lang w:val="it-CH"/>
        </w:rPr>
      </w:pPr>
      <w:r w:rsidRPr="00204AD7">
        <w:rPr>
          <w:lang w:val="it-CH"/>
        </w:rPr>
        <w:t>Dipartimento dell'educazione, della cultura e dello sport</w:t>
      </w:r>
      <w:r w:rsidRPr="00210577">
        <w:rPr>
          <w:lang w:val="it-CH"/>
        </w:rPr>
        <w:t xml:space="preserve"> </w:t>
      </w:r>
      <w:r w:rsidRPr="00210577">
        <w:rPr>
          <w:rFonts w:cs="Open Sans SemiCondensed"/>
          <w:lang w:val="it-CH"/>
        </w:rPr>
        <w:t>[</w:t>
      </w:r>
      <w:r w:rsidRPr="00210577">
        <w:rPr>
          <w:lang w:val="it-CH"/>
        </w:rPr>
        <w:t>DECS</w:t>
      </w:r>
      <w:r>
        <w:rPr>
          <w:rFonts w:cs="Open Sans SemiCondensed"/>
          <w:lang w:val="it-CH"/>
        </w:rPr>
        <w:t>]</w:t>
      </w:r>
      <w:r>
        <w:rPr>
          <w:lang w:val="it-CH"/>
        </w:rPr>
        <w:t>.</w:t>
      </w:r>
      <w:r w:rsidRPr="00D27A27">
        <w:rPr>
          <w:lang w:val="it-CH"/>
        </w:rPr>
        <w:t xml:space="preserve"> </w:t>
      </w:r>
      <w:r>
        <w:rPr>
          <w:lang w:val="it-CH"/>
        </w:rPr>
        <w:t>(2022</w:t>
      </w:r>
      <w:r w:rsidRPr="000570FE">
        <w:rPr>
          <w:i/>
          <w:iCs/>
          <w:lang w:val="it-CH"/>
        </w:rPr>
        <w:t xml:space="preserve">). </w:t>
      </w:r>
      <w:r w:rsidRPr="007277B3">
        <w:rPr>
          <w:i/>
          <w:iCs/>
          <w:lang w:val="it-CH"/>
        </w:rPr>
        <w:t>Piano di studio della scuola dell’obbligo ticinese</w:t>
      </w:r>
      <w:r w:rsidRPr="00D27A27">
        <w:rPr>
          <w:lang w:val="it-CH"/>
        </w:rPr>
        <w:t>.</w:t>
      </w:r>
      <w:r w:rsidRPr="00D27A27">
        <w:rPr>
          <w:rFonts w:cs="Cambria"/>
          <w:lang w:val="it-CH"/>
        </w:rPr>
        <w:t> </w:t>
      </w:r>
      <w:r>
        <w:fldChar w:fldCharType="begin"/>
      </w:r>
      <w:r w:rsidRPr="00B208D4">
        <w:rPr>
          <w:lang w:val="it-IT"/>
        </w:rPr>
        <w:instrText>HYPERLINK "https://pianodistudio.edu.ti.ch/"</w:instrText>
      </w:r>
      <w:r>
        <w:fldChar w:fldCharType="separate"/>
      </w:r>
      <w:r w:rsidRPr="00D27A27">
        <w:rPr>
          <w:rStyle w:val="Lienhypertexte"/>
          <w:rFonts w:asciiTheme="minorHAnsi" w:hAnsiTheme="minorHAnsi"/>
          <w:lang w:val="it-CH"/>
        </w:rPr>
        <w:t>https://pianodistudio.edu.ti.ch</w:t>
      </w:r>
      <w:r>
        <w:fldChar w:fldCharType="end"/>
      </w:r>
    </w:p>
    <w:p w14:paraId="699B9B96" w14:textId="67265B69" w:rsidR="008C136F" w:rsidRPr="00AC6370" w:rsidRDefault="008C136F" w:rsidP="00541FE1">
      <w:pPr>
        <w:pStyle w:val="Bibliographie"/>
      </w:pPr>
      <w:r w:rsidRPr="00D27A27">
        <w:rPr>
          <w:lang w:val="it-CH"/>
        </w:rPr>
        <w:lastRenderedPageBreak/>
        <w:t>Dipartimento dell’educazione, della cultura e dello sport</w:t>
      </w:r>
      <w:r w:rsidR="009B4E9E">
        <w:rPr>
          <w:lang w:val="it-CH"/>
        </w:rPr>
        <w:t xml:space="preserve"> </w:t>
      </w:r>
      <w:r w:rsidR="009B4E9E">
        <w:rPr>
          <w:rFonts w:cs="Open Sans SemiCondensed"/>
          <w:lang w:val="it-CH"/>
        </w:rPr>
        <w:t>[DECS].</w:t>
      </w:r>
      <w:r w:rsidRPr="00D27A27">
        <w:rPr>
          <w:lang w:val="it-CH"/>
        </w:rPr>
        <w:t xml:space="preserve"> (2024</w:t>
      </w:r>
      <w:r w:rsidRPr="000570FE">
        <w:rPr>
          <w:i/>
          <w:iCs/>
          <w:lang w:val="it-CH"/>
        </w:rPr>
        <w:t>).</w:t>
      </w:r>
      <w:r w:rsidRPr="000570FE">
        <w:rPr>
          <w:rFonts w:cs="Cambria"/>
          <w:i/>
          <w:iCs/>
          <w:lang w:val="it-CH"/>
        </w:rPr>
        <w:t> </w:t>
      </w:r>
      <w:r w:rsidRPr="007277B3">
        <w:rPr>
          <w:i/>
          <w:iCs/>
          <w:lang w:val="it-CH"/>
        </w:rPr>
        <w:t>Inclusione e accessibilità nel sistema scolastico ticinese</w:t>
      </w:r>
      <w:r w:rsidRPr="00D27A27">
        <w:rPr>
          <w:lang w:val="it-CH"/>
        </w:rPr>
        <w:t>.</w:t>
      </w:r>
      <w:r w:rsidR="002D5B55">
        <w:rPr>
          <w:lang w:val="it-CH"/>
        </w:rPr>
        <w:t xml:space="preserve"> </w:t>
      </w:r>
      <w:r w:rsidR="009A1CF8" w:rsidRPr="000570FE">
        <w:rPr>
          <w:lang w:val="it-CH"/>
        </w:rPr>
        <w:t>Divisione della scuola Sezione della pedagogia speciale</w:t>
      </w:r>
      <w:r w:rsidR="00786F0C">
        <w:rPr>
          <w:lang w:val="it-CH"/>
        </w:rPr>
        <w:t xml:space="preserve">. </w:t>
      </w:r>
      <w:hyperlink r:id="rId17" w:history="1">
        <w:r w:rsidR="005F419C" w:rsidRPr="00AC6370">
          <w:rPr>
            <w:rStyle w:val="Lienhypertexte"/>
          </w:rPr>
          <w:t>https://m3.ti.ch/COMUNICAZIONI/241151/1_DECS%20Inclusione%20e%20accessibilità%20nel%20sistema%20scolastico%20ticinese.pdf</w:t>
        </w:r>
      </w:hyperlink>
      <w:r w:rsidR="005F419C" w:rsidRPr="00AC6370">
        <w:t xml:space="preserve"> </w:t>
      </w:r>
    </w:p>
    <w:p w14:paraId="11ACC08E" w14:textId="0DF54DEF" w:rsidR="008C136F" w:rsidRPr="00AC6370" w:rsidRDefault="00A63200" w:rsidP="00541FE1">
      <w:pPr>
        <w:pStyle w:val="Bibliographie"/>
      </w:pPr>
      <w:r w:rsidRPr="00786F0C">
        <w:rPr>
          <w:lang w:val="en-US"/>
        </w:rPr>
        <w:t xml:space="preserve">European Agency for Development in Special Needs Education </w:t>
      </w:r>
      <w:r w:rsidRPr="00786F0C">
        <w:rPr>
          <w:rFonts w:cs="Open Sans SemiCondensed"/>
          <w:lang w:val="en-US"/>
        </w:rPr>
        <w:t>[</w:t>
      </w:r>
      <w:r w:rsidR="008C136F" w:rsidRPr="00786F0C">
        <w:rPr>
          <w:lang w:val="en-US"/>
        </w:rPr>
        <w:t>EADSNE</w:t>
      </w:r>
      <w:r w:rsidRPr="00786F0C">
        <w:rPr>
          <w:rFonts w:cs="Open Sans SemiCondensed"/>
          <w:lang w:val="en-US"/>
        </w:rPr>
        <w:t>]</w:t>
      </w:r>
      <w:r w:rsidRPr="00786F0C">
        <w:rPr>
          <w:lang w:val="en-US"/>
        </w:rPr>
        <w:t>.</w:t>
      </w:r>
      <w:r w:rsidR="008C136F" w:rsidRPr="00786F0C">
        <w:rPr>
          <w:lang w:val="en-US"/>
        </w:rPr>
        <w:t xml:space="preserve"> </w:t>
      </w:r>
      <w:r w:rsidR="008C136F" w:rsidRPr="005233F1">
        <w:t>(2012). </w:t>
      </w:r>
      <w:r w:rsidR="00C94EEC" w:rsidRPr="000570FE">
        <w:t>Formation des enseignants pour l’inclusion (FEPI)</w:t>
      </w:r>
      <w:r w:rsidR="00F240FB">
        <w:t> :</w:t>
      </w:r>
      <w:r w:rsidR="00C94EEC" w:rsidRPr="000570FE">
        <w:t xml:space="preserve"> </w:t>
      </w:r>
      <w:r w:rsidR="008C136F" w:rsidRPr="000570FE">
        <w:rPr>
          <w:i/>
          <w:iCs/>
        </w:rPr>
        <w:t>Profil</w:t>
      </w:r>
      <w:r w:rsidR="002226D4" w:rsidRPr="000570FE">
        <w:rPr>
          <w:i/>
          <w:iCs/>
        </w:rPr>
        <w:t xml:space="preserve"> des enseignants inclusifs</w:t>
      </w:r>
      <w:r w:rsidR="002226D4" w:rsidRPr="000570FE">
        <w:t>.</w:t>
      </w:r>
      <w:r w:rsidR="004E64F3" w:rsidRPr="000570FE">
        <w:t xml:space="preserve"> </w:t>
      </w:r>
      <w:hyperlink r:id="rId18" w:history="1">
        <w:r w:rsidR="00194A2D" w:rsidRPr="00AC6370">
          <w:rPr>
            <w:rStyle w:val="Lienhypertexte"/>
          </w:rPr>
          <w:t>https://www.european-agency.org/sites/default/files/profile_of_inclusive_teachers_fr.pdf</w:t>
        </w:r>
      </w:hyperlink>
      <w:r w:rsidR="00194A2D" w:rsidRPr="00AC6370">
        <w:t xml:space="preserve"> </w:t>
      </w:r>
    </w:p>
    <w:p w14:paraId="2B63D31E" w14:textId="7E0FE4E4" w:rsidR="008C136F" w:rsidRPr="005233F1" w:rsidRDefault="008C136F" w:rsidP="00541FE1">
      <w:pPr>
        <w:pStyle w:val="Bibliographie"/>
      </w:pPr>
      <w:r w:rsidRPr="005233F1">
        <w:rPr>
          <w:lang w:val="de-CH"/>
        </w:rPr>
        <w:t>Gremion, F., Rytz, V.</w:t>
      </w:r>
      <w:r w:rsidR="00F240FB">
        <w:rPr>
          <w:lang w:val="de-CH"/>
        </w:rPr>
        <w:t>,</w:t>
      </w:r>
      <w:r w:rsidR="004627A0" w:rsidRPr="005233F1">
        <w:rPr>
          <w:lang w:val="de-CH"/>
        </w:rPr>
        <w:t> &amp;</w:t>
      </w:r>
      <w:r w:rsidRPr="005233F1">
        <w:rPr>
          <w:lang w:val="de-CH"/>
        </w:rPr>
        <w:t xml:space="preserve"> Fuchs Fateh, A. (</w:t>
      </w:r>
      <w:r w:rsidR="004627A0" w:rsidRPr="005233F1">
        <w:rPr>
          <w:lang w:val="de-CH"/>
        </w:rPr>
        <w:t>2026</w:t>
      </w:r>
      <w:r w:rsidRPr="005233F1">
        <w:rPr>
          <w:lang w:val="de-CH"/>
        </w:rPr>
        <w:t xml:space="preserve">). </w:t>
      </w:r>
      <w:r w:rsidRPr="00D27A27">
        <w:t>De l’observation au projet de développement.</w:t>
      </w:r>
      <w:r w:rsidR="006D5EE6">
        <w:rPr>
          <w:rFonts w:cs="Cambria"/>
        </w:rPr>
        <w:t xml:space="preserve"> </w:t>
      </w:r>
      <w:r w:rsidRPr="005233F1">
        <w:rPr>
          <w:i/>
          <w:iCs/>
        </w:rPr>
        <w:t>Revue suisse de pédagogie spécialisée</w:t>
      </w:r>
      <w:r w:rsidR="004C3688" w:rsidRPr="005233F1">
        <w:rPr>
          <w:i/>
          <w:iCs/>
        </w:rPr>
        <w:t>,</w:t>
      </w:r>
      <w:r w:rsidR="0084535D" w:rsidRPr="005233F1">
        <w:rPr>
          <w:i/>
          <w:iCs/>
        </w:rPr>
        <w:t>16</w:t>
      </w:r>
      <w:r w:rsidR="004C3688" w:rsidRPr="005233F1">
        <w:t>(</w:t>
      </w:r>
      <w:r w:rsidR="0084535D" w:rsidRPr="005233F1">
        <w:t>03</w:t>
      </w:r>
      <w:r w:rsidR="004C3688" w:rsidRPr="005233F1">
        <w:t>)</w:t>
      </w:r>
      <w:r w:rsidR="00F240FB">
        <w:t>, 2-7</w:t>
      </w:r>
      <w:r w:rsidR="004C3688" w:rsidRPr="005233F1">
        <w:t xml:space="preserve">. </w:t>
      </w:r>
      <w:hyperlink r:id="rId19" w:history="1">
        <w:r w:rsidR="004C3688" w:rsidRPr="004C3688">
          <w:rPr>
            <w:rStyle w:val="Lienhypertexte"/>
            <w:rFonts w:cs="Open Sans SemiCondensed"/>
          </w:rPr>
          <w:t>https://doi.org/10.57161/r2026-03-01</w:t>
        </w:r>
      </w:hyperlink>
    </w:p>
    <w:p w14:paraId="2FA6DCF9" w14:textId="4E1E5F1E" w:rsidR="008C136F" w:rsidRPr="00D27A27" w:rsidRDefault="008C136F" w:rsidP="00541FE1">
      <w:pPr>
        <w:pStyle w:val="Bibliographie"/>
        <w:rPr>
          <w:lang w:val="it-CH"/>
        </w:rPr>
      </w:pPr>
      <w:proofErr w:type="spellStart"/>
      <w:r w:rsidRPr="00C67D12">
        <w:t>Honeybourne</w:t>
      </w:r>
      <w:proofErr w:type="spellEnd"/>
      <w:r w:rsidRPr="00C67D12">
        <w:t>, V. (2018).</w:t>
      </w:r>
      <w:r w:rsidR="006D5EE6" w:rsidRPr="00C67D12">
        <w:t xml:space="preserve"> </w:t>
      </w:r>
      <w:r w:rsidRPr="000570FE">
        <w:rPr>
          <w:i/>
          <w:iCs/>
          <w:lang w:val="en-US"/>
        </w:rPr>
        <w:t>The neurodiverse classroom: A teacher’s guide to individual learning needs and how to meet them</w:t>
      </w:r>
      <w:r w:rsidRPr="00D27A27">
        <w:rPr>
          <w:lang w:val="en-US"/>
        </w:rPr>
        <w:t xml:space="preserve">. </w:t>
      </w:r>
      <w:r w:rsidRPr="00D27A27">
        <w:rPr>
          <w:lang w:val="it-CH"/>
        </w:rPr>
        <w:t>Jessica Kingsley Publishers.</w:t>
      </w:r>
    </w:p>
    <w:p w14:paraId="2F780357" w14:textId="26F78E08" w:rsidR="008C136F" w:rsidRPr="00D27A27" w:rsidRDefault="008C136F" w:rsidP="00541FE1">
      <w:pPr>
        <w:pStyle w:val="Bibliographie"/>
        <w:rPr>
          <w:lang w:val="fr-FR"/>
        </w:rPr>
      </w:pPr>
      <w:r w:rsidRPr="00D27A27">
        <w:rPr>
          <w:lang w:val="it-CH"/>
        </w:rPr>
        <w:t>Ianes, D.</w:t>
      </w:r>
      <w:r w:rsidR="00F240FB">
        <w:rPr>
          <w:lang w:val="it-CH"/>
        </w:rPr>
        <w:t>,</w:t>
      </w:r>
      <w:r w:rsidR="0084535D" w:rsidRPr="005233F1">
        <w:rPr>
          <w:lang w:val="it-CH"/>
        </w:rPr>
        <w:t> </w:t>
      </w:r>
      <w:r w:rsidR="0084535D">
        <w:rPr>
          <w:lang w:val="it-CH"/>
        </w:rPr>
        <w:t>&amp;</w:t>
      </w:r>
      <w:r w:rsidRPr="00D27A27">
        <w:rPr>
          <w:lang w:val="it-CH"/>
        </w:rPr>
        <w:t xml:space="preserve"> Cramerotti, S. (2019).</w:t>
      </w:r>
      <w:r w:rsidR="006D5EE6">
        <w:rPr>
          <w:rFonts w:cs="Cambria"/>
          <w:lang w:val="it-CH"/>
        </w:rPr>
        <w:t xml:space="preserve"> </w:t>
      </w:r>
      <w:r w:rsidRPr="000570FE">
        <w:rPr>
          <w:i/>
          <w:iCs/>
          <w:lang w:val="it-CH"/>
        </w:rPr>
        <w:t>Profilo di funzionamento su base ICF-CY e Piano educativo individualizzato</w:t>
      </w:r>
      <w:r w:rsidRPr="00D27A27">
        <w:rPr>
          <w:lang w:val="it-CH"/>
        </w:rPr>
        <w:t xml:space="preserve">. </w:t>
      </w:r>
      <w:r w:rsidRPr="00D27A27">
        <w:rPr>
          <w:lang w:val="fr-FR"/>
        </w:rPr>
        <w:t>Erickson.</w:t>
      </w:r>
    </w:p>
    <w:p w14:paraId="2A24F401" w14:textId="488AB979" w:rsidR="008C136F" w:rsidRPr="00D27A27" w:rsidRDefault="008C136F" w:rsidP="00541FE1">
      <w:pPr>
        <w:pStyle w:val="Bibliographie"/>
      </w:pPr>
      <w:r w:rsidRPr="00D27A27">
        <w:t>Mainardi, M. (2021). L’accessibilité pédagogique</w:t>
      </w:r>
      <w:r w:rsidR="0084535D">
        <w:t> </w:t>
      </w:r>
      <w:r w:rsidRPr="00D27A27">
        <w:t>: un catalyseur de pratiques novatrices. In S. Ebersold (</w:t>
      </w:r>
      <w:r w:rsidR="00F240FB">
        <w:t>Éd.</w:t>
      </w:r>
      <w:r w:rsidRPr="00D27A27">
        <w:t>), </w:t>
      </w:r>
      <w:r w:rsidRPr="000570FE">
        <w:rPr>
          <w:i/>
          <w:iCs/>
        </w:rPr>
        <w:t>L’accessibilité ou la réinvention de l’école </w:t>
      </w:r>
      <w:r w:rsidRPr="00D27A27">
        <w:t>(pp.</w:t>
      </w:r>
      <w:r w:rsidR="0084535D">
        <w:t> </w:t>
      </w:r>
      <w:r w:rsidRPr="00D27A27">
        <w:t>83</w:t>
      </w:r>
      <w:r w:rsidRPr="00D27A27">
        <w:noBreakHyphen/>
        <w:t xml:space="preserve">101). ISTE éditions. </w:t>
      </w:r>
    </w:p>
    <w:p w14:paraId="66B18435" w14:textId="576A6190" w:rsidR="008C136F" w:rsidRPr="00D27A27" w:rsidRDefault="008C136F" w:rsidP="00541FE1">
      <w:pPr>
        <w:pStyle w:val="Bibliographie"/>
        <w:rPr>
          <w:lang w:val="it-CH"/>
        </w:rPr>
      </w:pPr>
      <w:r w:rsidRPr="00D27A27">
        <w:t xml:space="preserve">Meirieu, P. (2011). </w:t>
      </w:r>
      <w:r w:rsidRPr="000570FE">
        <w:rPr>
          <w:i/>
          <w:iCs/>
        </w:rPr>
        <w:t>Faire l’</w:t>
      </w:r>
      <w:r w:rsidR="0084535D" w:rsidRPr="000570FE">
        <w:rPr>
          <w:i/>
          <w:iCs/>
        </w:rPr>
        <w:t>é</w:t>
      </w:r>
      <w:r w:rsidRPr="000570FE">
        <w:rPr>
          <w:i/>
          <w:iCs/>
        </w:rPr>
        <w:t>cole, faire la classe</w:t>
      </w:r>
      <w:r w:rsidRPr="00D27A27">
        <w:t xml:space="preserve">. Démocratie et pédagogie. </w:t>
      </w:r>
      <w:r w:rsidRPr="00D27A27">
        <w:rPr>
          <w:lang w:val="it-CH"/>
        </w:rPr>
        <w:t xml:space="preserve">ESF. </w:t>
      </w:r>
    </w:p>
    <w:p w14:paraId="4329C7C9" w14:textId="2511B189" w:rsidR="008C136F" w:rsidRPr="00D27A27" w:rsidRDefault="008C136F" w:rsidP="00506254">
      <w:pPr>
        <w:pStyle w:val="Bibliographie"/>
        <w:rPr>
          <w:lang w:val="it-CH"/>
        </w:rPr>
      </w:pPr>
      <w:r w:rsidRPr="004C3F69">
        <w:rPr>
          <w:lang w:val="it-CH"/>
        </w:rPr>
        <w:t xml:space="preserve">Melchiori, R. (2017). Talento, competenza, </w:t>
      </w:r>
      <w:r w:rsidR="00F240FB" w:rsidRPr="004C3F69">
        <w:rPr>
          <w:lang w:val="it-CH"/>
        </w:rPr>
        <w:t>capacitazione:</w:t>
      </w:r>
      <w:r w:rsidR="00506254" w:rsidRPr="004C3F69">
        <w:rPr>
          <w:lang w:val="it-CH"/>
        </w:rPr>
        <w:t xml:space="preserve"> caratterizzazioni comuni</w:t>
      </w:r>
      <w:r w:rsidR="00F240FB" w:rsidRPr="004C3F69">
        <w:rPr>
          <w:lang w:val="it-CH"/>
        </w:rPr>
        <w:t xml:space="preserve"> </w:t>
      </w:r>
      <w:r w:rsidR="00506254" w:rsidRPr="004C3F69">
        <w:rPr>
          <w:lang w:val="it-CH"/>
        </w:rPr>
        <w:t>per uno schema concettuale operativo</w:t>
      </w:r>
      <w:r w:rsidRPr="004C3F69">
        <w:rPr>
          <w:lang w:val="it-CH"/>
        </w:rPr>
        <w:t>.</w:t>
      </w:r>
      <w:r w:rsidRPr="004C3F69">
        <w:rPr>
          <w:rFonts w:cs="Cambria"/>
          <w:lang w:val="it-CH"/>
        </w:rPr>
        <w:t> </w:t>
      </w:r>
      <w:r w:rsidRPr="004C3F69">
        <w:rPr>
          <w:i/>
          <w:iCs/>
          <w:lang w:val="it-CH"/>
        </w:rPr>
        <w:t>Formazione</w:t>
      </w:r>
      <w:r w:rsidR="00792DDB" w:rsidRPr="004C3F69">
        <w:rPr>
          <w:i/>
          <w:iCs/>
          <w:lang w:val="it-CH"/>
        </w:rPr>
        <w:t xml:space="preserve"> </w:t>
      </w:r>
      <w:r w:rsidRPr="004C3F69">
        <w:rPr>
          <w:i/>
          <w:iCs/>
          <w:lang w:val="it-CH"/>
        </w:rPr>
        <w:t xml:space="preserve">&amp; Insegnamento, </w:t>
      </w:r>
      <w:r w:rsidR="00F241E9" w:rsidRPr="004C3F69">
        <w:rPr>
          <w:i/>
          <w:iCs/>
          <w:lang w:val="it-CH"/>
        </w:rPr>
        <w:t>15</w:t>
      </w:r>
      <w:r w:rsidRPr="004C3F69">
        <w:rPr>
          <w:lang w:val="it-CH"/>
        </w:rPr>
        <w:t>(2), 65-85.</w:t>
      </w:r>
      <w:r w:rsidR="004C3F69">
        <w:rPr>
          <w:lang w:val="it-CH"/>
        </w:rPr>
        <w:t xml:space="preserve"> </w:t>
      </w:r>
      <w:hyperlink r:id="rId20" w:history="1">
        <w:r w:rsidR="004C3F69" w:rsidRPr="00777C22">
          <w:rPr>
            <w:rStyle w:val="Lienhypertexte"/>
            <w:lang w:val="it-CH"/>
          </w:rPr>
          <w:t>https://www.academia.edu/65639221/Talento_competenza_capacitazione_caratterizzazioni_comuni_per_uno_schema_concettuale_operativo</w:t>
        </w:r>
      </w:hyperlink>
    </w:p>
    <w:p w14:paraId="34E23E64" w14:textId="7C65818B" w:rsidR="008C136F" w:rsidRPr="004C25EA" w:rsidRDefault="008C136F" w:rsidP="00541FE1">
      <w:pPr>
        <w:pStyle w:val="Bibliographie"/>
        <w:rPr>
          <w:lang w:val="it-IT"/>
        </w:rPr>
      </w:pPr>
      <w:r w:rsidRPr="003578BE">
        <w:rPr>
          <w:lang w:val="it-CH"/>
        </w:rPr>
        <w:t xml:space="preserve">Mincu, M. (2015). Quale valutazione nell’ambito della differenziazione? </w:t>
      </w:r>
      <w:r w:rsidRPr="004C25EA">
        <w:rPr>
          <w:i/>
          <w:iCs/>
          <w:lang w:val="it-IT"/>
        </w:rPr>
        <w:t>Scuola Ticinese</w:t>
      </w:r>
      <w:r w:rsidRPr="004C25EA">
        <w:rPr>
          <w:lang w:val="it-IT"/>
        </w:rPr>
        <w:t>,</w:t>
      </w:r>
      <w:r w:rsidRPr="004C25EA">
        <w:rPr>
          <w:i/>
          <w:iCs/>
          <w:lang w:val="it-IT"/>
        </w:rPr>
        <w:t xml:space="preserve"> 324</w:t>
      </w:r>
      <w:r w:rsidRPr="004C25EA">
        <w:rPr>
          <w:lang w:val="it-IT"/>
        </w:rPr>
        <w:t>, 23-26.</w:t>
      </w:r>
      <w:r w:rsidR="003578BE" w:rsidRPr="004C25EA">
        <w:rPr>
          <w:lang w:val="it-IT"/>
        </w:rPr>
        <w:t xml:space="preserve"> </w:t>
      </w:r>
      <w:hyperlink r:id="rId21" w:history="1">
        <w:r w:rsidR="003578BE" w:rsidRPr="004C25EA">
          <w:rPr>
            <w:rStyle w:val="Lienhypertexte"/>
            <w:lang w:val="it-IT"/>
          </w:rPr>
          <w:t>ST_324_mincu_quale_valutazione_nell_ambito.pdf</w:t>
        </w:r>
      </w:hyperlink>
    </w:p>
    <w:p w14:paraId="66804A08" w14:textId="78B7B16B" w:rsidR="008C136F" w:rsidRPr="00AC6370" w:rsidRDefault="008C136F" w:rsidP="00541FE1">
      <w:pPr>
        <w:pStyle w:val="Bibliographie"/>
        <w:rPr>
          <w:lang w:val="en-GB"/>
        </w:rPr>
      </w:pPr>
      <w:r w:rsidRPr="004C25EA">
        <w:rPr>
          <w:lang w:val="it-IT"/>
        </w:rPr>
        <w:t xml:space="preserve">Moon, T. R. (2005). </w:t>
      </w:r>
      <w:r w:rsidRPr="00D27A27">
        <w:rPr>
          <w:lang w:val="en-US"/>
        </w:rPr>
        <w:t>The role of assessment in differentiation.</w:t>
      </w:r>
      <w:r w:rsidRPr="00D27A27">
        <w:rPr>
          <w:rFonts w:cs="Cambria"/>
          <w:lang w:val="en-US"/>
        </w:rPr>
        <w:t> </w:t>
      </w:r>
      <w:r w:rsidRPr="000570FE">
        <w:rPr>
          <w:i/>
          <w:iCs/>
          <w:lang w:val="en-US"/>
        </w:rPr>
        <w:t>Theory into Practice, 44</w:t>
      </w:r>
      <w:r w:rsidRPr="00D27A27">
        <w:rPr>
          <w:lang w:val="en-US"/>
        </w:rPr>
        <w:t>(3), 226-233.</w:t>
      </w:r>
      <w:r w:rsidR="00506254">
        <w:rPr>
          <w:lang w:val="en-US"/>
        </w:rPr>
        <w:t xml:space="preserve"> </w:t>
      </w:r>
      <w:hyperlink r:id="rId22" w:history="1">
        <w:r w:rsidR="00F240FB" w:rsidRPr="00777C22">
          <w:rPr>
            <w:rStyle w:val="Lienhypertexte"/>
            <w:lang w:val="en-GB"/>
          </w:rPr>
          <w:t>https://doi.org/10.1207/s15430421tip4403_7</w:t>
        </w:r>
      </w:hyperlink>
      <w:r w:rsidR="00F240FB">
        <w:rPr>
          <w:lang w:val="en-GB"/>
        </w:rPr>
        <w:t xml:space="preserve"> </w:t>
      </w:r>
    </w:p>
    <w:p w14:paraId="62A50E97" w14:textId="7FCC1E4F" w:rsidR="008C136F" w:rsidRPr="00D27A27" w:rsidRDefault="008C136F" w:rsidP="00541FE1">
      <w:pPr>
        <w:pStyle w:val="Bibliographie"/>
        <w:rPr>
          <w:lang w:val="it-CH"/>
        </w:rPr>
      </w:pPr>
      <w:r w:rsidRPr="00A81478">
        <w:rPr>
          <w:lang w:val="it-IT"/>
        </w:rPr>
        <w:t>Nussbaum, M.</w:t>
      </w:r>
      <w:r w:rsidR="00792DDB" w:rsidRPr="00A81478">
        <w:rPr>
          <w:lang w:val="it-IT"/>
        </w:rPr>
        <w:t xml:space="preserve"> </w:t>
      </w:r>
      <w:r w:rsidRPr="00A81478">
        <w:rPr>
          <w:lang w:val="it-IT"/>
        </w:rPr>
        <w:t xml:space="preserve">C. (2001). </w:t>
      </w:r>
      <w:r w:rsidRPr="000570FE">
        <w:rPr>
          <w:i/>
          <w:iCs/>
          <w:lang w:val="it-CH"/>
        </w:rPr>
        <w:t>Diventare persone</w:t>
      </w:r>
      <w:r w:rsidRPr="00D27A27">
        <w:rPr>
          <w:lang w:val="it-CH"/>
        </w:rPr>
        <w:t xml:space="preserve">. Il Mulino. </w:t>
      </w:r>
    </w:p>
    <w:p w14:paraId="7BFDCF5E" w14:textId="369C41E3" w:rsidR="008C136F" w:rsidRPr="00B208D4" w:rsidRDefault="00D207B4" w:rsidP="00D207B4">
      <w:pPr>
        <w:pStyle w:val="Bibliographie"/>
      </w:pPr>
      <w:r w:rsidRPr="00D207B4">
        <w:rPr>
          <w:lang w:val="it-CH"/>
        </w:rPr>
        <w:t>Piricò, M. L., Salvisberg, M. &amp; Giovannini, V. (2023). </w:t>
      </w:r>
      <w:r w:rsidRPr="00D207B4">
        <w:rPr>
          <w:i/>
          <w:iCs/>
          <w:lang w:val="it-CH"/>
        </w:rPr>
        <w:t>La valutazione per competenze. Dalla teoria alla prassi</w:t>
      </w:r>
      <w:r w:rsidRPr="00D207B4">
        <w:rPr>
          <w:lang w:val="it-CH"/>
        </w:rPr>
        <w:t>. Repubblica e Cantone Ticino, Dipartimento dell'educazione, della cultura e dello sport, Divisione della scuola, CERDD</w:t>
      </w:r>
      <w:r w:rsidR="008C136F" w:rsidRPr="00D27A27">
        <w:rPr>
          <w:lang w:val="it-CH"/>
        </w:rPr>
        <w:t xml:space="preserve">. </w:t>
      </w:r>
      <w:hyperlink r:id="rId23" w:history="1">
        <w:r w:rsidR="00F240FB" w:rsidRPr="004C25EA">
          <w:rPr>
            <w:rStyle w:val="Lienhypertexte"/>
          </w:rPr>
          <w:t>https://pianodistudio.edu.ti.ch/wp-content/uploads/2023/11/Valutazione-per-competenze_Dalla_Teoria_alla_Prassi-OK.pdf</w:t>
        </w:r>
      </w:hyperlink>
      <w:r w:rsidR="00F240FB" w:rsidRPr="004C25EA">
        <w:t xml:space="preserve"> </w:t>
      </w:r>
    </w:p>
    <w:p w14:paraId="530943A8" w14:textId="77777777" w:rsidR="008C136F" w:rsidRPr="00A81478" w:rsidRDefault="008C136F" w:rsidP="00541FE1">
      <w:pPr>
        <w:pStyle w:val="Bibliographie"/>
      </w:pPr>
      <w:r w:rsidRPr="00D27A27">
        <w:rPr>
          <w:lang w:val="it-CH"/>
        </w:rPr>
        <w:t>Porcarelli, A. (2020).</w:t>
      </w:r>
      <w:r w:rsidRPr="00D27A27">
        <w:rPr>
          <w:rFonts w:cs="Cambria"/>
          <w:lang w:val="it-CH"/>
        </w:rPr>
        <w:t> </w:t>
      </w:r>
      <w:r w:rsidRPr="000570FE">
        <w:rPr>
          <w:i/>
          <w:iCs/>
          <w:lang w:val="it-CH"/>
        </w:rPr>
        <w:t>Progettare per competenze</w:t>
      </w:r>
      <w:r w:rsidRPr="00D27A27">
        <w:rPr>
          <w:lang w:val="it-CH"/>
        </w:rPr>
        <w:t xml:space="preserve">. </w:t>
      </w:r>
      <w:r w:rsidRPr="00A81478">
        <w:t xml:space="preserve">Diogene </w:t>
      </w:r>
      <w:proofErr w:type="spellStart"/>
      <w:r w:rsidRPr="00A81478">
        <w:t>Multimedia</w:t>
      </w:r>
      <w:proofErr w:type="spellEnd"/>
      <w:r w:rsidRPr="00A81478">
        <w:t xml:space="preserve">. </w:t>
      </w:r>
    </w:p>
    <w:p w14:paraId="25755D46" w14:textId="58888616" w:rsidR="008C136F" w:rsidRPr="004C25EA" w:rsidRDefault="008C136F" w:rsidP="00541FE1">
      <w:pPr>
        <w:pStyle w:val="Bibliographie"/>
        <w:rPr>
          <w:lang w:val="it-IT"/>
        </w:rPr>
      </w:pPr>
      <w:r w:rsidRPr="003578BE">
        <w:t>Rusconi, L. (2025).</w:t>
      </w:r>
      <w:r w:rsidRPr="003578BE">
        <w:rPr>
          <w:rFonts w:cs="Cambria"/>
        </w:rPr>
        <w:t> </w:t>
      </w:r>
      <w:r w:rsidRPr="003578BE">
        <w:rPr>
          <w:i/>
          <w:iCs/>
        </w:rPr>
        <w:t xml:space="preserve">La </w:t>
      </w:r>
      <w:r w:rsidR="003578BE" w:rsidRPr="003578BE">
        <w:rPr>
          <w:i/>
          <w:iCs/>
        </w:rPr>
        <w:t>Conception Universelle de l’Apprentissage (</w:t>
      </w:r>
      <w:r w:rsidRPr="003578BE">
        <w:rPr>
          <w:i/>
          <w:iCs/>
        </w:rPr>
        <w:t>CUA</w:t>
      </w:r>
      <w:r w:rsidR="003578BE" w:rsidRPr="003578BE">
        <w:rPr>
          <w:i/>
          <w:iCs/>
        </w:rPr>
        <w:t xml:space="preserve">) </w:t>
      </w:r>
      <w:r w:rsidRPr="003578BE">
        <w:rPr>
          <w:i/>
          <w:iCs/>
        </w:rPr>
        <w:t>dans la formation des enseignants</w:t>
      </w:r>
      <w:r w:rsidR="003578BE" w:rsidRPr="003578BE">
        <w:rPr>
          <w:i/>
          <w:iCs/>
        </w:rPr>
        <w:t xml:space="preserve"> : Les effets d’une formation à la CUA, fondée sur les neurosciences, sur le développement des compétences des enseignants travaillant en classe d’inclusion </w:t>
      </w:r>
      <w:r w:rsidRPr="003578BE">
        <w:t>[Thèse de doctorat, Université de Fribourg].</w:t>
      </w:r>
      <w:r w:rsidR="003578BE" w:rsidRPr="003578BE">
        <w:t xml:space="preserve"> </w:t>
      </w:r>
      <w:r w:rsidR="003578BE" w:rsidRPr="004C25EA">
        <w:rPr>
          <w:lang w:val="it-IT"/>
        </w:rPr>
        <w:t xml:space="preserve">Folia.Unifr. </w:t>
      </w:r>
      <w:r w:rsidR="003578BE">
        <w:fldChar w:fldCharType="begin"/>
      </w:r>
      <w:r w:rsidR="003578BE" w:rsidRPr="00B208D4">
        <w:rPr>
          <w:lang w:val="it-IT"/>
        </w:rPr>
        <w:instrText>HYPERLINK "https://doi.org/10.51363/unifr.lth.2025.045"</w:instrText>
      </w:r>
      <w:r w:rsidR="003578BE">
        <w:fldChar w:fldCharType="separate"/>
      </w:r>
      <w:r w:rsidR="003578BE" w:rsidRPr="004C25EA">
        <w:rPr>
          <w:rStyle w:val="Lienhypertexte"/>
          <w:lang w:val="it-IT"/>
        </w:rPr>
        <w:t>https://doi.org/10.51363/unifr.lth.2025.045</w:t>
      </w:r>
      <w:r w:rsidR="003578BE">
        <w:fldChar w:fldCharType="end"/>
      </w:r>
      <w:r w:rsidR="003578BE" w:rsidRPr="004C25EA">
        <w:rPr>
          <w:lang w:val="it-IT"/>
        </w:rPr>
        <w:t xml:space="preserve"> </w:t>
      </w:r>
    </w:p>
    <w:p w14:paraId="228806B8" w14:textId="2EAA8C43" w:rsidR="008C136F" w:rsidRPr="00A81478" w:rsidRDefault="008C136F" w:rsidP="00541FE1">
      <w:pPr>
        <w:pStyle w:val="Bibliographie"/>
        <w:rPr>
          <w:lang w:val="en-GB"/>
        </w:rPr>
      </w:pPr>
      <w:r w:rsidRPr="003578BE">
        <w:rPr>
          <w:lang w:val="it-IT"/>
        </w:rPr>
        <w:t>Rusconi, L.</w:t>
      </w:r>
      <w:r w:rsidR="00F240FB" w:rsidRPr="003578BE">
        <w:rPr>
          <w:lang w:val="it-IT"/>
        </w:rPr>
        <w:t>,</w:t>
      </w:r>
      <w:r w:rsidR="00F07E29" w:rsidRPr="003578BE">
        <w:rPr>
          <w:lang w:val="it-IT"/>
        </w:rPr>
        <w:t> &amp;</w:t>
      </w:r>
      <w:r w:rsidRPr="003578BE">
        <w:rPr>
          <w:lang w:val="it-IT"/>
        </w:rPr>
        <w:t xml:space="preserve"> Squillaci, M. (2023). </w:t>
      </w:r>
      <w:r w:rsidRPr="003578BE">
        <w:rPr>
          <w:lang w:val="en-US"/>
        </w:rPr>
        <w:t>Effects of a UDL training course on teachers’ competences.</w:t>
      </w:r>
      <w:r w:rsidRPr="003578BE">
        <w:rPr>
          <w:rFonts w:cs="Cambria"/>
          <w:lang w:val="en-US"/>
        </w:rPr>
        <w:t> </w:t>
      </w:r>
      <w:r w:rsidRPr="003578BE">
        <w:rPr>
          <w:i/>
          <w:iCs/>
          <w:lang w:val="en-GB"/>
        </w:rPr>
        <w:t>Education Sciences, 13</w:t>
      </w:r>
      <w:r w:rsidRPr="003578BE">
        <w:rPr>
          <w:lang w:val="en-GB"/>
        </w:rPr>
        <w:t>(5), 466.</w:t>
      </w:r>
      <w:r w:rsidR="00506254" w:rsidRPr="003578BE">
        <w:rPr>
          <w:lang w:val="en-GB"/>
        </w:rPr>
        <w:t xml:space="preserve"> </w:t>
      </w:r>
      <w:hyperlink r:id="rId24" w:history="1">
        <w:r w:rsidR="00F240FB" w:rsidRPr="003578BE">
          <w:rPr>
            <w:rStyle w:val="Lienhypertexte"/>
            <w:lang w:val="en-GB"/>
          </w:rPr>
          <w:t>https://doi.org/10.3390/educsci13050466</w:t>
        </w:r>
      </w:hyperlink>
      <w:r w:rsidR="00F240FB">
        <w:rPr>
          <w:lang w:val="en-GB"/>
        </w:rPr>
        <w:t xml:space="preserve"> </w:t>
      </w:r>
    </w:p>
    <w:p w14:paraId="577694D6" w14:textId="63FD1D82" w:rsidR="008C136F" w:rsidRPr="008C136F" w:rsidRDefault="008C136F" w:rsidP="00541FE1">
      <w:pPr>
        <w:pStyle w:val="Bibliographie"/>
        <w:rPr>
          <w:lang w:val="it-CH"/>
        </w:rPr>
      </w:pPr>
      <w:r w:rsidRPr="00A81478">
        <w:rPr>
          <w:lang w:val="en-GB"/>
        </w:rPr>
        <w:t>Savia, G. (</w:t>
      </w:r>
      <w:proofErr w:type="spellStart"/>
      <w:r w:rsidR="00F240FB">
        <w:rPr>
          <w:lang w:val="en-GB"/>
        </w:rPr>
        <w:t>Éd</w:t>
      </w:r>
      <w:proofErr w:type="spellEnd"/>
      <w:r w:rsidR="00F240FB">
        <w:rPr>
          <w:lang w:val="en-GB"/>
        </w:rPr>
        <w:t>.</w:t>
      </w:r>
      <w:r w:rsidRPr="00A81478">
        <w:rPr>
          <w:lang w:val="en-GB"/>
        </w:rPr>
        <w:t>) (2016). </w:t>
      </w:r>
      <w:r w:rsidRPr="00A81478">
        <w:rPr>
          <w:i/>
          <w:iCs/>
          <w:lang w:val="en-GB"/>
        </w:rPr>
        <w:t xml:space="preserve">Universal Design for Learning. </w:t>
      </w:r>
      <w:r w:rsidRPr="000570FE">
        <w:rPr>
          <w:i/>
          <w:iCs/>
          <w:lang w:val="it-CH"/>
        </w:rPr>
        <w:t>Progettazione universale per l’apprendimento e didattica inclusiva.</w:t>
      </w:r>
      <w:r w:rsidRPr="008C136F">
        <w:rPr>
          <w:lang w:val="it-CH"/>
        </w:rPr>
        <w:t xml:space="preserve"> Erickson.</w:t>
      </w:r>
    </w:p>
    <w:p w14:paraId="7B38C755" w14:textId="4B53DC78" w:rsidR="008C136F" w:rsidRPr="00D27A27" w:rsidRDefault="008C136F" w:rsidP="00541FE1">
      <w:pPr>
        <w:pStyle w:val="Bibliographie"/>
        <w:rPr>
          <w:lang w:val="en-US"/>
        </w:rPr>
      </w:pPr>
      <w:r w:rsidRPr="00D27A27">
        <w:rPr>
          <w:lang w:val="it-CH"/>
        </w:rPr>
        <w:t>Sen, A. (2001)</w:t>
      </w:r>
      <w:r w:rsidR="00213AC8">
        <w:rPr>
          <w:lang w:val="it-CH"/>
        </w:rPr>
        <w:t>.</w:t>
      </w:r>
      <w:r w:rsidRPr="00D27A27">
        <w:rPr>
          <w:lang w:val="it-CH"/>
        </w:rPr>
        <w:t xml:space="preserve"> </w:t>
      </w:r>
      <w:r w:rsidRPr="000570FE">
        <w:rPr>
          <w:i/>
          <w:iCs/>
          <w:lang w:val="it-CH"/>
        </w:rPr>
        <w:t>Lo sviluppo è libertà. Perché non c’è crescita senza democrazia</w:t>
      </w:r>
      <w:r w:rsidRPr="00D27A27">
        <w:rPr>
          <w:lang w:val="it-CH"/>
        </w:rPr>
        <w:t xml:space="preserve">. </w:t>
      </w:r>
      <w:r w:rsidRPr="00D27A27">
        <w:rPr>
          <w:lang w:val="en-US"/>
        </w:rPr>
        <w:t>Mondadori.</w:t>
      </w:r>
    </w:p>
    <w:p w14:paraId="4C43EFCE" w14:textId="50DEE67A" w:rsidR="008C136F" w:rsidRPr="005F6B5E" w:rsidRDefault="008C136F" w:rsidP="00541FE1">
      <w:pPr>
        <w:pStyle w:val="Bibliographie"/>
        <w:rPr>
          <w:lang w:val="it-CH"/>
        </w:rPr>
      </w:pPr>
      <w:r w:rsidRPr="00D27A27">
        <w:rPr>
          <w:lang w:val="en-US"/>
        </w:rPr>
        <w:t>Tomlinson, C. A. (2012).</w:t>
      </w:r>
      <w:r w:rsidR="006D5EE6">
        <w:rPr>
          <w:rFonts w:cs="Cambria"/>
          <w:lang w:val="en-US"/>
        </w:rPr>
        <w:t xml:space="preserve"> </w:t>
      </w:r>
      <w:r w:rsidRPr="000570FE">
        <w:rPr>
          <w:i/>
          <w:iCs/>
          <w:lang w:val="en-US"/>
        </w:rPr>
        <w:t>How to differentiate instruction in mixed-ability classrooms</w:t>
      </w:r>
      <w:r w:rsidRPr="00D27A27">
        <w:rPr>
          <w:lang w:val="en-US"/>
        </w:rPr>
        <w:t xml:space="preserve">. </w:t>
      </w:r>
      <w:r w:rsidRPr="005F6B5E">
        <w:rPr>
          <w:lang w:val="it-CH"/>
        </w:rPr>
        <w:t>ASCD.</w:t>
      </w:r>
    </w:p>
    <w:p w14:paraId="65538946" w14:textId="77777777" w:rsidR="008C136F" w:rsidRPr="00D27A27" w:rsidRDefault="008C136F" w:rsidP="00541FE1">
      <w:pPr>
        <w:pStyle w:val="Bibliographie"/>
        <w:rPr>
          <w:lang w:val="en-US"/>
        </w:rPr>
      </w:pPr>
      <w:r w:rsidRPr="008C136F">
        <w:rPr>
          <w:lang w:val="it-CH"/>
        </w:rPr>
        <w:t>Trinchero, R. (2017). </w:t>
      </w:r>
      <w:r w:rsidRPr="000570FE">
        <w:rPr>
          <w:i/>
          <w:iCs/>
          <w:lang w:val="it-CH"/>
        </w:rPr>
        <w:t>Costruire e certificare competenze con il curricolo verticale nel primo ciclo</w:t>
      </w:r>
      <w:r w:rsidRPr="008C136F">
        <w:rPr>
          <w:lang w:val="it-CH"/>
        </w:rPr>
        <w:t xml:space="preserve">. </w:t>
      </w:r>
      <w:r w:rsidRPr="005F6B5E">
        <w:rPr>
          <w:lang w:val="en-US"/>
        </w:rPr>
        <w:t>Rizzoli Education.</w:t>
      </w:r>
    </w:p>
    <w:p w14:paraId="50C641A8" w14:textId="5CC8123C" w:rsidR="008C136F" w:rsidRPr="00D27A27" w:rsidRDefault="008C136F" w:rsidP="00541FE1">
      <w:pPr>
        <w:pStyle w:val="Bibliographie"/>
        <w:rPr>
          <w:lang w:val="en-US"/>
        </w:rPr>
      </w:pPr>
      <w:r w:rsidRPr="00D27A27">
        <w:rPr>
          <w:lang w:val="en-US"/>
        </w:rPr>
        <w:t>Walker, N. (2014).</w:t>
      </w:r>
      <w:r w:rsidRPr="00D27A27">
        <w:rPr>
          <w:rFonts w:cs="Cambria"/>
          <w:lang w:val="en-US"/>
        </w:rPr>
        <w:t> </w:t>
      </w:r>
      <w:r w:rsidRPr="000570FE">
        <w:rPr>
          <w:i/>
          <w:iCs/>
          <w:lang w:val="en-US"/>
        </w:rPr>
        <w:t>Neurodiversity: Some basic terms and definitions</w:t>
      </w:r>
      <w:r w:rsidRPr="00D27A27">
        <w:rPr>
          <w:lang w:val="en-US"/>
        </w:rPr>
        <w:t xml:space="preserve">. </w:t>
      </w:r>
      <w:hyperlink r:id="rId25" w:history="1">
        <w:r w:rsidR="00B56F22" w:rsidRPr="00B645D3">
          <w:rPr>
            <w:rStyle w:val="Lienhypertexte"/>
            <w:lang w:val="en-US"/>
          </w:rPr>
          <w:t>https://neurocosmopolitanism.com</w:t>
        </w:r>
      </w:hyperlink>
      <w:r w:rsidR="003139D7">
        <w:rPr>
          <w:lang w:val="en-US"/>
        </w:rPr>
        <w:t xml:space="preserve"> </w:t>
      </w:r>
    </w:p>
    <w:p w14:paraId="53E090D3" w14:textId="72999AF2" w:rsidR="00870508" w:rsidRPr="006632EC" w:rsidRDefault="008C136F" w:rsidP="007244AA">
      <w:pPr>
        <w:pStyle w:val="Bibliographie"/>
        <w:rPr>
          <w:rFonts w:cs="Open Sans SemiCondensed"/>
          <w:lang w:val="it-CH"/>
        </w:rPr>
      </w:pPr>
      <w:r w:rsidRPr="00C67D12">
        <w:rPr>
          <w:lang w:val="en-US"/>
        </w:rPr>
        <w:t>Wiggins</w:t>
      </w:r>
      <w:r w:rsidRPr="005F6B5E">
        <w:rPr>
          <w:lang w:val="en-US"/>
        </w:rPr>
        <w:t>, G.</w:t>
      </w:r>
      <w:r w:rsidR="000E5105" w:rsidRPr="005233F1">
        <w:rPr>
          <w:lang w:val="en-GB"/>
        </w:rPr>
        <w:t> </w:t>
      </w:r>
      <w:r w:rsidR="000E5105">
        <w:rPr>
          <w:lang w:val="en-US"/>
        </w:rPr>
        <w:t>&amp;</w:t>
      </w:r>
      <w:r w:rsidRPr="005F6B5E">
        <w:rPr>
          <w:lang w:val="en-US"/>
        </w:rPr>
        <w:t xml:space="preserve"> McTighe, J. (2004).</w:t>
      </w:r>
      <w:r w:rsidRPr="005F6B5E">
        <w:rPr>
          <w:rFonts w:cs="Cambria"/>
          <w:lang w:val="en-US"/>
        </w:rPr>
        <w:t> </w:t>
      </w:r>
      <w:r w:rsidRPr="000570FE">
        <w:rPr>
          <w:i/>
          <w:iCs/>
          <w:lang w:val="en-US"/>
        </w:rPr>
        <w:t>Understanding by design</w:t>
      </w:r>
      <w:r w:rsidRPr="005F6B5E">
        <w:rPr>
          <w:lang w:val="en-US"/>
        </w:rPr>
        <w:t xml:space="preserve">. </w:t>
      </w:r>
      <w:r w:rsidRPr="00541FE1">
        <w:rPr>
          <w:lang w:val="de-CH"/>
        </w:rPr>
        <w:t>ASCD.</w:t>
      </w:r>
      <w:r w:rsidR="00102E8A">
        <w:rPr>
          <w:rFonts w:asciiTheme="minorHAnsi" w:hAnsiTheme="minorHAnsi"/>
        </w:rPr>
        <w:t xml:space="preserve">   </w:t>
      </w:r>
    </w:p>
    <w:sectPr w:rsidR="00870508" w:rsidRPr="006632EC" w:rsidSect="00B208D4">
      <w:headerReference w:type="even" r:id="rId26"/>
      <w:headerReference w:type="default" r:id="rId27"/>
      <w:footerReference w:type="even" r:id="rId28"/>
      <w:footerReference w:type="default" r:id="rId29"/>
      <w:headerReference w:type="first" r:id="rId30"/>
      <w:footerReference w:type="first" r:id="rId31"/>
      <w:pgSz w:w="11907" w:h="16840" w:code="9"/>
      <w:pgMar w:top="1418" w:right="1418" w:bottom="1134" w:left="1418" w:header="720" w:footer="567" w:gutter="0"/>
      <w:pgNumType w:start="3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F9C03" w14:textId="77777777" w:rsidR="00D9383F" w:rsidRDefault="00D9383F">
      <w:pPr>
        <w:spacing w:line="240" w:lineRule="auto"/>
      </w:pPr>
      <w:r>
        <w:separator/>
      </w:r>
    </w:p>
  </w:endnote>
  <w:endnote w:type="continuationSeparator" w:id="0">
    <w:p w14:paraId="18D939F5" w14:textId="77777777" w:rsidR="00D9383F" w:rsidRDefault="00D938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E152FD4E-09FC-47DF-8B82-14D2FA03C1F7}"/>
    <w:embedBold r:id="rId2" w:fontKey="{54C280DA-D24A-4FE1-9E1C-B4A1611A00C4}"/>
    <w:embedItalic r:id="rId3" w:fontKey="{0A2A7B65-D431-4013-BB6C-1103710003A6}"/>
    <w:embedBoldItalic r:id="rId4" w:fontKey="{337701F8-9889-444A-A184-8F4E66C557C6}"/>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7572B55F-6B4B-4A8D-82E0-9A5C14AED648}"/>
    <w:embedItalic r:id="rId6" w:fontKey="{D2386D0E-1E61-4AAD-964F-3315BD34F46E}"/>
  </w:font>
  <w:font w:name="Open Sans SemiCondensed SemiCon">
    <w:altName w:val="Segoe UI"/>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5E204" w14:textId="77777777" w:rsidR="00B208D4" w:rsidRDefault="00B208D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D7AB3" w14:textId="77777777" w:rsidR="004B3A29" w:rsidRPr="007B448B" w:rsidRDefault="006E210A" w:rsidP="001D3BFB">
    <w:pPr>
      <w:pStyle w:val="Pieddepage"/>
      <w:rPr>
        <w:szCs w:val="22"/>
      </w:rPr>
    </w:pPr>
    <w:r>
      <w:rPr>
        <w:noProof/>
      </w:rPr>
      <w:drawing>
        <wp:anchor distT="0" distB="0" distL="114300" distR="114300" simplePos="0" relativeHeight="251660288" behindDoc="1" locked="0" layoutInCell="1" allowOverlap="1" wp14:anchorId="5577B4BD" wp14:editId="583EAF9B">
          <wp:simplePos x="0" y="0"/>
          <wp:positionH relativeFrom="column">
            <wp:posOffset>-671830</wp:posOffset>
          </wp:positionH>
          <wp:positionV relativeFrom="paragraph">
            <wp:posOffset>-726440</wp:posOffset>
          </wp:positionV>
          <wp:extent cx="101861" cy="849482"/>
          <wp:effectExtent l="0" t="0" r="0" b="0"/>
          <wp:wrapNone/>
          <wp:docPr id="12"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F0F9E" w14:textId="77777777" w:rsidR="00B208D4" w:rsidRDefault="00B208D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AF581" w14:textId="77777777" w:rsidR="00D9383F" w:rsidRPr="00777A2F" w:rsidRDefault="00D9383F"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8270484" w14:textId="77777777" w:rsidR="00D9383F" w:rsidRDefault="00D9383F">
      <w:r>
        <w:continuationSeparator/>
      </w:r>
    </w:p>
  </w:footnote>
  <w:footnote w:type="continuationNotice" w:id="1">
    <w:p w14:paraId="79D33458" w14:textId="77777777" w:rsidR="00D9383F" w:rsidRDefault="00D9383F">
      <w:pPr>
        <w:spacing w:line="240" w:lineRule="auto"/>
      </w:pPr>
    </w:p>
  </w:footnote>
  <w:footnote w:id="2">
    <w:p w14:paraId="5614F328" w14:textId="2210F3F9" w:rsidR="008C136F" w:rsidRPr="00FA0496" w:rsidRDefault="008C136F" w:rsidP="006819BF">
      <w:pPr>
        <w:pStyle w:val="Notedebasdepage"/>
        <w:ind w:left="142" w:hanging="142"/>
        <w:jc w:val="both"/>
      </w:pPr>
      <w:r w:rsidRPr="005233F1">
        <w:rPr>
          <w:rStyle w:val="Appelnotedebasdep"/>
          <w:bCs w:val="0"/>
          <w:iCs w:val="0"/>
          <w:sz w:val="18"/>
        </w:rPr>
        <w:footnoteRef/>
      </w:r>
      <w:r w:rsidRPr="000570FE">
        <w:rPr>
          <w:vertAlign w:val="superscript"/>
        </w:rPr>
        <w:t xml:space="preserve"> </w:t>
      </w:r>
      <w:r w:rsidR="006819BF">
        <w:rPr>
          <w:vertAlign w:val="superscript"/>
        </w:rPr>
        <w:t xml:space="preserve">   </w:t>
      </w:r>
      <w:r w:rsidRPr="000570FE">
        <w:t xml:space="preserve">En italien, le terme </w:t>
      </w:r>
      <w:r w:rsidRPr="000570FE">
        <w:rPr>
          <w:i/>
          <w:iCs/>
        </w:rPr>
        <w:t xml:space="preserve">traguardo </w:t>
      </w:r>
      <w:r w:rsidRPr="000570FE">
        <w:t>renvoie littéralement à une «</w:t>
      </w:r>
      <w:r w:rsidR="00C64186">
        <w:t> </w:t>
      </w:r>
      <w:r w:rsidRPr="000570FE">
        <w:t>ligne d’arrivée</w:t>
      </w:r>
      <w:r w:rsidR="00C64186">
        <w:t> </w:t>
      </w:r>
      <w:r w:rsidRPr="000570FE">
        <w:t xml:space="preserve">» ou à un point vers lequel on tend. Dans le </w:t>
      </w:r>
      <w:r w:rsidRPr="000570FE">
        <w:rPr>
          <w:i/>
          <w:iCs/>
        </w:rPr>
        <w:t>Piano di studio</w:t>
      </w:r>
      <w:r w:rsidRPr="000570FE">
        <w:t xml:space="preserve"> tessinois, cette expression conserve cette idée d’orientation et de progression, sans pour autant désigner un seuil uniforme à atteindre impérativement</w:t>
      </w:r>
      <w:r w:rsidR="00C73A46">
        <w:t>.</w:t>
      </w:r>
    </w:p>
  </w:footnote>
  <w:footnote w:id="3">
    <w:p w14:paraId="7CC13732" w14:textId="77777777" w:rsidR="008C136F" w:rsidRPr="006B5402" w:rsidRDefault="008C136F" w:rsidP="00EB4EA1">
      <w:pPr>
        <w:pStyle w:val="Notedebasdepage"/>
      </w:pPr>
      <w:r w:rsidRPr="000570FE">
        <w:rPr>
          <w:rStyle w:val="Appelnotedebasdep"/>
          <w:bCs w:val="0"/>
          <w:iCs w:val="0"/>
          <w:sz w:val="18"/>
        </w:rPr>
        <w:footnoteRef/>
      </w:r>
      <w:r w:rsidRPr="000570FE">
        <w:t xml:space="preserve"> La CUA correspond à l’</w:t>
      </w:r>
      <w:r w:rsidRPr="00DC65AE">
        <w:rPr>
          <w:i/>
          <w:iCs/>
        </w:rPr>
        <w:t xml:space="preserve">Universal Design for Learning </w:t>
      </w:r>
      <w:r w:rsidRPr="000570FE">
        <w:t>(UDL) dans la littérature anglophone.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CB4CC" w14:textId="77777777" w:rsidR="00B208D4" w:rsidRDefault="00B208D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319D6" w14:textId="6BA47D55" w:rsidR="007B448B" w:rsidRPr="007B448B" w:rsidRDefault="00307EC7" w:rsidP="007B448B">
    <w:pPr>
      <w:pStyle w:val="Themenschwerpunkt"/>
      <w:rPr>
        <w:lang w:val="fr-CH"/>
      </w:rPr>
    </w:pPr>
    <w:r>
      <mc:AlternateContent>
        <mc:Choice Requires="wps">
          <w:drawing>
            <wp:anchor distT="0" distB="0" distL="114299" distR="114299" simplePos="0" relativeHeight="251665408" behindDoc="0" locked="0" layoutInCell="1" allowOverlap="1" wp14:anchorId="1D874B6F" wp14:editId="6A6590FA">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42562285">
            <v:line id="Connecteur droit 3" style="position:absolute;flip:x;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57679D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8C483F">
      <w:rPr>
        <w:lang w:val="fr-CH"/>
      </w:rPr>
      <w:t>Adaptation</w:t>
    </w:r>
    <w:r w:rsidR="00BE2808">
      <w:rPr>
        <w:lang w:val="fr-CH"/>
      </w:rPr>
      <w:t>s</w:t>
    </w:r>
    <w:r w:rsidR="008C483F">
      <w:rPr>
        <w:lang w:val="fr-CH"/>
      </w:rPr>
      <w:t xml:space="preserve"> du PER</w:t>
    </w:r>
    <w:r w:rsidR="007B448B">
      <w:rPr>
        <w:lang w:val="fr-CH"/>
      </w:rPr>
      <w:tab/>
    </w:r>
    <w:r w:rsidR="007B448B">
      <w:rPr>
        <w:lang w:val="fr-CH"/>
      </w:rPr>
      <w:tab/>
    </w:r>
    <w:r w:rsidR="007B448B" w:rsidRPr="00ED473A">
      <w:rPr>
        <w:b w:val="0"/>
        <w:bCs/>
        <w:lang w:val="fr-CH"/>
      </w:rPr>
      <w:t xml:space="preserve">Revue </w:t>
    </w:r>
    <w:r w:rsidR="009E4ACD">
      <w:rPr>
        <w:b w:val="0"/>
        <w:bCs/>
        <w:lang w:val="fr-CH"/>
      </w:rPr>
      <w:t>s</w:t>
    </w:r>
    <w:r w:rsidR="007B448B" w:rsidRPr="00ED473A">
      <w:rPr>
        <w:b w:val="0"/>
        <w:bCs/>
        <w:lang w:val="fr-CH"/>
      </w:rPr>
      <w:t xml:space="preserve">uisse de </w:t>
    </w:r>
    <w:r w:rsidR="009E4ACD">
      <w:rPr>
        <w:b w:val="0"/>
        <w:bCs/>
        <w:lang w:val="fr-CH"/>
      </w:rPr>
      <w:t>p</w:t>
    </w:r>
    <w:r w:rsidR="007B448B" w:rsidRPr="00ED473A">
      <w:rPr>
        <w:b w:val="0"/>
        <w:bCs/>
        <w:lang w:val="fr-CH"/>
      </w:rPr>
      <w:t xml:space="preserve">édagogie </w:t>
    </w:r>
    <w:r w:rsidR="009E4ACD">
      <w:rPr>
        <w:b w:val="0"/>
        <w:bCs/>
        <w:lang w:val="fr-CH"/>
      </w:rPr>
      <w:t>s</w:t>
    </w:r>
    <w:r w:rsidR="007B448B" w:rsidRPr="00ED473A">
      <w:rPr>
        <w:b w:val="0"/>
        <w:bCs/>
        <w:lang w:val="fr-CH"/>
      </w:rPr>
      <w:t xml:space="preserve">pécialisée, Vol. </w:t>
    </w:r>
    <w:r w:rsidR="00037AE3">
      <w:rPr>
        <w:b w:val="0"/>
        <w:bCs/>
        <w:lang w:val="fr-CH"/>
      </w:rPr>
      <w:t>1</w:t>
    </w:r>
    <w:r w:rsidR="009E4ACD">
      <w:rPr>
        <w:b w:val="0"/>
        <w:bCs/>
        <w:lang w:val="fr-CH"/>
      </w:rPr>
      <w:t>6</w:t>
    </w:r>
    <w:r w:rsidR="007B448B" w:rsidRPr="00ED473A">
      <w:rPr>
        <w:b w:val="0"/>
        <w:bCs/>
        <w:lang w:val="fr-CH"/>
      </w:rPr>
      <w:t xml:space="preserve">, </w:t>
    </w:r>
    <w:r w:rsidR="00037AE3">
      <w:rPr>
        <w:b w:val="0"/>
        <w:bCs/>
        <w:lang w:val="fr-CH"/>
      </w:rPr>
      <w:t>0</w:t>
    </w:r>
    <w:r w:rsidR="008C483F">
      <w:rPr>
        <w:b w:val="0"/>
        <w:bCs/>
        <w:lang w:val="fr-CH"/>
      </w:rPr>
      <w:t>3</w:t>
    </w:r>
    <w:r w:rsidR="007B448B" w:rsidRPr="00ED473A">
      <w:rPr>
        <w:b w:val="0"/>
        <w:bCs/>
        <w:lang w:val="fr-CH"/>
      </w:rPr>
      <w:t>/</w:t>
    </w:r>
    <w:r w:rsidR="00037AE3">
      <w:rPr>
        <w:b w:val="0"/>
        <w:bCs/>
        <w:lang w:val="fr-CH"/>
      </w:rPr>
      <w:t>202</w:t>
    </w:r>
    <w:r w:rsidR="009E4ACD">
      <w:rPr>
        <w:b w:val="0"/>
        <w:bCs/>
        <w:lang w:val="fr-CH"/>
      </w:rPr>
      <w:t>6</w:t>
    </w:r>
  </w:p>
  <w:p w14:paraId="3A03078D"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F77A0" w14:textId="77777777" w:rsidR="00B208D4" w:rsidRDefault="00B208D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AA8D9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249FB4"/>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A7BE9472"/>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CCFD6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CDF4C7B4"/>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0EB454A6"/>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99D0369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20B509B"/>
    <w:multiLevelType w:val="hybridMultilevel"/>
    <w:tmpl w:val="3CDE918C"/>
    <w:lvl w:ilvl="0" w:tplc="2000000F">
      <w:start w:val="1"/>
      <w:numFmt w:val="decimal"/>
      <w:lvlText w:val="%1."/>
      <w:lvlJc w:val="left"/>
      <w:pPr>
        <w:ind w:left="890" w:hanging="360"/>
      </w:pPr>
    </w:lvl>
    <w:lvl w:ilvl="1" w:tplc="20000019" w:tentative="1">
      <w:start w:val="1"/>
      <w:numFmt w:val="lowerLetter"/>
      <w:lvlText w:val="%2."/>
      <w:lvlJc w:val="left"/>
      <w:pPr>
        <w:ind w:left="1610" w:hanging="360"/>
      </w:pPr>
    </w:lvl>
    <w:lvl w:ilvl="2" w:tplc="2000001B" w:tentative="1">
      <w:start w:val="1"/>
      <w:numFmt w:val="lowerRoman"/>
      <w:lvlText w:val="%3."/>
      <w:lvlJc w:val="right"/>
      <w:pPr>
        <w:ind w:left="2330" w:hanging="180"/>
      </w:pPr>
    </w:lvl>
    <w:lvl w:ilvl="3" w:tplc="2000000F" w:tentative="1">
      <w:start w:val="1"/>
      <w:numFmt w:val="decimal"/>
      <w:lvlText w:val="%4."/>
      <w:lvlJc w:val="left"/>
      <w:pPr>
        <w:ind w:left="3050" w:hanging="360"/>
      </w:pPr>
    </w:lvl>
    <w:lvl w:ilvl="4" w:tplc="20000019" w:tentative="1">
      <w:start w:val="1"/>
      <w:numFmt w:val="lowerLetter"/>
      <w:lvlText w:val="%5."/>
      <w:lvlJc w:val="left"/>
      <w:pPr>
        <w:ind w:left="3770" w:hanging="360"/>
      </w:pPr>
    </w:lvl>
    <w:lvl w:ilvl="5" w:tplc="2000001B" w:tentative="1">
      <w:start w:val="1"/>
      <w:numFmt w:val="lowerRoman"/>
      <w:lvlText w:val="%6."/>
      <w:lvlJc w:val="right"/>
      <w:pPr>
        <w:ind w:left="4490" w:hanging="180"/>
      </w:pPr>
    </w:lvl>
    <w:lvl w:ilvl="6" w:tplc="2000000F" w:tentative="1">
      <w:start w:val="1"/>
      <w:numFmt w:val="decimal"/>
      <w:lvlText w:val="%7."/>
      <w:lvlJc w:val="left"/>
      <w:pPr>
        <w:ind w:left="5210" w:hanging="360"/>
      </w:pPr>
    </w:lvl>
    <w:lvl w:ilvl="7" w:tplc="20000019" w:tentative="1">
      <w:start w:val="1"/>
      <w:numFmt w:val="lowerLetter"/>
      <w:lvlText w:val="%8."/>
      <w:lvlJc w:val="left"/>
      <w:pPr>
        <w:ind w:left="5930" w:hanging="360"/>
      </w:pPr>
    </w:lvl>
    <w:lvl w:ilvl="8" w:tplc="2000001B" w:tentative="1">
      <w:start w:val="1"/>
      <w:numFmt w:val="lowerRoman"/>
      <w:lvlText w:val="%9."/>
      <w:lvlJc w:val="right"/>
      <w:pPr>
        <w:ind w:left="6650" w:hanging="180"/>
      </w:pPr>
    </w:lvl>
  </w:abstractNum>
  <w:num w:numId="1" w16cid:durableId="1816487952">
    <w:abstractNumId w:val="8"/>
  </w:num>
  <w:num w:numId="2" w16cid:durableId="379716589">
    <w:abstractNumId w:val="9"/>
  </w:num>
  <w:num w:numId="3" w16cid:durableId="1479614155">
    <w:abstractNumId w:val="7"/>
  </w:num>
  <w:num w:numId="4" w16cid:durableId="1979066207">
    <w:abstractNumId w:val="6"/>
  </w:num>
  <w:num w:numId="5" w16cid:durableId="1820998166">
    <w:abstractNumId w:val="5"/>
  </w:num>
  <w:num w:numId="6" w16cid:durableId="331614690">
    <w:abstractNumId w:val="4"/>
  </w:num>
  <w:num w:numId="7" w16cid:durableId="1925986768">
    <w:abstractNumId w:val="3"/>
  </w:num>
  <w:num w:numId="8" w16cid:durableId="1201698244">
    <w:abstractNumId w:val="2"/>
  </w:num>
  <w:num w:numId="9" w16cid:durableId="943153558">
    <w:abstractNumId w:val="1"/>
  </w:num>
  <w:num w:numId="10" w16cid:durableId="1397044922">
    <w:abstractNumId w:val="0"/>
  </w:num>
  <w:num w:numId="11" w16cid:durableId="2088989969">
    <w:abstractNumId w:val="1"/>
  </w:num>
  <w:num w:numId="12" w16cid:durableId="2134984730">
    <w:abstractNumId w:val="0"/>
  </w:num>
  <w:num w:numId="13" w16cid:durableId="498084873">
    <w:abstractNumId w:val="1"/>
  </w:num>
  <w:num w:numId="14" w16cid:durableId="187067557">
    <w:abstractNumId w:val="0"/>
  </w:num>
  <w:num w:numId="15" w16cid:durableId="1564295852">
    <w:abstractNumId w:val="10"/>
  </w:num>
  <w:num w:numId="16" w16cid:durableId="2008897974">
    <w:abstractNumId w:val="1"/>
  </w:num>
  <w:num w:numId="17" w16cid:durableId="563370969">
    <w:abstractNumId w:val="0"/>
  </w:num>
  <w:num w:numId="18" w16cid:durableId="1588922490">
    <w:abstractNumId w:val="1"/>
  </w:num>
  <w:num w:numId="19" w16cid:durableId="82262789">
    <w:abstractNumId w:val="0"/>
  </w:num>
  <w:num w:numId="20" w16cid:durableId="340671445">
    <w:abstractNumId w:val="1"/>
  </w:num>
  <w:num w:numId="21" w16cid:durableId="1323041663">
    <w:abstractNumId w:val="0"/>
  </w:num>
  <w:num w:numId="22" w16cid:durableId="299261825">
    <w:abstractNumId w:val="1"/>
  </w:num>
  <w:num w:numId="23" w16cid:durableId="300573541">
    <w:abstractNumId w:val="0"/>
  </w:num>
  <w:num w:numId="24" w16cid:durableId="1438867428">
    <w:abstractNumId w:val="1"/>
  </w:num>
  <w:num w:numId="25" w16cid:durableId="119032074">
    <w:abstractNumId w:val="0"/>
  </w:num>
  <w:num w:numId="26" w16cid:durableId="130563150">
    <w:abstractNumId w:val="1"/>
  </w:num>
  <w:num w:numId="27" w16cid:durableId="1419716644">
    <w:abstractNumId w:val="0"/>
  </w:num>
  <w:num w:numId="28" w16cid:durableId="1882858030">
    <w:abstractNumId w:val="1"/>
  </w:num>
  <w:num w:numId="29" w16cid:durableId="1559243340">
    <w:abstractNumId w:val="0"/>
  </w:num>
  <w:num w:numId="30" w16cid:durableId="618293463">
    <w:abstractNumId w:val="1"/>
  </w:num>
  <w:num w:numId="31" w16cid:durableId="358748540">
    <w:abstractNumId w:val="0"/>
  </w:num>
  <w:num w:numId="32" w16cid:durableId="62989889">
    <w:abstractNumId w:val="1"/>
  </w:num>
  <w:num w:numId="33" w16cid:durableId="381711467">
    <w:abstractNumId w:val="0"/>
  </w:num>
  <w:num w:numId="34" w16cid:durableId="1709451728">
    <w:abstractNumId w:val="1"/>
  </w:num>
  <w:num w:numId="35" w16cid:durableId="995956691">
    <w:abstractNumId w:val="0"/>
  </w:num>
  <w:num w:numId="36" w16cid:durableId="186143935">
    <w:abstractNumId w:val="1"/>
  </w:num>
  <w:num w:numId="37" w16cid:durableId="872764900">
    <w:abstractNumId w:val="0"/>
  </w:num>
  <w:num w:numId="38" w16cid:durableId="353726182">
    <w:abstractNumId w:val="1"/>
  </w:num>
  <w:num w:numId="39" w16cid:durableId="127259346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83F"/>
    <w:rsid w:val="000036D1"/>
    <w:rsid w:val="00016BFF"/>
    <w:rsid w:val="00023914"/>
    <w:rsid w:val="00023D90"/>
    <w:rsid w:val="00024143"/>
    <w:rsid w:val="00027990"/>
    <w:rsid w:val="000302CB"/>
    <w:rsid w:val="0003231B"/>
    <w:rsid w:val="00032336"/>
    <w:rsid w:val="0003314D"/>
    <w:rsid w:val="00033A08"/>
    <w:rsid w:val="000352CE"/>
    <w:rsid w:val="0003729F"/>
    <w:rsid w:val="00037AE3"/>
    <w:rsid w:val="00043F18"/>
    <w:rsid w:val="00046BAC"/>
    <w:rsid w:val="00052D67"/>
    <w:rsid w:val="00053353"/>
    <w:rsid w:val="00055BDF"/>
    <w:rsid w:val="000570FE"/>
    <w:rsid w:val="00060DCB"/>
    <w:rsid w:val="000759D7"/>
    <w:rsid w:val="00075AF4"/>
    <w:rsid w:val="000923D5"/>
    <w:rsid w:val="00096F04"/>
    <w:rsid w:val="000B4D0F"/>
    <w:rsid w:val="000B5BB8"/>
    <w:rsid w:val="000B7330"/>
    <w:rsid w:val="000C76F0"/>
    <w:rsid w:val="000E4772"/>
    <w:rsid w:val="000E5105"/>
    <w:rsid w:val="000E6A66"/>
    <w:rsid w:val="000F0956"/>
    <w:rsid w:val="000F3096"/>
    <w:rsid w:val="000F4B54"/>
    <w:rsid w:val="000F5288"/>
    <w:rsid w:val="00102E8A"/>
    <w:rsid w:val="0010334E"/>
    <w:rsid w:val="00110D73"/>
    <w:rsid w:val="001114E2"/>
    <w:rsid w:val="00114A43"/>
    <w:rsid w:val="001150A5"/>
    <w:rsid w:val="00115EF5"/>
    <w:rsid w:val="001161D6"/>
    <w:rsid w:val="00120CBF"/>
    <w:rsid w:val="001472C2"/>
    <w:rsid w:val="001518BF"/>
    <w:rsid w:val="00151BCA"/>
    <w:rsid w:val="00153133"/>
    <w:rsid w:val="00157D7E"/>
    <w:rsid w:val="00167858"/>
    <w:rsid w:val="001735A7"/>
    <w:rsid w:val="00181FE3"/>
    <w:rsid w:val="00194A2D"/>
    <w:rsid w:val="001A2EEC"/>
    <w:rsid w:val="001A6B2F"/>
    <w:rsid w:val="001A7202"/>
    <w:rsid w:val="001B05BD"/>
    <w:rsid w:val="001B16E8"/>
    <w:rsid w:val="001B25F3"/>
    <w:rsid w:val="001B7781"/>
    <w:rsid w:val="001C5A3A"/>
    <w:rsid w:val="001D0770"/>
    <w:rsid w:val="001D3BFB"/>
    <w:rsid w:val="001E3BE9"/>
    <w:rsid w:val="001E6375"/>
    <w:rsid w:val="001F314A"/>
    <w:rsid w:val="00202A19"/>
    <w:rsid w:val="00203E9A"/>
    <w:rsid w:val="0020467E"/>
    <w:rsid w:val="002051B8"/>
    <w:rsid w:val="00210577"/>
    <w:rsid w:val="00213AC8"/>
    <w:rsid w:val="0021587B"/>
    <w:rsid w:val="00215B95"/>
    <w:rsid w:val="0022028B"/>
    <w:rsid w:val="002226D4"/>
    <w:rsid w:val="00235A6C"/>
    <w:rsid w:val="00241035"/>
    <w:rsid w:val="002443A6"/>
    <w:rsid w:val="002538CB"/>
    <w:rsid w:val="00253EE3"/>
    <w:rsid w:val="00261E31"/>
    <w:rsid w:val="00266223"/>
    <w:rsid w:val="00276B2C"/>
    <w:rsid w:val="00277488"/>
    <w:rsid w:val="00282DBF"/>
    <w:rsid w:val="00284EA0"/>
    <w:rsid w:val="002862AA"/>
    <w:rsid w:val="00291C05"/>
    <w:rsid w:val="002960ED"/>
    <w:rsid w:val="002C451C"/>
    <w:rsid w:val="002C5235"/>
    <w:rsid w:val="002C6519"/>
    <w:rsid w:val="002D5B55"/>
    <w:rsid w:val="002E13B6"/>
    <w:rsid w:val="002E5374"/>
    <w:rsid w:val="002F32DB"/>
    <w:rsid w:val="002F3AF2"/>
    <w:rsid w:val="0030447C"/>
    <w:rsid w:val="00307EC7"/>
    <w:rsid w:val="003139D7"/>
    <w:rsid w:val="00322024"/>
    <w:rsid w:val="003222A6"/>
    <w:rsid w:val="0034038E"/>
    <w:rsid w:val="0035440D"/>
    <w:rsid w:val="003578BE"/>
    <w:rsid w:val="00365730"/>
    <w:rsid w:val="0037245D"/>
    <w:rsid w:val="00373FE7"/>
    <w:rsid w:val="00375CAB"/>
    <w:rsid w:val="003819B7"/>
    <w:rsid w:val="00382314"/>
    <w:rsid w:val="00383074"/>
    <w:rsid w:val="00386CFF"/>
    <w:rsid w:val="003918E0"/>
    <w:rsid w:val="003971ED"/>
    <w:rsid w:val="003977C7"/>
    <w:rsid w:val="003A0EA7"/>
    <w:rsid w:val="003A2717"/>
    <w:rsid w:val="003A4659"/>
    <w:rsid w:val="003B38B4"/>
    <w:rsid w:val="003B4C81"/>
    <w:rsid w:val="003B635A"/>
    <w:rsid w:val="003C5CAE"/>
    <w:rsid w:val="003D221C"/>
    <w:rsid w:val="003D502F"/>
    <w:rsid w:val="003E022D"/>
    <w:rsid w:val="003E04B0"/>
    <w:rsid w:val="003E0578"/>
    <w:rsid w:val="003E47D3"/>
    <w:rsid w:val="003F0652"/>
    <w:rsid w:val="003F2767"/>
    <w:rsid w:val="003F5B1B"/>
    <w:rsid w:val="003F6A6B"/>
    <w:rsid w:val="003F78C2"/>
    <w:rsid w:val="003F79CA"/>
    <w:rsid w:val="00401236"/>
    <w:rsid w:val="004027D5"/>
    <w:rsid w:val="00404F18"/>
    <w:rsid w:val="004108D3"/>
    <w:rsid w:val="00414332"/>
    <w:rsid w:val="00421D05"/>
    <w:rsid w:val="0042486F"/>
    <w:rsid w:val="00426606"/>
    <w:rsid w:val="00431C91"/>
    <w:rsid w:val="00441F45"/>
    <w:rsid w:val="0045144F"/>
    <w:rsid w:val="00454057"/>
    <w:rsid w:val="00454BCF"/>
    <w:rsid w:val="004568CA"/>
    <w:rsid w:val="004627A0"/>
    <w:rsid w:val="00462BB8"/>
    <w:rsid w:val="00467E46"/>
    <w:rsid w:val="0047168D"/>
    <w:rsid w:val="00474D9F"/>
    <w:rsid w:val="004803BD"/>
    <w:rsid w:val="00481280"/>
    <w:rsid w:val="00486270"/>
    <w:rsid w:val="004874B5"/>
    <w:rsid w:val="004964F3"/>
    <w:rsid w:val="00497ACE"/>
    <w:rsid w:val="004A2854"/>
    <w:rsid w:val="004B1834"/>
    <w:rsid w:val="004B29F8"/>
    <w:rsid w:val="004B3001"/>
    <w:rsid w:val="004B3A29"/>
    <w:rsid w:val="004C13EB"/>
    <w:rsid w:val="004C25EA"/>
    <w:rsid w:val="004C3688"/>
    <w:rsid w:val="004C3F69"/>
    <w:rsid w:val="004C4A76"/>
    <w:rsid w:val="004D542D"/>
    <w:rsid w:val="004D58AC"/>
    <w:rsid w:val="004E232F"/>
    <w:rsid w:val="004E307D"/>
    <w:rsid w:val="004E64F3"/>
    <w:rsid w:val="004F5C23"/>
    <w:rsid w:val="004F6EB7"/>
    <w:rsid w:val="005055D5"/>
    <w:rsid w:val="00506254"/>
    <w:rsid w:val="00521066"/>
    <w:rsid w:val="00521559"/>
    <w:rsid w:val="00522C14"/>
    <w:rsid w:val="005233F1"/>
    <w:rsid w:val="00530E98"/>
    <w:rsid w:val="00533DA1"/>
    <w:rsid w:val="00541FE1"/>
    <w:rsid w:val="00546490"/>
    <w:rsid w:val="00551A7B"/>
    <w:rsid w:val="0055561F"/>
    <w:rsid w:val="0056578A"/>
    <w:rsid w:val="0056595B"/>
    <w:rsid w:val="00571C0D"/>
    <w:rsid w:val="00572C4C"/>
    <w:rsid w:val="005744F6"/>
    <w:rsid w:val="0057605E"/>
    <w:rsid w:val="00576E09"/>
    <w:rsid w:val="00577261"/>
    <w:rsid w:val="00581DB2"/>
    <w:rsid w:val="00585ED0"/>
    <w:rsid w:val="00592FB3"/>
    <w:rsid w:val="00594747"/>
    <w:rsid w:val="00594844"/>
    <w:rsid w:val="00597EF5"/>
    <w:rsid w:val="005A646E"/>
    <w:rsid w:val="005A6F41"/>
    <w:rsid w:val="005A7AE7"/>
    <w:rsid w:val="005B7041"/>
    <w:rsid w:val="005C596B"/>
    <w:rsid w:val="005C6D52"/>
    <w:rsid w:val="005D15B8"/>
    <w:rsid w:val="005D2F50"/>
    <w:rsid w:val="005E150A"/>
    <w:rsid w:val="005E7DD5"/>
    <w:rsid w:val="005F419C"/>
    <w:rsid w:val="005F75C0"/>
    <w:rsid w:val="00606A4C"/>
    <w:rsid w:val="006103DD"/>
    <w:rsid w:val="006111D5"/>
    <w:rsid w:val="006111F5"/>
    <w:rsid w:val="00617564"/>
    <w:rsid w:val="00623E11"/>
    <w:rsid w:val="006245DD"/>
    <w:rsid w:val="006411DE"/>
    <w:rsid w:val="006448C5"/>
    <w:rsid w:val="006457A9"/>
    <w:rsid w:val="006555BD"/>
    <w:rsid w:val="006575DD"/>
    <w:rsid w:val="006632EC"/>
    <w:rsid w:val="00663C83"/>
    <w:rsid w:val="006644A2"/>
    <w:rsid w:val="006676E2"/>
    <w:rsid w:val="006703F7"/>
    <w:rsid w:val="00673BCF"/>
    <w:rsid w:val="00674D97"/>
    <w:rsid w:val="006819BF"/>
    <w:rsid w:val="00682B8C"/>
    <w:rsid w:val="00685EB4"/>
    <w:rsid w:val="00694B9D"/>
    <w:rsid w:val="006A2BB4"/>
    <w:rsid w:val="006A4C05"/>
    <w:rsid w:val="006A7E90"/>
    <w:rsid w:val="006B5402"/>
    <w:rsid w:val="006B5540"/>
    <w:rsid w:val="006B5FF3"/>
    <w:rsid w:val="006C2B84"/>
    <w:rsid w:val="006C3DFC"/>
    <w:rsid w:val="006D5D28"/>
    <w:rsid w:val="006D5EE6"/>
    <w:rsid w:val="006D73D8"/>
    <w:rsid w:val="006E03B2"/>
    <w:rsid w:val="006E210A"/>
    <w:rsid w:val="006E260B"/>
    <w:rsid w:val="006E2A67"/>
    <w:rsid w:val="006F43CB"/>
    <w:rsid w:val="006F5717"/>
    <w:rsid w:val="00702BE5"/>
    <w:rsid w:val="00703211"/>
    <w:rsid w:val="00706A48"/>
    <w:rsid w:val="007155B8"/>
    <w:rsid w:val="00722935"/>
    <w:rsid w:val="007244AA"/>
    <w:rsid w:val="007277B3"/>
    <w:rsid w:val="007373E7"/>
    <w:rsid w:val="00741AF4"/>
    <w:rsid w:val="007424F5"/>
    <w:rsid w:val="007434C1"/>
    <w:rsid w:val="0074442C"/>
    <w:rsid w:val="00765EB2"/>
    <w:rsid w:val="00767AB1"/>
    <w:rsid w:val="00771B14"/>
    <w:rsid w:val="00777A2F"/>
    <w:rsid w:val="00786F0C"/>
    <w:rsid w:val="00787B6E"/>
    <w:rsid w:val="007907A6"/>
    <w:rsid w:val="00792DDB"/>
    <w:rsid w:val="007A3489"/>
    <w:rsid w:val="007A4B60"/>
    <w:rsid w:val="007A75E1"/>
    <w:rsid w:val="007A7FC5"/>
    <w:rsid w:val="007B448B"/>
    <w:rsid w:val="007B4F54"/>
    <w:rsid w:val="007B5701"/>
    <w:rsid w:val="007B62B5"/>
    <w:rsid w:val="007C5AB3"/>
    <w:rsid w:val="007C7474"/>
    <w:rsid w:val="007E78D0"/>
    <w:rsid w:val="007F43B0"/>
    <w:rsid w:val="007F5E1D"/>
    <w:rsid w:val="00800644"/>
    <w:rsid w:val="008046B2"/>
    <w:rsid w:val="008069B8"/>
    <w:rsid w:val="008104C0"/>
    <w:rsid w:val="00812E94"/>
    <w:rsid w:val="008152E5"/>
    <w:rsid w:val="00822118"/>
    <w:rsid w:val="00822F4D"/>
    <w:rsid w:val="00830A17"/>
    <w:rsid w:val="00832B9D"/>
    <w:rsid w:val="008351F7"/>
    <w:rsid w:val="00843659"/>
    <w:rsid w:val="0084535D"/>
    <w:rsid w:val="00853805"/>
    <w:rsid w:val="00855097"/>
    <w:rsid w:val="008555AE"/>
    <w:rsid w:val="00861B54"/>
    <w:rsid w:val="00862DAC"/>
    <w:rsid w:val="00863C53"/>
    <w:rsid w:val="008647CD"/>
    <w:rsid w:val="00870508"/>
    <w:rsid w:val="008738A1"/>
    <w:rsid w:val="00880A52"/>
    <w:rsid w:val="00882B9B"/>
    <w:rsid w:val="008854C8"/>
    <w:rsid w:val="00885EB3"/>
    <w:rsid w:val="008865E0"/>
    <w:rsid w:val="00891E7D"/>
    <w:rsid w:val="008924D4"/>
    <w:rsid w:val="0089265C"/>
    <w:rsid w:val="008934B9"/>
    <w:rsid w:val="008A2229"/>
    <w:rsid w:val="008B3809"/>
    <w:rsid w:val="008B711A"/>
    <w:rsid w:val="008C136F"/>
    <w:rsid w:val="008C1C7B"/>
    <w:rsid w:val="008C483F"/>
    <w:rsid w:val="008C6EDB"/>
    <w:rsid w:val="008D1807"/>
    <w:rsid w:val="008D5616"/>
    <w:rsid w:val="008D5D95"/>
    <w:rsid w:val="008D68C7"/>
    <w:rsid w:val="008E3B02"/>
    <w:rsid w:val="008F2E4E"/>
    <w:rsid w:val="00907BFB"/>
    <w:rsid w:val="009113C7"/>
    <w:rsid w:val="00911AD9"/>
    <w:rsid w:val="00912E02"/>
    <w:rsid w:val="00920846"/>
    <w:rsid w:val="00920A21"/>
    <w:rsid w:val="00922C86"/>
    <w:rsid w:val="00923306"/>
    <w:rsid w:val="00927941"/>
    <w:rsid w:val="009325A9"/>
    <w:rsid w:val="00943B46"/>
    <w:rsid w:val="00944933"/>
    <w:rsid w:val="00944DCE"/>
    <w:rsid w:val="00947EE1"/>
    <w:rsid w:val="00951470"/>
    <w:rsid w:val="009515D7"/>
    <w:rsid w:val="009552F9"/>
    <w:rsid w:val="0096459C"/>
    <w:rsid w:val="00966093"/>
    <w:rsid w:val="009660DC"/>
    <w:rsid w:val="00967D5F"/>
    <w:rsid w:val="00985126"/>
    <w:rsid w:val="009A1CF8"/>
    <w:rsid w:val="009A7F18"/>
    <w:rsid w:val="009A7FF6"/>
    <w:rsid w:val="009B4DDB"/>
    <w:rsid w:val="009B4E9E"/>
    <w:rsid w:val="009C3A95"/>
    <w:rsid w:val="009C6886"/>
    <w:rsid w:val="009D0CF3"/>
    <w:rsid w:val="009D1824"/>
    <w:rsid w:val="009D4CCF"/>
    <w:rsid w:val="009E4ACD"/>
    <w:rsid w:val="009E4F03"/>
    <w:rsid w:val="009E5005"/>
    <w:rsid w:val="009F4CD6"/>
    <w:rsid w:val="009F6940"/>
    <w:rsid w:val="009F6A07"/>
    <w:rsid w:val="00A10362"/>
    <w:rsid w:val="00A10613"/>
    <w:rsid w:val="00A11404"/>
    <w:rsid w:val="00A17DF6"/>
    <w:rsid w:val="00A24F2B"/>
    <w:rsid w:val="00A35551"/>
    <w:rsid w:val="00A369F3"/>
    <w:rsid w:val="00A37E53"/>
    <w:rsid w:val="00A50A1E"/>
    <w:rsid w:val="00A543D6"/>
    <w:rsid w:val="00A55E72"/>
    <w:rsid w:val="00A61330"/>
    <w:rsid w:val="00A63200"/>
    <w:rsid w:val="00A661C3"/>
    <w:rsid w:val="00A7349B"/>
    <w:rsid w:val="00A736D4"/>
    <w:rsid w:val="00A74308"/>
    <w:rsid w:val="00A81478"/>
    <w:rsid w:val="00A964A1"/>
    <w:rsid w:val="00AA21AF"/>
    <w:rsid w:val="00AA2F41"/>
    <w:rsid w:val="00AA3192"/>
    <w:rsid w:val="00AA7D4C"/>
    <w:rsid w:val="00AB7501"/>
    <w:rsid w:val="00AC20F1"/>
    <w:rsid w:val="00AC48D7"/>
    <w:rsid w:val="00AC50E7"/>
    <w:rsid w:val="00AC6370"/>
    <w:rsid w:val="00AC6C0D"/>
    <w:rsid w:val="00AD1145"/>
    <w:rsid w:val="00AD5676"/>
    <w:rsid w:val="00AD6585"/>
    <w:rsid w:val="00AE580D"/>
    <w:rsid w:val="00AE583E"/>
    <w:rsid w:val="00AE5D15"/>
    <w:rsid w:val="00AE631D"/>
    <w:rsid w:val="00AE74B5"/>
    <w:rsid w:val="00AF05B3"/>
    <w:rsid w:val="00AF16EB"/>
    <w:rsid w:val="00B06C44"/>
    <w:rsid w:val="00B208D4"/>
    <w:rsid w:val="00B20CC4"/>
    <w:rsid w:val="00B23FEC"/>
    <w:rsid w:val="00B50E21"/>
    <w:rsid w:val="00B5137D"/>
    <w:rsid w:val="00B527EA"/>
    <w:rsid w:val="00B53D8A"/>
    <w:rsid w:val="00B54E5C"/>
    <w:rsid w:val="00B56F22"/>
    <w:rsid w:val="00B71621"/>
    <w:rsid w:val="00B738D6"/>
    <w:rsid w:val="00B7489C"/>
    <w:rsid w:val="00B74F64"/>
    <w:rsid w:val="00B7596B"/>
    <w:rsid w:val="00B8194C"/>
    <w:rsid w:val="00B834FC"/>
    <w:rsid w:val="00B87729"/>
    <w:rsid w:val="00B93DF3"/>
    <w:rsid w:val="00BB3270"/>
    <w:rsid w:val="00BC32F4"/>
    <w:rsid w:val="00BC744B"/>
    <w:rsid w:val="00BC7832"/>
    <w:rsid w:val="00BD0EA0"/>
    <w:rsid w:val="00BD4FAD"/>
    <w:rsid w:val="00BD74F7"/>
    <w:rsid w:val="00BE2808"/>
    <w:rsid w:val="00BE528B"/>
    <w:rsid w:val="00BF7331"/>
    <w:rsid w:val="00C16DD6"/>
    <w:rsid w:val="00C201F8"/>
    <w:rsid w:val="00C24833"/>
    <w:rsid w:val="00C27525"/>
    <w:rsid w:val="00C33053"/>
    <w:rsid w:val="00C350DC"/>
    <w:rsid w:val="00C36D13"/>
    <w:rsid w:val="00C43705"/>
    <w:rsid w:val="00C50710"/>
    <w:rsid w:val="00C5584A"/>
    <w:rsid w:val="00C60AA7"/>
    <w:rsid w:val="00C6357C"/>
    <w:rsid w:val="00C63ADB"/>
    <w:rsid w:val="00C64186"/>
    <w:rsid w:val="00C67D12"/>
    <w:rsid w:val="00C714A1"/>
    <w:rsid w:val="00C73A46"/>
    <w:rsid w:val="00C77A77"/>
    <w:rsid w:val="00C85052"/>
    <w:rsid w:val="00C90953"/>
    <w:rsid w:val="00C9392D"/>
    <w:rsid w:val="00C948B7"/>
    <w:rsid w:val="00C94EEC"/>
    <w:rsid w:val="00CA0162"/>
    <w:rsid w:val="00CA0C68"/>
    <w:rsid w:val="00CA4429"/>
    <w:rsid w:val="00CC1689"/>
    <w:rsid w:val="00CC4CCF"/>
    <w:rsid w:val="00CC7174"/>
    <w:rsid w:val="00CD4400"/>
    <w:rsid w:val="00CE5EE5"/>
    <w:rsid w:val="00CF0658"/>
    <w:rsid w:val="00CF21FF"/>
    <w:rsid w:val="00CF4C21"/>
    <w:rsid w:val="00CF788D"/>
    <w:rsid w:val="00D017C5"/>
    <w:rsid w:val="00D02DE1"/>
    <w:rsid w:val="00D054D1"/>
    <w:rsid w:val="00D12FC0"/>
    <w:rsid w:val="00D137E2"/>
    <w:rsid w:val="00D177DD"/>
    <w:rsid w:val="00D17F8E"/>
    <w:rsid w:val="00D207B4"/>
    <w:rsid w:val="00D2739F"/>
    <w:rsid w:val="00D30491"/>
    <w:rsid w:val="00D33603"/>
    <w:rsid w:val="00D45554"/>
    <w:rsid w:val="00D540CC"/>
    <w:rsid w:val="00D55316"/>
    <w:rsid w:val="00D614DC"/>
    <w:rsid w:val="00D65100"/>
    <w:rsid w:val="00D70D42"/>
    <w:rsid w:val="00D739DB"/>
    <w:rsid w:val="00D75B90"/>
    <w:rsid w:val="00D9383F"/>
    <w:rsid w:val="00D9463F"/>
    <w:rsid w:val="00D95641"/>
    <w:rsid w:val="00D969AF"/>
    <w:rsid w:val="00DA152D"/>
    <w:rsid w:val="00DA3CEB"/>
    <w:rsid w:val="00DB085C"/>
    <w:rsid w:val="00DB1F8B"/>
    <w:rsid w:val="00DB5151"/>
    <w:rsid w:val="00DB5575"/>
    <w:rsid w:val="00DB5625"/>
    <w:rsid w:val="00DC0AB5"/>
    <w:rsid w:val="00DC399A"/>
    <w:rsid w:val="00DC65AE"/>
    <w:rsid w:val="00DC6667"/>
    <w:rsid w:val="00DE042F"/>
    <w:rsid w:val="00DE6B7F"/>
    <w:rsid w:val="00DF11B1"/>
    <w:rsid w:val="00DF1F3F"/>
    <w:rsid w:val="00DF3344"/>
    <w:rsid w:val="00DF5157"/>
    <w:rsid w:val="00E03695"/>
    <w:rsid w:val="00E05FE2"/>
    <w:rsid w:val="00E06F3F"/>
    <w:rsid w:val="00E11315"/>
    <w:rsid w:val="00E23124"/>
    <w:rsid w:val="00E2679B"/>
    <w:rsid w:val="00E269BA"/>
    <w:rsid w:val="00E26F3D"/>
    <w:rsid w:val="00E31225"/>
    <w:rsid w:val="00E42E44"/>
    <w:rsid w:val="00E54DD0"/>
    <w:rsid w:val="00E619A0"/>
    <w:rsid w:val="00E6236B"/>
    <w:rsid w:val="00E6716E"/>
    <w:rsid w:val="00E7780E"/>
    <w:rsid w:val="00E85466"/>
    <w:rsid w:val="00E8625B"/>
    <w:rsid w:val="00E903E0"/>
    <w:rsid w:val="00E9142E"/>
    <w:rsid w:val="00E92407"/>
    <w:rsid w:val="00E96E69"/>
    <w:rsid w:val="00EA4676"/>
    <w:rsid w:val="00EA484D"/>
    <w:rsid w:val="00EB2328"/>
    <w:rsid w:val="00EB2888"/>
    <w:rsid w:val="00EB4EA1"/>
    <w:rsid w:val="00EC0A4F"/>
    <w:rsid w:val="00ED473A"/>
    <w:rsid w:val="00ED56B6"/>
    <w:rsid w:val="00ED5EEA"/>
    <w:rsid w:val="00EE011B"/>
    <w:rsid w:val="00EF3015"/>
    <w:rsid w:val="00EF4C1D"/>
    <w:rsid w:val="00EF7CFB"/>
    <w:rsid w:val="00F026A6"/>
    <w:rsid w:val="00F07E29"/>
    <w:rsid w:val="00F15A3F"/>
    <w:rsid w:val="00F1657B"/>
    <w:rsid w:val="00F240FB"/>
    <w:rsid w:val="00F241E9"/>
    <w:rsid w:val="00F41772"/>
    <w:rsid w:val="00F432AE"/>
    <w:rsid w:val="00F47AD4"/>
    <w:rsid w:val="00F51C85"/>
    <w:rsid w:val="00F619A7"/>
    <w:rsid w:val="00F64DB9"/>
    <w:rsid w:val="00F6533C"/>
    <w:rsid w:val="00F66A7B"/>
    <w:rsid w:val="00F704AD"/>
    <w:rsid w:val="00F72FD1"/>
    <w:rsid w:val="00F73BB5"/>
    <w:rsid w:val="00F767F6"/>
    <w:rsid w:val="00F76CB2"/>
    <w:rsid w:val="00F80A6B"/>
    <w:rsid w:val="00F83A13"/>
    <w:rsid w:val="00FA0496"/>
    <w:rsid w:val="00FB2600"/>
    <w:rsid w:val="00FB2DAA"/>
    <w:rsid w:val="00FB48D2"/>
    <w:rsid w:val="00FB528E"/>
    <w:rsid w:val="00FB7742"/>
    <w:rsid w:val="00FC7953"/>
    <w:rsid w:val="00FD4488"/>
    <w:rsid w:val="00FD4A30"/>
    <w:rsid w:val="00FD5708"/>
    <w:rsid w:val="00FD6984"/>
    <w:rsid w:val="00FE57F9"/>
    <w:rsid w:val="00FF2E2B"/>
    <w:rsid w:val="00FF4C1A"/>
    <w:rsid w:val="00FF6D51"/>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AC599"/>
  <w15:docId w15:val="{649D0EEB-AA27-49C2-A407-CBF2146DD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link w:val="Titre1Ca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vision">
    <w:name w:val="Revision"/>
    <w:hidden/>
    <w:semiHidden/>
    <w:rsid w:val="00C27525"/>
    <w:pPr>
      <w:spacing w:after="0"/>
    </w:pPr>
    <w:rPr>
      <w:lang w:val="fr-CH"/>
    </w:rPr>
  </w:style>
  <w:style w:type="character" w:customStyle="1" w:styleId="Titre1Car">
    <w:name w:val="Titre 1 Car"/>
    <w:basedOn w:val="Policepardfaut"/>
    <w:link w:val="Titre1"/>
    <w:uiPriority w:val="1"/>
    <w:rsid w:val="006632EC"/>
    <w:rPr>
      <w:rFonts w:eastAsiaTheme="majorEastAsia" w:cs="Open Sans SemiCondensed"/>
      <w:b/>
      <w:bCs/>
      <w:color w:val="000000" w:themeColor="text1"/>
      <w:sz w:val="24"/>
      <w:szCs w:val="32"/>
      <w:lang w:val="fr-CH"/>
    </w:rPr>
  </w:style>
  <w:style w:type="paragraph" w:customStyle="1" w:styleId="pdq2pgselectionanchorcontainer">
    <w:name w:val="pdq2pg_selectionanchorcontainer"/>
    <w:basedOn w:val="Normal"/>
    <w:rsid w:val="008B711A"/>
    <w:pPr>
      <w:spacing w:before="100" w:beforeAutospacing="1" w:after="100" w:afterAutospacing="1" w:line="240" w:lineRule="auto"/>
    </w:pPr>
    <w:rPr>
      <w:rFonts w:ascii="Times New Roman" w:eastAsia="Times New Roman" w:hAnsi="Times New Roman" w:cs="Times New Roman"/>
      <w:spacing w:val="0"/>
      <w:sz w:val="24"/>
      <w:szCs w:val="24"/>
      <w:lang w:val="it-CH"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www.european-agency.org/sites/default/files/profile_of_inclusive_teachers_fr.pdf"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m4.ti.ch/fileadmin/DECS/DS/Rivista_scuola_ticinese/ST_n.324/ST_324_mincu_quale_valutazione_nell_ambito.pdf"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m3.ti.ch/COMUNICAZIONI/241151/1_DECS%20Inclusione%20e%20accessibilit&#224;%20nel%20sistema%20scolastico%20ticinese.pdf" TargetMode="External"/><Relationship Id="rId25" Type="http://schemas.openxmlformats.org/officeDocument/2006/relationships/hyperlink" Target="https://neurocosmopolitanism.co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atteo.pirico@supsi.ch" TargetMode="External"/><Relationship Id="rId20" Type="http://schemas.openxmlformats.org/officeDocument/2006/relationships/hyperlink" Target="https://www.academia.edu/65639221/Talento_competenza_capacitazione_caratterizzazioni_comuni_per_uno_schema_concettuale_operativo"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6-03-06" TargetMode="External"/><Relationship Id="rId24" Type="http://schemas.openxmlformats.org/officeDocument/2006/relationships/hyperlink" Target="https://doi.org/10.3390/educsci13050466"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pianodistudio.edu.ti.ch/wp-content/uploads/2023/11/Valutazione-per-competenze_Dalla_Teoria_alla_Prassi-OK.pdf"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doi.org/10.57161/r2026-03-01"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57161/r2026-03-01" TargetMode="External"/><Relationship Id="rId22" Type="http://schemas.openxmlformats.org/officeDocument/2006/relationships/hyperlink" Target="https://doi.org/10.1207/s15430421tip4403_7"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mo\SZH%20CSPS\Daten_Allgemein%20-%20General\2_Produkte\52_Revue\RV02_Redaction\Revue_2026\03_Adaptation%20du%20PER\Layout_R03-2026.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7868244-67EF-4294-9F4B-9252009D6088}">
  <we:reference id="WA200010725" version="1.0.0.1" store="Omex" storeType="OMEX"/>
  <we:alternateReferences>
    <we:reference id="WA200010725" version="1.0.0.1" store="WA200010725" storeType="OMEX"/>
  </we:alternateReferences>
  <we:properties>
    <we:property name="claude.fileId" value="&quot;f61a0455-d5dd-478d-8a50-fc31a1f34ba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9" ma:contentTypeDescription="Crée un document." ma:contentTypeScope="" ma:versionID="a60f16be11dc258eb817fbd8358c30bd">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0d7f00eca0135c6f88dedcd41bd2e0f"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0B72DC4F-9D57-493C-B4F1-BB85481E3ED1}"/>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Layout_R03-2026.dotx</Template>
  <TotalTime>0</TotalTime>
  <Pages>7</Pages>
  <Words>3855</Words>
  <Characters>21975</Characters>
  <Application>Microsoft Office Word</Application>
  <DocSecurity>0</DocSecurity>
  <Lines>183</Lines>
  <Paragraphs>51</Paragraphs>
  <ScaleCrop>false</ScaleCrop>
  <HeadingPairs>
    <vt:vector size="4" baseType="variant">
      <vt:variant>
        <vt:lpstr>Titre</vt:lpstr>
      </vt:variant>
      <vt:variant>
        <vt:i4>1</vt:i4>
      </vt:variant>
      <vt:variant>
        <vt:lpstr>Titolo</vt:lpstr>
      </vt:variant>
      <vt:variant>
        <vt:i4>1</vt:i4>
      </vt:variant>
    </vt:vector>
  </HeadingPairs>
  <TitlesOfParts>
    <vt:vector size="2" baseType="lpstr">
      <vt:lpstr>Title</vt:lpstr>
      <vt:lpstr>Title</vt:lpstr>
    </vt:vector>
  </TitlesOfParts>
  <Company/>
  <LinksUpToDate>false</LinksUpToDate>
  <CharactersWithSpaces>25779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Quand les compétences cessent de mesurer : capabilités et accessibilité dans le curriculum tessinois</dc:title>
  <dc:creator>Matteo Luigi Piricò</dc:creator>
  <cp:keywords>accessibilité, capabilités, compétences, curriculum, pédagogie différenciée, évaluation, plan d’études, Tessin / Barrierefreiheit, Befähigung, Curriculum, differenzierender Unterricht, Evaluation, Kompetenz, Lehrplan, Tessin</cp:keywords>
  <cp:lastModifiedBy>Morand, Robin</cp:lastModifiedBy>
  <cp:revision>37</cp:revision>
  <cp:lastPrinted>2022-07-01T12:31:00Z</cp:lastPrinted>
  <dcterms:created xsi:type="dcterms:W3CDTF">2026-07-31T10:12:00Z</dcterms:created>
  <dcterms:modified xsi:type="dcterms:W3CDTF">2026-08-21T14:50:00Z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