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1CD57" w14:textId="0D9992EB" w:rsidR="00B91075" w:rsidRDefault="0062297A" w:rsidP="00C56098">
      <w:pPr>
        <w:pStyle w:val="Titre"/>
        <w:suppressAutoHyphens/>
      </w:pPr>
      <w:r w:rsidRPr="0062297A">
        <w:t>FLOW PILOTING 2026</w:t>
      </w:r>
      <w:r w:rsidR="0008775F">
        <w:t xml:space="preserve"> : </w:t>
      </w:r>
      <w:r w:rsidR="00024B22">
        <w:t>u</w:t>
      </w:r>
      <w:r w:rsidR="00C75286" w:rsidRPr="00B91075">
        <w:t>n</w:t>
      </w:r>
      <w:r w:rsidR="00B91075" w:rsidRPr="00B91075">
        <w:t xml:space="preserve"> cycle pilote pour soutenir le développement des fonctions exécutives en classe ordinaire</w:t>
      </w:r>
    </w:p>
    <w:p w14:paraId="43427171" w14:textId="11B4774F" w:rsidR="001114E2" w:rsidRPr="00153133" w:rsidRDefault="0062297A" w:rsidP="00B91075">
      <w:pPr>
        <w:pStyle w:val="Author"/>
      </w:pPr>
      <w:r w:rsidRPr="0062297A">
        <w:t xml:space="preserve">Omar F. </w:t>
      </w:r>
      <w:proofErr w:type="spellStart"/>
      <w:r w:rsidRPr="0062297A">
        <w:t>Pagnamenta</w:t>
      </w:r>
      <w:proofErr w:type="spellEnd"/>
      <w:r w:rsidR="00386CFF" w:rsidRPr="00153133">
        <w:t xml:space="preserve"> </w:t>
      </w:r>
    </w:p>
    <w:p w14:paraId="6706D6B6" w14:textId="12DA0A24"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62297A" w:rsidRPr="0062297A">
        <w:rPr>
          <w:rFonts w:cs="Open Sans SemiCondensed"/>
        </w:rPr>
        <w:t>Le Piloting2026 est un cycle pilote conduit dans un cycle d’orientation tessinois qui comprend 73</w:t>
      </w:r>
      <w:r w:rsidR="00BB6C0F">
        <w:rPr>
          <w:rFonts w:cs="Open Sans SemiCondensed"/>
        </w:rPr>
        <w:t> </w:t>
      </w:r>
      <w:r w:rsidR="0062297A" w:rsidRPr="0062297A">
        <w:rPr>
          <w:rFonts w:cs="Open Sans SemiCondensed"/>
        </w:rPr>
        <w:t>élèves âgés de 11 à 13</w:t>
      </w:r>
      <w:r w:rsidR="00BB6C0F">
        <w:rPr>
          <w:rFonts w:cs="Open Sans SemiCondensed"/>
        </w:rPr>
        <w:t> </w:t>
      </w:r>
      <w:r w:rsidR="0062297A" w:rsidRPr="0062297A">
        <w:rPr>
          <w:rFonts w:cs="Open Sans SemiCondensed"/>
        </w:rPr>
        <w:t>ans pour préparer un essai randomisé contrôlé (ERC ou RCT dans la littérature en anglais) croisant entrainement métacognitif et jeu vidéo éducatif adaptatif. Le cycle pilote a permis d’évaluer si les conditions expérimentales produisaient des profils suffisamment distincts pour être comparés dans l’essai principal. Menée sur cinq séances dans deux conditions (entrainement métacognitif et contrôle actif), l’étude confirme cette distinction sur l’engagement des élèves, surtout aux phases de démarrage et de clôture. Elle dégage aussi des repères concrets pour l’adaptation des plans d’études cantonaux en éducation inclusive</w:t>
      </w:r>
      <w:r w:rsidR="00D02DE1" w:rsidRPr="00153133">
        <w:rPr>
          <w:rFonts w:cs="Open Sans SemiCondensed"/>
        </w:rPr>
        <w:t xml:space="preserve">. </w:t>
      </w:r>
    </w:p>
    <w:p w14:paraId="61BBA7C4" w14:textId="77777777" w:rsidR="00F56936" w:rsidRPr="00196061" w:rsidRDefault="00F56936" w:rsidP="00F56936">
      <w:pPr>
        <w:pStyle w:val="Abstract"/>
        <w:rPr>
          <w:rFonts w:cs="Open Sans SemiCondensed SemiCon"/>
          <w:lang w:val="de-CH"/>
        </w:rPr>
      </w:pPr>
      <w:r w:rsidRPr="298AC50D">
        <w:rPr>
          <w:rFonts w:cs="Open Sans SemiCondensed SemiCon"/>
          <w:lang w:val="de-CH"/>
        </w:rPr>
        <w:t>Zusammenfassung</w:t>
      </w:r>
      <w:r w:rsidRPr="00E271AB">
        <w:rPr>
          <w:lang w:val="de-CH"/>
        </w:rPr>
        <w:br/>
      </w:r>
      <w:r w:rsidRPr="298AC50D">
        <w:rPr>
          <w:rFonts w:cs="Open Sans SemiCondensed SemiCon"/>
          <w:lang w:val="de-CH"/>
        </w:rPr>
        <w:t xml:space="preserve">Das Projekt «Piloting2026» ist ein Pilotversuch, der mit 73 </w:t>
      </w:r>
      <w:proofErr w:type="spellStart"/>
      <w:proofErr w:type="gramStart"/>
      <w:r w:rsidRPr="298AC50D">
        <w:rPr>
          <w:rFonts w:cs="Open Sans SemiCondensed SemiCon"/>
          <w:lang w:val="de-CH"/>
        </w:rPr>
        <w:t>Schüler:innen</w:t>
      </w:r>
      <w:proofErr w:type="spellEnd"/>
      <w:proofErr w:type="gramEnd"/>
      <w:r w:rsidRPr="298AC50D">
        <w:rPr>
          <w:rFonts w:cs="Open Sans SemiCondensed SemiCon"/>
          <w:lang w:val="de-CH"/>
        </w:rPr>
        <w:t xml:space="preserve"> im Alter von 11 bis 13 Jahren an einer Tessiner Schule der Sekundarstufe I durchgeführt wird. Mit dem Pilotversuch wird eine randomisierte kontrollierte Studie vorbereitet (in der englischsprachigen Fachliteratur als «</w:t>
      </w:r>
      <w:proofErr w:type="spellStart"/>
      <w:r w:rsidRPr="298AC50D">
        <w:rPr>
          <w:rFonts w:cs="Open Sans SemiCondensed SemiCon"/>
          <w:lang w:val="de-CH"/>
        </w:rPr>
        <w:t>Randomized</w:t>
      </w:r>
      <w:proofErr w:type="spellEnd"/>
      <w:r w:rsidRPr="298AC50D">
        <w:rPr>
          <w:rFonts w:cs="Open Sans SemiCondensed SemiCon"/>
          <w:lang w:val="de-CH"/>
        </w:rPr>
        <w:t xml:space="preserve"> </w:t>
      </w:r>
      <w:proofErr w:type="spellStart"/>
      <w:r w:rsidRPr="298AC50D">
        <w:rPr>
          <w:rFonts w:cs="Open Sans SemiCondensed SemiCon"/>
          <w:lang w:val="de-CH"/>
        </w:rPr>
        <w:t>Controlled</w:t>
      </w:r>
      <w:proofErr w:type="spellEnd"/>
      <w:r w:rsidRPr="298AC50D">
        <w:rPr>
          <w:rFonts w:cs="Open Sans SemiCondensed SemiCon"/>
          <w:lang w:val="de-CH"/>
        </w:rPr>
        <w:t xml:space="preserve"> Trial» [RCT] bezeichnet). Diese Studie kombiniert metakognitives Training und adaptives Lernvideospiel. Das Pilotprojekt umfasste fünf Sitzungen und zwei Bedingungen (metakognitives Training und aktive Kontrollgruppe). Es wurde untersucht, ob die Versuchsbedingungen ausreichend unterschiedliche Profile hervorbrachten, um diese im Hauptversuch vergleichen zu können. Das Pilotprojekt bestätigt diesen Unterschied hinsichtlich des Engagements der Lernenden, insbesondere in der Einführungs- und Abschlussphase. Zudem liefert es konkrete Anhaltspunkte für die Anpassung der kantonalen Lehrpläne im Bereich der inklusiven Bildung.</w:t>
      </w:r>
    </w:p>
    <w:p w14:paraId="771FEE87" w14:textId="41F7D75E" w:rsidR="00F56936" w:rsidRPr="00E271AB" w:rsidRDefault="00F56936" w:rsidP="00F56936">
      <w:pPr>
        <w:pStyle w:val="Corpsdetexte3"/>
        <w:rPr>
          <w:rStyle w:val="lev"/>
          <w:b w:val="0"/>
          <w:bCs w:val="0"/>
        </w:rPr>
      </w:pPr>
      <w:proofErr w:type="gramStart"/>
      <w:r w:rsidRPr="00E271AB">
        <w:rPr>
          <w:rStyle w:val="lev"/>
          <w:rFonts w:cs="Open Sans SemiCondensed SemiCon"/>
        </w:rPr>
        <w:t>Keywords</w:t>
      </w:r>
      <w:r w:rsidRPr="00E271AB">
        <w:t>:</w:t>
      </w:r>
      <w:proofErr w:type="gramEnd"/>
      <w:r w:rsidRPr="00E271AB">
        <w:t xml:space="preserve"> cycle d'orientation, jeu éducatif, processus cognitif, projet pilote / </w:t>
      </w:r>
      <w:proofErr w:type="spellStart"/>
      <w:r w:rsidRPr="00E271AB">
        <w:t>kognitiver</w:t>
      </w:r>
      <w:proofErr w:type="spellEnd"/>
      <w:r w:rsidRPr="00E271AB">
        <w:t xml:space="preserve"> </w:t>
      </w:r>
      <w:proofErr w:type="spellStart"/>
      <w:r w:rsidRPr="00E271AB">
        <w:t>Prozess</w:t>
      </w:r>
      <w:proofErr w:type="spellEnd"/>
      <w:r w:rsidRPr="00E271AB">
        <w:t xml:space="preserve">, </w:t>
      </w:r>
      <w:proofErr w:type="spellStart"/>
      <w:r w:rsidR="00596DCD" w:rsidRPr="00E271AB">
        <w:t>Lernspiel</w:t>
      </w:r>
      <w:proofErr w:type="spellEnd"/>
      <w:r w:rsidRPr="00E271AB">
        <w:t xml:space="preserve">, </w:t>
      </w:r>
      <w:proofErr w:type="spellStart"/>
      <w:r w:rsidRPr="00E271AB">
        <w:t>Orientierungsstufe</w:t>
      </w:r>
      <w:proofErr w:type="spellEnd"/>
      <w:r w:rsidRPr="00E271AB">
        <w:t xml:space="preserve">, </w:t>
      </w:r>
      <w:proofErr w:type="spellStart"/>
      <w:r w:rsidR="00596DCD" w:rsidRPr="00E271AB">
        <w:t>Pilotprojekt</w:t>
      </w:r>
      <w:proofErr w:type="spellEnd"/>
    </w:p>
    <w:p w14:paraId="4F9CFB48" w14:textId="4894FD71" w:rsidR="001D3BFB" w:rsidRPr="00153133" w:rsidRDefault="00EA4676" w:rsidP="00C24833">
      <w:pPr>
        <w:pStyle w:val="Corpsdetexte3"/>
        <w:rPr>
          <w:rFonts w:cs="Open Sans SemiCondensed"/>
          <w:bCs/>
          <w:iCs/>
          <w:color w:val="CF3649"/>
        </w:rPr>
      </w:pPr>
      <w:proofErr w:type="gramStart"/>
      <w:r w:rsidRPr="00153133">
        <w:rPr>
          <w:rStyle w:val="lev"/>
          <w:rFonts w:cs="Open Sans SemiCondensed"/>
        </w:rPr>
        <w:t>DOI</w:t>
      </w:r>
      <w:r w:rsidRPr="00153133">
        <w:rPr>
          <w:rFonts w:cs="Open Sans SemiCondensed"/>
        </w:rPr>
        <w:t>:</w:t>
      </w:r>
      <w:proofErr w:type="gramEnd"/>
      <w:r w:rsidRPr="00153133">
        <w:rPr>
          <w:rFonts w:cs="Open Sans SemiCondensed"/>
        </w:rPr>
        <w:t xml:space="preserve"> </w:t>
      </w:r>
      <w:hyperlink r:id="rId11" w:history="1">
        <w:r w:rsidR="00786EA8" w:rsidRPr="00C80297">
          <w:rPr>
            <w:rStyle w:val="Lienhypertexte"/>
            <w:rFonts w:cs="Open Sans SemiCondensed"/>
          </w:rPr>
          <w:t>https://doi.org/10.57161/r2026-03-05</w:t>
        </w:r>
      </w:hyperlink>
    </w:p>
    <w:p w14:paraId="5460EAE5" w14:textId="2FEA318C"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8C483F">
        <w:t>3</w:t>
      </w:r>
      <w:r w:rsidRPr="00153133">
        <w:t>/</w:t>
      </w:r>
      <w:r w:rsidR="00037AE3">
        <w:t>202</w:t>
      </w:r>
      <w:r w:rsidR="009E4ACD">
        <w:t>6</w:t>
      </w:r>
    </w:p>
    <w:p w14:paraId="2520490E" w14:textId="77777777" w:rsidR="000E6A66" w:rsidRPr="00153133" w:rsidRDefault="000E6A66" w:rsidP="00C24833">
      <w:pPr>
        <w:pStyle w:val="Corpsdetexte3"/>
      </w:pPr>
      <w:r w:rsidRPr="00153133">
        <w:rPr>
          <w:noProof/>
        </w:rPr>
        <w:drawing>
          <wp:inline distT="0" distB="0" distL="0" distR="0" wp14:anchorId="6F1CFAD0" wp14:editId="45CEEA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359DA87" w14:textId="77777777" w:rsidR="0062297A" w:rsidRDefault="0062297A" w:rsidP="0062297A">
      <w:pPr>
        <w:pStyle w:val="Titre1"/>
      </w:pPr>
      <w:bookmarkStart w:id="0" w:name="heading-1"/>
      <w:r>
        <w:t>Le dispositif FLOW et ses enjeux curriculaires</w:t>
      </w:r>
    </w:p>
    <w:p w14:paraId="0C31C8F6" w14:textId="545DF9AA" w:rsidR="0062297A" w:rsidRDefault="0094194F" w:rsidP="001E3E7C">
      <w:pPr>
        <w:pStyle w:val="Corpsdetexte"/>
        <w:ind w:firstLine="0"/>
      </w:pPr>
      <w:r w:rsidRPr="00037AE3">
        <w:rPr>
          <w:noProof/>
        </w:rPr>
        <mc:AlternateContent>
          <mc:Choice Requires="wps">
            <w:drawing>
              <wp:anchor distT="45720" distB="45720" distL="46990" distR="46990" simplePos="0" relativeHeight="251658240" behindDoc="0" locked="0" layoutInCell="1" allowOverlap="0" wp14:anchorId="22107715" wp14:editId="247679CD">
                <wp:simplePos x="0" y="0"/>
                <wp:positionH relativeFrom="column">
                  <wp:posOffset>-900430</wp:posOffset>
                </wp:positionH>
                <wp:positionV relativeFrom="paragraph">
                  <wp:posOffset>1220470</wp:posOffset>
                </wp:positionV>
                <wp:extent cx="5508000" cy="684000"/>
                <wp:effectExtent l="0" t="0" r="0" b="1905"/>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8000" cy="684000"/>
                        </a:xfrm>
                        <a:prstGeom prst="rect">
                          <a:avLst/>
                        </a:prstGeom>
                        <a:noFill/>
                        <a:ln w="9525">
                          <a:noFill/>
                          <a:miter lim="800000"/>
                          <a:headEnd/>
                          <a:tailEnd/>
                        </a:ln>
                      </wps:spPr>
                      <wps:txbx>
                        <w:txbxContent>
                          <w:p w14:paraId="19270831" w14:textId="47B727DB" w:rsidR="0094194F" w:rsidRPr="0047168D" w:rsidRDefault="00477499" w:rsidP="00477499">
                            <w:pPr>
                              <w:pStyle w:val="Hervorhebung1"/>
                              <w:jc w:val="both"/>
                            </w:pPr>
                            <w:r>
                              <w:t>Chaque séance FLOW suit une logique en trois temps</w:t>
                            </w:r>
                            <w:r w:rsidR="003C091A">
                              <w:t> </w:t>
                            </w:r>
                            <w:r>
                              <w:t>: un démarrage structuré où les élèves planifient leur engagement, une phase de travail productif alternant jeu vidéo et réflexion stratégique, et une clôture métacognitive</w:t>
                            </w:r>
                            <w:r w:rsidR="003D0CD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107715" id="_x0000_t202" coordsize="21600,21600" o:spt="202" path="m,l,21600r21600,l21600,xe">
                <v:stroke joinstyle="miter"/>
                <v:path gradientshapeok="t" o:connecttype="rect"/>
              </v:shapetype>
              <v:shape id="Zone de texte 2" o:spid="_x0000_s1026" type="#_x0000_t202" alt="&quot;&quot;" style="position:absolute;left:0;text-align:left;margin-left:-70.9pt;margin-top:96.1pt;width:433.7pt;height:53.8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" o:allowoverlap="f" filled="f" stroked="f">
                <v:textbox inset="29mm,,2.5mm">
                  <w:txbxContent>
                    <w:p w14:paraId="19270831" w14:textId="47B727DB" w:rsidR="0094194F" w:rsidRPr="0047168D" w:rsidRDefault="00477499" w:rsidP="00477499">
                      <w:pPr>
                        <w:pStyle w:val="Hervorhebung1"/>
                        <w:jc w:val="both"/>
                      </w:pPr>
                      <w:r>
                        <w:t>Chaque séance FLOW suit une logique en trois temps</w:t>
                      </w:r>
                      <w:r w:rsidR="003C091A">
                        <w:t> </w:t>
                      </w:r>
                      <w:r>
                        <w:t>: un démarrage structuré où les élèves planifient leur engagement, une phase de travail productif alternant jeu vidéo et réflexion stratégique, et une clôture métacognitive</w:t>
                      </w:r>
                      <w:r w:rsidR="003D0CD5">
                        <w:t>.</w:t>
                      </w:r>
                    </w:p>
                  </w:txbxContent>
                </v:textbox>
                <w10:wrap type="topAndBottom"/>
              </v:shape>
            </w:pict>
          </mc:Fallback>
        </mc:AlternateContent>
      </w:r>
      <w:r w:rsidR="0062297A">
        <w:t xml:space="preserve">L’enseignement inclusif requiert des dispositifs capables de soutenir l’ensemble des élèves, y compris celles et ceux qui présentent des besoins éducatifs particuliers ou spéciaux. Dans cet article, l’abréviation BES est utilisée pour désigner les élèves dont la scolarité en classe ordinaire nécessite des aménagements, des soutiens ou des adaptations pédagogiques spécifiques. Le dispositif FLOW combine un jeu vidéo à visée éducative et un </w:t>
      </w:r>
      <w:r w:rsidR="009821E7">
        <w:t>entrainement</w:t>
      </w:r>
      <w:r w:rsidR="0062297A">
        <w:t xml:space="preserve"> métacognitif explicite. Il s’inscrit dans les compétences transversales des Plans d’études cantonaux, en particulier dans le domaine «</w:t>
      </w:r>
      <w:r w:rsidR="00BB6C0F">
        <w:t> </w:t>
      </w:r>
      <w:r w:rsidR="0062297A">
        <w:t>Apprendre à apprendre</w:t>
      </w:r>
      <w:r w:rsidR="00BB6C0F">
        <w:t> </w:t>
      </w:r>
      <w:r w:rsidR="0062297A">
        <w:t>».</w:t>
      </w:r>
      <w:r>
        <w:t xml:space="preserve"> </w:t>
      </w:r>
    </w:p>
    <w:p w14:paraId="264ADC11" w14:textId="45EF7FDC" w:rsidR="0062297A" w:rsidRDefault="0062297A" w:rsidP="0094194F">
      <w:pPr>
        <w:pStyle w:val="Corpsdetexte"/>
        <w:ind w:firstLine="0"/>
      </w:pPr>
      <w:r>
        <w:t>Concrètement, chaque séance FLOW suit une logique en trois temps</w:t>
      </w:r>
      <w:r w:rsidR="003C091A">
        <w:t> </w:t>
      </w:r>
      <w:r>
        <w:t>: un démarrage structuré où les élèves planifient leur engagement, une phase de travail productif alternant jeu vidéo et réflexion stratégique, et une clôture métacognitive où les élèves évaluent leurs stratégies et régulent leur compréhension. Ce séquençage mobilise des fonctions exécutives centrales pour l’apprentissage</w:t>
      </w:r>
      <w:r w:rsidR="003C091A">
        <w:t> </w:t>
      </w:r>
      <w:r>
        <w:t xml:space="preserve">: la planification avant la tâche, le monitoring pendant l’activité et l’évaluation après coup. Ces dimensions rejoignent les compétences transversales du PER. Le lien entre le dispositif et les </w:t>
      </w:r>
      <w:proofErr w:type="gramStart"/>
      <w:r>
        <w:lastRenderedPageBreak/>
        <w:t>adaptations</w:t>
      </w:r>
      <w:proofErr w:type="gramEnd"/>
      <w:r>
        <w:t xml:space="preserve"> curriculaires n’est donc pas indirect</w:t>
      </w:r>
      <w:r w:rsidR="003C091A">
        <w:t> </w:t>
      </w:r>
      <w:r>
        <w:t>: la structure même des séances constitue une mise en œuvre pédagogique des attentes du plan d’études.</w:t>
      </w:r>
    </w:p>
    <w:p w14:paraId="1D01AAA1" w14:textId="568620D1" w:rsidR="0062297A" w:rsidRDefault="0062297A" w:rsidP="00411F3C">
      <w:pPr>
        <w:pStyle w:val="Corpsdetexte"/>
        <w:ind w:firstLine="0"/>
      </w:pPr>
      <w:r>
        <w:t>L’essai randomisé contrôlé tessinois, dont ce pilote prépare le lancement, est conçu pour répondre à une question centrale</w:t>
      </w:r>
      <w:r w:rsidR="003C091A">
        <w:t> </w:t>
      </w:r>
      <w:r>
        <w:t>: l’entrainement métacognitif couplé à un jeu vidéo améliore-t-il les fonctions exécutives et la compréhension en lecture</w:t>
      </w:r>
      <w:r w:rsidR="003C091A">
        <w:t> </w:t>
      </w:r>
      <w:r>
        <w:t>? Ces gains se transfèrent-ils vers une réduction des inégalités scolaires</w:t>
      </w:r>
      <w:r w:rsidR="003C091A">
        <w:t> </w:t>
      </w:r>
      <w:r>
        <w:t xml:space="preserve">? Ce transfert reste l’un des enjeux débattus de la </w:t>
      </w:r>
      <w:proofErr w:type="spellStart"/>
      <w:r>
        <w:t>neuroéducation</w:t>
      </w:r>
      <w:proofErr w:type="spellEnd"/>
      <w:r>
        <w:t>, entendue ici comme l’étude des liens entre connaissances sur le cerveau, apprentissages et pratiques pédagogiques (Sala &amp; Gobet, 2019). Le RCT y répond par un ancrage théorique explicite, une délivrance en contexte écologique (en classe ordinaire) et des «</w:t>
      </w:r>
      <w:r w:rsidR="00BB6C0F">
        <w:t> </w:t>
      </w:r>
      <w:r>
        <w:t>ponts métacognitifs</w:t>
      </w:r>
      <w:r w:rsidR="00BB6C0F">
        <w:t> </w:t>
      </w:r>
      <w:r>
        <w:t>» systématiques entre les tâches du jeu et les activités curriculaires.</w:t>
      </w:r>
    </w:p>
    <w:p w14:paraId="4A5DA6CF" w14:textId="77777777" w:rsidR="0062297A" w:rsidRDefault="0062297A" w:rsidP="0062297A">
      <w:pPr>
        <w:pStyle w:val="Titre2"/>
      </w:pPr>
      <w:r>
        <w:t>Les trois conditions expérimentales</w:t>
      </w:r>
    </w:p>
    <w:p w14:paraId="54492EAC" w14:textId="65A2647B" w:rsidR="0062297A" w:rsidRDefault="0062297A" w:rsidP="0087038E">
      <w:pPr>
        <w:pStyle w:val="Corpsdetexte"/>
        <w:ind w:firstLine="0"/>
      </w:pPr>
      <w:r>
        <w:t>Le dispositif FLOW articule trois conditions</w:t>
      </w:r>
      <w:r w:rsidR="0010376C">
        <w:t>.</w:t>
      </w:r>
    </w:p>
    <w:p w14:paraId="4ADE3648" w14:textId="77777777" w:rsidR="0062297A" w:rsidRDefault="0062297A" w:rsidP="0087038E">
      <w:pPr>
        <w:pStyle w:val="Liste"/>
        <w:spacing w:after="60"/>
        <w:contextualSpacing w:val="0"/>
        <w:jc w:val="both"/>
      </w:pPr>
      <w:r>
        <w:t>Condition FLOW : deux séances hebdomadaires combinant un jeu vidéo adaptatif (</w:t>
      </w:r>
      <w:proofErr w:type="spellStart"/>
      <w:r>
        <w:t>Pasqualotto</w:t>
      </w:r>
      <w:proofErr w:type="spellEnd"/>
      <w:r>
        <w:t xml:space="preserve"> et al., 2026) qui cible le contrôle de l’inhibition et la flexibilité cognitive et une séance d’entrainement métacognitif explicite qui comprend planification, prédiction, </w:t>
      </w:r>
      <w:proofErr w:type="spellStart"/>
      <w:r>
        <w:t>autoquestionnement</w:t>
      </w:r>
      <w:proofErr w:type="spellEnd"/>
      <w:r>
        <w:t>, détection des incompréhensions et évaluation des stratégies (Schunk &amp; Zimmerman, 2007).</w:t>
      </w:r>
    </w:p>
    <w:p w14:paraId="54CC74DE" w14:textId="0997AB9D" w:rsidR="0062297A" w:rsidRDefault="0062297A" w:rsidP="0087038E">
      <w:pPr>
        <w:pStyle w:val="Liste"/>
        <w:spacing w:after="60"/>
        <w:contextualSpacing w:val="0"/>
        <w:jc w:val="both"/>
      </w:pPr>
      <w:r>
        <w:t>Condition MCT</w:t>
      </w:r>
      <w:r w:rsidR="003C091A">
        <w:t> </w:t>
      </w:r>
      <w:r>
        <w:t>: deux séances hebdomadaires – l’une d’enseignement explicite des stratégies de lecture (</w:t>
      </w:r>
      <w:proofErr w:type="spellStart"/>
      <w:r>
        <w:t>Carretti</w:t>
      </w:r>
      <w:proofErr w:type="spellEnd"/>
      <w:r>
        <w:t xml:space="preserve"> et al., 2014), l’autre de compétences d’intégration en compréhension.</w:t>
      </w:r>
    </w:p>
    <w:p w14:paraId="7F5FD7E3" w14:textId="71560470" w:rsidR="0062297A" w:rsidRDefault="0062297A" w:rsidP="0087038E">
      <w:pPr>
        <w:pStyle w:val="Liste"/>
        <w:spacing w:after="60"/>
        <w:contextualSpacing w:val="0"/>
        <w:jc w:val="both"/>
      </w:pPr>
      <w:r>
        <w:t>Condition contrôle actif (CT)</w:t>
      </w:r>
      <w:r w:rsidR="003C091A">
        <w:t> </w:t>
      </w:r>
      <w:r>
        <w:t>: activités structurées de compréhension de texte sans instruction métacognitive explicite.</w:t>
      </w:r>
    </w:p>
    <w:p w14:paraId="2CA1F908" w14:textId="49801D9D" w:rsidR="0062297A" w:rsidRDefault="0062297A" w:rsidP="00DB39FD">
      <w:pPr>
        <w:pStyle w:val="Corpsdetexte"/>
        <w:ind w:firstLine="0"/>
      </w:pPr>
      <w:r>
        <w:t>Comme la priorité de ce cycle pilote était de valider les instruments de mesure et d’établir la «</w:t>
      </w:r>
      <w:r w:rsidR="00BB6C0F">
        <w:t> </w:t>
      </w:r>
      <w:proofErr w:type="spellStart"/>
      <w:r>
        <w:t>différenciabilité</w:t>
      </w:r>
      <w:proofErr w:type="spellEnd"/>
      <w:r w:rsidR="00BB6C0F">
        <w:t> </w:t>
      </w:r>
      <w:r>
        <w:t>» entre les conditions MCT et CT, la condition FLOW complète intégrant le jeu vidéo adaptatif n’a pas été testée. Cette condition sera introduite dès la Phase I du RCT (année scolaire</w:t>
      </w:r>
      <w:r w:rsidR="00BB6C0F">
        <w:t> </w:t>
      </w:r>
      <w:r>
        <w:t>2026–2027), une fois les instruments consolidés.</w:t>
      </w:r>
    </w:p>
    <w:p w14:paraId="42546918" w14:textId="55C41B79" w:rsidR="0062297A" w:rsidRDefault="0062297A" w:rsidP="0062297A">
      <w:pPr>
        <w:pStyle w:val="Titre2"/>
      </w:pPr>
      <w:r>
        <w:t>Le cycle pilote 2026</w:t>
      </w:r>
      <w:r w:rsidR="003C091A">
        <w:t> </w:t>
      </w:r>
      <w:r>
        <w:t>: méthodes et participants</w:t>
      </w:r>
    </w:p>
    <w:p w14:paraId="67448A2A" w14:textId="4C73FEBC" w:rsidR="00B31C05" w:rsidRDefault="0062297A" w:rsidP="00D04F0D">
      <w:pPr>
        <w:pStyle w:val="Corpsdetexte"/>
        <w:ind w:firstLine="0"/>
      </w:pPr>
      <w:r>
        <w:t>Avant le lancement de la Phase I qui aura lieu lors de l’année scolaire</w:t>
      </w:r>
      <w:r w:rsidR="00BB6C0F">
        <w:t> </w:t>
      </w:r>
      <w:r>
        <w:t>2026–2027, un cycle pilote a été conduit entre janvier et fin mars</w:t>
      </w:r>
      <w:r w:rsidR="00BB6C0F">
        <w:t> </w:t>
      </w:r>
      <w:r>
        <w:t>2026 dans un cycle d’orientation du canton du Tessin. Quatre classes ont participé (deux classes de 1</w:t>
      </w:r>
      <w:r w:rsidR="00D04F0D" w:rsidRPr="00D04F0D">
        <w:rPr>
          <w:vertAlign w:val="superscript"/>
        </w:rPr>
        <w:t>è</w:t>
      </w:r>
      <w:r w:rsidRPr="00D04F0D">
        <w:rPr>
          <w:vertAlign w:val="superscript"/>
        </w:rPr>
        <w:t>re</w:t>
      </w:r>
      <w:r w:rsidR="00BB6C0F">
        <w:t> </w:t>
      </w:r>
      <w:r>
        <w:t>année, deux de 2</w:t>
      </w:r>
      <w:r w:rsidR="00D04F0D" w:rsidRPr="00D04F0D">
        <w:rPr>
          <w:vertAlign w:val="superscript"/>
        </w:rPr>
        <w:t>ème</w:t>
      </w:r>
      <w:r w:rsidR="00BB6C0F">
        <w:t> </w:t>
      </w:r>
      <w:r>
        <w:t>année) dans deux conditions</w:t>
      </w:r>
      <w:r w:rsidR="003C091A">
        <w:t> </w:t>
      </w:r>
      <w:r>
        <w:t>: MCT et contrôle actif CT. L’échantillon comprend 73</w:t>
      </w:r>
      <w:r w:rsidR="00BB6C0F">
        <w:t> </w:t>
      </w:r>
      <w:r>
        <w:t>élèves (MCT</w:t>
      </w:r>
      <w:r w:rsidR="0046561B">
        <w:t> :</w:t>
      </w:r>
      <w:r>
        <w:t xml:space="preserve"> n = 38</w:t>
      </w:r>
      <w:r w:rsidR="003C091A">
        <w:t> </w:t>
      </w:r>
      <w:r>
        <w:t>; CT</w:t>
      </w:r>
      <w:r w:rsidR="0046561B">
        <w:t> :</w:t>
      </w:r>
      <w:r>
        <w:t xml:space="preserve"> n = 35) de 11 à 13</w:t>
      </w:r>
      <w:r w:rsidR="00BB6C0F">
        <w:t> </w:t>
      </w:r>
      <w:r>
        <w:t>ans, avec un taux d’attrition de 13</w:t>
      </w:r>
      <w:r w:rsidR="0046561B">
        <w:t> </w:t>
      </w:r>
      <w:r>
        <w:t>% (sous le seuil du protocole de 15</w:t>
      </w:r>
      <w:r w:rsidR="0046561B">
        <w:t> </w:t>
      </w:r>
      <w:r>
        <w:t>%).</w:t>
      </w:r>
    </w:p>
    <w:p w14:paraId="4B355C83" w14:textId="79C1F01A" w:rsidR="0062297A" w:rsidRPr="00B31C05" w:rsidRDefault="0062297A" w:rsidP="0062297A">
      <w:pPr>
        <w:pStyle w:val="Corpsdetexte"/>
      </w:pPr>
      <w:r>
        <w:t>Le pilote poursuivait cinq objectifs</w:t>
      </w:r>
      <w:r w:rsidR="003C091A">
        <w:t> </w:t>
      </w:r>
      <w:r>
        <w:t>: (</w:t>
      </w:r>
      <w:r w:rsidR="00FC61FD">
        <w:t>1</w:t>
      </w:r>
      <w:r>
        <w:t>) tester deux instruments en mesure avant-après (</w:t>
      </w:r>
      <w:r w:rsidR="00AC1C7A">
        <w:t>pré-post</w:t>
      </w:r>
      <w:r>
        <w:t>)</w:t>
      </w:r>
      <w:r w:rsidR="003C091A">
        <w:t> </w:t>
      </w:r>
      <w:r>
        <w:t>; (</w:t>
      </w:r>
      <w:r w:rsidR="00DC64FC">
        <w:t>2</w:t>
      </w:r>
      <w:r>
        <w:t xml:space="preserve">) évaluer la </w:t>
      </w:r>
      <w:proofErr w:type="spellStart"/>
      <w:r>
        <w:t>différenciabilité</w:t>
      </w:r>
      <w:proofErr w:type="spellEnd"/>
      <w:r>
        <w:t xml:space="preserve"> des conditions</w:t>
      </w:r>
      <w:r w:rsidR="003C091A">
        <w:t> </w:t>
      </w:r>
      <w:r>
        <w:t>; (</w:t>
      </w:r>
      <w:r w:rsidR="00DC64FC">
        <w:t>3</w:t>
      </w:r>
      <w:r>
        <w:t xml:space="preserve">) produire des indicateurs pour le </w:t>
      </w:r>
      <w:proofErr w:type="spellStart"/>
      <w:r w:rsidRPr="0062297A">
        <w:rPr>
          <w:i/>
        </w:rPr>
        <w:t>redesign</w:t>
      </w:r>
      <w:proofErr w:type="spellEnd"/>
      <w:r>
        <w:rPr>
          <w:i/>
        </w:rPr>
        <w:t xml:space="preserve"> </w:t>
      </w:r>
      <w:r w:rsidRPr="00DC64FC">
        <w:rPr>
          <w:iCs/>
        </w:rPr>
        <w:t>des séances</w:t>
      </w:r>
      <w:r w:rsidR="003C091A">
        <w:rPr>
          <w:iCs/>
        </w:rPr>
        <w:t> </w:t>
      </w:r>
      <w:r w:rsidRPr="00DC64FC">
        <w:rPr>
          <w:iCs/>
        </w:rPr>
        <w:t>; (</w:t>
      </w:r>
      <w:r w:rsidR="00DC64FC" w:rsidRPr="00DC64FC">
        <w:rPr>
          <w:iCs/>
        </w:rPr>
        <w:t>4</w:t>
      </w:r>
      <w:r w:rsidRPr="00DC64FC">
        <w:rPr>
          <w:iCs/>
        </w:rPr>
        <w:t>) affiner le questionnaire sur les habitudes de lecture (QAL)</w:t>
      </w:r>
      <w:r w:rsidR="003C091A">
        <w:rPr>
          <w:iCs/>
        </w:rPr>
        <w:t> </w:t>
      </w:r>
      <w:r w:rsidRPr="00DC64FC">
        <w:rPr>
          <w:iCs/>
        </w:rPr>
        <w:t>; (</w:t>
      </w:r>
      <w:r w:rsidR="0092097C">
        <w:rPr>
          <w:iCs/>
        </w:rPr>
        <w:t>5</w:t>
      </w:r>
      <w:r w:rsidRPr="00DC64FC">
        <w:rPr>
          <w:iCs/>
        </w:rPr>
        <w:t>) consolider le protocole RCT.</w:t>
      </w:r>
    </w:p>
    <w:p w14:paraId="4C92AC9A" w14:textId="77777777" w:rsidR="0062297A" w:rsidRDefault="0062297A" w:rsidP="0062297A">
      <w:pPr>
        <w:pStyle w:val="Titre2"/>
      </w:pPr>
      <w:r>
        <w:t>Instruments et analyse statistique</w:t>
      </w:r>
    </w:p>
    <w:p w14:paraId="64CAE96F" w14:textId="5474A2E9" w:rsidR="0062297A" w:rsidRDefault="0062297A" w:rsidP="0092097C">
      <w:pPr>
        <w:pStyle w:val="Corpsdetexte"/>
        <w:ind w:firstLine="0"/>
      </w:pPr>
      <w:r>
        <w:t>Deux instruments ont été utilisés</w:t>
      </w:r>
      <w:r w:rsidR="0092097C">
        <w:t>.</w:t>
      </w:r>
    </w:p>
    <w:p w14:paraId="69FA9792" w14:textId="33F191A4" w:rsidR="0062297A" w:rsidRDefault="0062297A" w:rsidP="00DF06F4">
      <w:pPr>
        <w:pStyle w:val="Liste"/>
        <w:spacing w:after="60"/>
        <w:contextualSpacing w:val="0"/>
        <w:jc w:val="both"/>
      </w:pPr>
      <w:r>
        <w:t>La grille d’observation des séances</w:t>
      </w:r>
      <w:r w:rsidR="003C091A">
        <w:t> </w:t>
      </w:r>
      <w:r>
        <w:t>: 29 items répartis en trois phases (de démarrage, de travail productif et de clôture), renseignés par deux observatrices formées.</w:t>
      </w:r>
    </w:p>
    <w:p w14:paraId="12DC1403" w14:textId="521D54C3" w:rsidR="0062297A" w:rsidRDefault="0062297A" w:rsidP="00DF06F4">
      <w:pPr>
        <w:pStyle w:val="Liste"/>
        <w:spacing w:after="60"/>
        <w:contextualSpacing w:val="0"/>
        <w:jc w:val="both"/>
      </w:pPr>
      <w:r>
        <w:t>Le QAL</w:t>
      </w:r>
      <w:r w:rsidR="003C091A">
        <w:t> </w:t>
      </w:r>
      <w:r>
        <w:t>: 20 items sur une échelle de Likert 1 à 5, organisés en trois sous-échelles.</w:t>
      </w:r>
    </w:p>
    <w:p w14:paraId="70A2804B" w14:textId="5EA3990E" w:rsidR="0062297A" w:rsidRDefault="0062297A" w:rsidP="0092097C">
      <w:pPr>
        <w:pStyle w:val="Corpsdetexte"/>
        <w:ind w:firstLine="0"/>
      </w:pPr>
      <w:r>
        <w:t>Les comparaisons ont été réalisées avec des tests non paramétriques – les tests U de Mann-Whitney et de permutation (10</w:t>
      </w:r>
      <w:r w:rsidR="00FB6E80">
        <w:t> </w:t>
      </w:r>
      <w:r>
        <w:t xml:space="preserve">000 rééchantillonnages) – avec une correction FDR (procédure Benjamini-Hochberg, seuil α = .05) pour limiter le risque de faux positifs lors de comparaisons multiples. Les tailles d’effet rapportées sont le </w:t>
      </w:r>
      <w:r w:rsidRPr="00FB6E80">
        <w:t>δ</w:t>
      </w:r>
      <w:r>
        <w:t xml:space="preserve"> de Cliff (indice non paramétrique variant de −1 à +1, où |δ| ≥ .47 indique un effet large). Les propriétés psychométriques des instruments ont été évaluées par l’analyse factorielle exploratoire, soit une méthode d’exploration de la structure interne d’un questionnaire, et par les coefficients α de Cronbach et ω de McDonald (indices de cohérence interne, seuil conventionnel</w:t>
      </w:r>
      <w:r w:rsidR="00685A22">
        <w:t> </w:t>
      </w:r>
      <w:r>
        <w:t>≥</w:t>
      </w:r>
      <w:r w:rsidR="00685A22">
        <w:t xml:space="preserve"> </w:t>
      </w:r>
      <w:r>
        <w:t>.70).</w:t>
      </w:r>
    </w:p>
    <w:p w14:paraId="423FF414" w14:textId="77777777" w:rsidR="0062297A" w:rsidRDefault="0062297A" w:rsidP="0062297A">
      <w:pPr>
        <w:pStyle w:val="Titre1"/>
      </w:pPr>
      <w:r>
        <w:lastRenderedPageBreak/>
        <w:t>Résultats – Instruments de mesure</w:t>
      </w:r>
    </w:p>
    <w:p w14:paraId="752EBAB3" w14:textId="066DE8A2" w:rsidR="0062297A" w:rsidRDefault="0062297A" w:rsidP="0062297A">
      <w:pPr>
        <w:pStyle w:val="Titre2"/>
      </w:pPr>
      <w:r>
        <w:t>La grille d’observation</w:t>
      </w:r>
      <w:r w:rsidR="003C091A">
        <w:t> </w:t>
      </w:r>
      <w:r>
        <w:t>: points forts et axes de révision</w:t>
      </w:r>
    </w:p>
    <w:p w14:paraId="4CE9C0F4" w14:textId="3CEB5B93" w:rsidR="0062297A" w:rsidRDefault="0062297A" w:rsidP="00332129">
      <w:pPr>
        <w:pStyle w:val="Corpsdetexte"/>
        <w:ind w:firstLine="0"/>
      </w:pPr>
      <w:r>
        <w:t xml:space="preserve">Pour faciliter la lecture, le </w:t>
      </w:r>
      <w:r w:rsidR="00DC7A19">
        <w:t>T</w:t>
      </w:r>
      <w:r>
        <w:t>ableau</w:t>
      </w:r>
      <w:r w:rsidR="00BB6C0F">
        <w:t> </w:t>
      </w:r>
      <w:r w:rsidR="00DC7A19">
        <w:t xml:space="preserve">1 </w:t>
      </w:r>
      <w:r>
        <w:t>présente les dimensions principales de la grille d’observation avant d’en détailler les résultats.</w:t>
      </w:r>
    </w:p>
    <w:p w14:paraId="7C0E527C" w14:textId="2043CAA5" w:rsidR="00BF7A7C" w:rsidRDefault="00BF7A7C" w:rsidP="00BF7A7C">
      <w:pPr>
        <w:pStyle w:val="LegendeTabelle"/>
      </w:pPr>
      <w:r>
        <w:t>Tableau</w:t>
      </w:r>
      <w:r w:rsidR="00BB6C0F">
        <w:t> </w:t>
      </w:r>
      <w:r>
        <w:t>1 : Dimensions principales de la grille d’observation</w:t>
      </w:r>
    </w:p>
    <w:tbl>
      <w:tblPr>
        <w:tblStyle w:val="TableauGrille4-Accentuation4"/>
        <w:tblW w:w="0" w:type="auto"/>
        <w:tblLook w:val="04A0" w:firstRow="1" w:lastRow="0" w:firstColumn="1" w:lastColumn="0" w:noHBand="0" w:noVBand="1"/>
      </w:tblPr>
      <w:tblGrid>
        <w:gridCol w:w="2263"/>
        <w:gridCol w:w="3828"/>
        <w:gridCol w:w="2970"/>
      </w:tblGrid>
      <w:tr w:rsidR="0062297A" w:rsidRPr="007E556A" w14:paraId="1E36648D" w14:textId="77777777" w:rsidTr="720FBD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93305A0" w14:textId="0D096034" w:rsidR="0062297A" w:rsidRPr="00E1105C" w:rsidRDefault="0062297A" w:rsidP="00E1105C">
            <w:pPr>
              <w:pStyle w:val="Corpsdetexte3"/>
              <w:rPr>
                <w:sz w:val="18"/>
                <w:szCs w:val="18"/>
              </w:rPr>
            </w:pPr>
            <w:r w:rsidRPr="720FBD62">
              <w:rPr>
                <w:sz w:val="18"/>
                <w:szCs w:val="18"/>
              </w:rPr>
              <w:t>Facteur ou sous-échelle</w:t>
            </w:r>
          </w:p>
        </w:tc>
        <w:tc>
          <w:tcPr>
            <w:tcW w:w="3828" w:type="dxa"/>
          </w:tcPr>
          <w:p w14:paraId="456B9561" w14:textId="3BBC6928" w:rsidR="0062297A" w:rsidRPr="00E1105C" w:rsidRDefault="0062297A" w:rsidP="00E1105C">
            <w:pPr>
              <w:pStyle w:val="Corpsdetexte3"/>
              <w:cnfStyle w:val="100000000000" w:firstRow="1" w:lastRow="0" w:firstColumn="0" w:lastColumn="0" w:oddVBand="0" w:evenVBand="0" w:oddHBand="0" w:evenHBand="0" w:firstRowFirstColumn="0" w:firstRowLastColumn="0" w:lastRowFirstColumn="0" w:lastRowLastColumn="0"/>
              <w:rPr>
                <w:sz w:val="18"/>
                <w:szCs w:val="18"/>
              </w:rPr>
            </w:pPr>
            <w:r w:rsidRPr="00E1105C">
              <w:rPr>
                <w:sz w:val="18"/>
                <w:szCs w:val="18"/>
              </w:rPr>
              <w:t>Ce que cela mesure</w:t>
            </w:r>
          </w:p>
        </w:tc>
        <w:tc>
          <w:tcPr>
            <w:tcW w:w="2970" w:type="dxa"/>
          </w:tcPr>
          <w:p w14:paraId="4B4E844D" w14:textId="461AFB33" w:rsidR="0062297A" w:rsidRPr="00E1105C" w:rsidRDefault="0062297A" w:rsidP="00E1105C">
            <w:pPr>
              <w:pStyle w:val="Corpsdetexte3"/>
              <w:cnfStyle w:val="100000000000" w:firstRow="1" w:lastRow="0" w:firstColumn="0" w:lastColumn="0" w:oddVBand="0" w:evenVBand="0" w:oddHBand="0" w:evenHBand="0" w:firstRowFirstColumn="0" w:firstRowLastColumn="0" w:lastRowFirstColumn="0" w:lastRowLastColumn="0"/>
              <w:rPr>
                <w:sz w:val="18"/>
                <w:szCs w:val="18"/>
              </w:rPr>
            </w:pPr>
            <w:r w:rsidRPr="00E1105C">
              <w:rPr>
                <w:sz w:val="18"/>
                <w:szCs w:val="18"/>
              </w:rPr>
              <w:t>Résultat principal</w:t>
            </w:r>
          </w:p>
        </w:tc>
      </w:tr>
      <w:tr w:rsidR="0062297A" w:rsidRPr="007E556A" w14:paraId="70D5B463" w14:textId="77777777" w:rsidTr="720FB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7BC4240" w14:textId="14239AF0" w:rsidR="0062297A" w:rsidRPr="00E1105C" w:rsidRDefault="0062297A" w:rsidP="006B0DF5">
            <w:pPr>
              <w:pStyle w:val="Corpsdetexte3"/>
              <w:rPr>
                <w:sz w:val="18"/>
                <w:szCs w:val="18"/>
              </w:rPr>
            </w:pPr>
            <w:r w:rsidRPr="00E1105C">
              <w:rPr>
                <w:sz w:val="18"/>
                <w:szCs w:val="18"/>
              </w:rPr>
              <w:t>Engagement régulateur</w:t>
            </w:r>
          </w:p>
        </w:tc>
        <w:tc>
          <w:tcPr>
            <w:tcW w:w="3828" w:type="dxa"/>
          </w:tcPr>
          <w:p w14:paraId="7C466099" w14:textId="34FBA0A3" w:rsidR="0062297A" w:rsidRPr="00E1105C" w:rsidRDefault="0062297A" w:rsidP="006B0DF5">
            <w:pPr>
              <w:pStyle w:val="Corpsdetexte3"/>
              <w:cnfStyle w:val="000000100000" w:firstRow="0" w:lastRow="0" w:firstColumn="0" w:lastColumn="0" w:oddVBand="0" w:evenVBand="0" w:oddHBand="1" w:evenHBand="0" w:firstRowFirstColumn="0" w:firstRowLastColumn="0" w:lastRowFirstColumn="0" w:lastRowLastColumn="0"/>
              <w:rPr>
                <w:sz w:val="18"/>
                <w:szCs w:val="18"/>
              </w:rPr>
            </w:pPr>
            <w:r w:rsidRPr="00E1105C">
              <w:rPr>
                <w:sz w:val="18"/>
                <w:szCs w:val="18"/>
              </w:rPr>
              <w:t>Engagement dans les phases de démarrage et de clôture, avec comportements de régulation métacognitive</w:t>
            </w:r>
          </w:p>
        </w:tc>
        <w:tc>
          <w:tcPr>
            <w:tcW w:w="2970" w:type="dxa"/>
          </w:tcPr>
          <w:p w14:paraId="32F4B522" w14:textId="344E5094" w:rsidR="0062297A" w:rsidRPr="00E1105C" w:rsidRDefault="0062297A" w:rsidP="006B0DF5">
            <w:pPr>
              <w:pStyle w:val="Corpsdetexte3"/>
              <w:cnfStyle w:val="000000100000" w:firstRow="0" w:lastRow="0" w:firstColumn="0" w:lastColumn="0" w:oddVBand="0" w:evenVBand="0" w:oddHBand="1" w:evenHBand="0" w:firstRowFirstColumn="0" w:firstRowLastColumn="0" w:lastRowFirstColumn="0" w:lastRowLastColumn="0"/>
              <w:rPr>
                <w:sz w:val="18"/>
                <w:szCs w:val="18"/>
              </w:rPr>
            </w:pPr>
            <w:r w:rsidRPr="00E1105C">
              <w:rPr>
                <w:sz w:val="18"/>
                <w:szCs w:val="18"/>
              </w:rPr>
              <w:t>Facteur principal identifié par l’analyse factorielle</w:t>
            </w:r>
          </w:p>
        </w:tc>
      </w:tr>
      <w:tr w:rsidR="0062297A" w:rsidRPr="007E556A" w14:paraId="171E9A64" w14:textId="77777777" w:rsidTr="720FBD62">
        <w:tc>
          <w:tcPr>
            <w:cnfStyle w:val="001000000000" w:firstRow="0" w:lastRow="0" w:firstColumn="1" w:lastColumn="0" w:oddVBand="0" w:evenVBand="0" w:oddHBand="0" w:evenHBand="0" w:firstRowFirstColumn="0" w:firstRowLastColumn="0" w:lastRowFirstColumn="0" w:lastRowLastColumn="0"/>
            <w:tcW w:w="2263" w:type="dxa"/>
          </w:tcPr>
          <w:p w14:paraId="51762E67" w14:textId="3B75FC8E" w:rsidR="0062297A" w:rsidRPr="00E1105C" w:rsidRDefault="0062297A" w:rsidP="006B0DF5">
            <w:pPr>
              <w:pStyle w:val="Corpsdetexte3"/>
              <w:rPr>
                <w:sz w:val="18"/>
                <w:szCs w:val="18"/>
              </w:rPr>
            </w:pPr>
            <w:r w:rsidRPr="00E1105C">
              <w:rPr>
                <w:sz w:val="18"/>
                <w:szCs w:val="18"/>
              </w:rPr>
              <w:t>Barrières</w:t>
            </w:r>
          </w:p>
        </w:tc>
        <w:tc>
          <w:tcPr>
            <w:tcW w:w="3828" w:type="dxa"/>
          </w:tcPr>
          <w:p w14:paraId="3DDF09BF" w14:textId="3866B5AB" w:rsidR="0062297A" w:rsidRPr="00E1105C" w:rsidRDefault="0062297A" w:rsidP="006B0DF5">
            <w:pPr>
              <w:pStyle w:val="Corpsdetexte3"/>
              <w:cnfStyle w:val="000000000000" w:firstRow="0" w:lastRow="0" w:firstColumn="0" w:lastColumn="0" w:oddVBand="0" w:evenVBand="0" w:oddHBand="0" w:evenHBand="0" w:firstRowFirstColumn="0" w:firstRowLastColumn="0" w:lastRowFirstColumn="0" w:lastRowLastColumn="0"/>
              <w:rPr>
                <w:sz w:val="18"/>
                <w:szCs w:val="18"/>
              </w:rPr>
            </w:pPr>
            <w:r w:rsidRPr="00E1105C">
              <w:rPr>
                <w:sz w:val="18"/>
                <w:szCs w:val="18"/>
              </w:rPr>
              <w:t>Obstacles observés pendant les séances</w:t>
            </w:r>
          </w:p>
        </w:tc>
        <w:tc>
          <w:tcPr>
            <w:tcW w:w="2970" w:type="dxa"/>
          </w:tcPr>
          <w:p w14:paraId="3085C68B" w14:textId="5754320B" w:rsidR="0062297A" w:rsidRPr="00E1105C" w:rsidRDefault="0062297A" w:rsidP="006B0DF5">
            <w:pPr>
              <w:pStyle w:val="Corpsdetexte3"/>
              <w:cnfStyle w:val="000000000000" w:firstRow="0" w:lastRow="0" w:firstColumn="0" w:lastColumn="0" w:oddVBand="0" w:evenVBand="0" w:oddHBand="0" w:evenHBand="0" w:firstRowFirstColumn="0" w:firstRowLastColumn="0" w:lastRowFirstColumn="0" w:lastRowLastColumn="0"/>
              <w:rPr>
                <w:sz w:val="18"/>
                <w:szCs w:val="18"/>
              </w:rPr>
            </w:pPr>
            <w:r w:rsidRPr="00E1105C">
              <w:rPr>
                <w:sz w:val="18"/>
                <w:szCs w:val="18"/>
              </w:rPr>
              <w:t>Cohérence interne satisfaisante</w:t>
            </w:r>
          </w:p>
        </w:tc>
      </w:tr>
      <w:tr w:rsidR="0062297A" w:rsidRPr="007E556A" w14:paraId="6AA2AB50" w14:textId="77777777" w:rsidTr="720FBD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C15A448" w14:textId="5410B06E" w:rsidR="0062297A" w:rsidRPr="00E1105C" w:rsidRDefault="0062297A" w:rsidP="006B0DF5">
            <w:pPr>
              <w:pStyle w:val="Corpsdetexte3"/>
              <w:rPr>
                <w:sz w:val="18"/>
                <w:szCs w:val="18"/>
              </w:rPr>
            </w:pPr>
            <w:r w:rsidRPr="00E1105C">
              <w:rPr>
                <w:sz w:val="18"/>
                <w:szCs w:val="18"/>
              </w:rPr>
              <w:t>Engagement</w:t>
            </w:r>
          </w:p>
        </w:tc>
        <w:tc>
          <w:tcPr>
            <w:tcW w:w="3828" w:type="dxa"/>
          </w:tcPr>
          <w:p w14:paraId="354C093E" w14:textId="1F4D3D09" w:rsidR="0062297A" w:rsidRPr="00E1105C" w:rsidRDefault="0062297A" w:rsidP="006B0DF5">
            <w:pPr>
              <w:pStyle w:val="Corpsdetexte3"/>
              <w:cnfStyle w:val="000000100000" w:firstRow="0" w:lastRow="0" w:firstColumn="0" w:lastColumn="0" w:oddVBand="0" w:evenVBand="0" w:oddHBand="1" w:evenHBand="0" w:firstRowFirstColumn="0" w:firstRowLastColumn="0" w:lastRowFirstColumn="0" w:lastRowLastColumn="0"/>
              <w:rPr>
                <w:sz w:val="18"/>
                <w:szCs w:val="18"/>
              </w:rPr>
            </w:pPr>
            <w:r w:rsidRPr="00E1105C">
              <w:rPr>
                <w:sz w:val="18"/>
                <w:szCs w:val="18"/>
              </w:rPr>
              <w:t>Niveau d’implication observable des élèves</w:t>
            </w:r>
          </w:p>
        </w:tc>
        <w:tc>
          <w:tcPr>
            <w:tcW w:w="2970" w:type="dxa"/>
          </w:tcPr>
          <w:p w14:paraId="410B5402" w14:textId="712B4A46" w:rsidR="0062297A" w:rsidRPr="00E1105C" w:rsidRDefault="0062297A" w:rsidP="006B0DF5">
            <w:pPr>
              <w:pStyle w:val="Corpsdetexte3"/>
              <w:cnfStyle w:val="000000100000" w:firstRow="0" w:lastRow="0" w:firstColumn="0" w:lastColumn="0" w:oddVBand="0" w:evenVBand="0" w:oddHBand="1" w:evenHBand="0" w:firstRowFirstColumn="0" w:firstRowLastColumn="0" w:lastRowFirstColumn="0" w:lastRowLastColumn="0"/>
              <w:rPr>
                <w:sz w:val="18"/>
                <w:szCs w:val="18"/>
              </w:rPr>
            </w:pPr>
            <w:r w:rsidRPr="00E1105C">
              <w:rPr>
                <w:sz w:val="18"/>
                <w:szCs w:val="18"/>
              </w:rPr>
              <w:t>Cohérence interne satisfaisante</w:t>
            </w:r>
          </w:p>
        </w:tc>
      </w:tr>
      <w:tr w:rsidR="0062297A" w:rsidRPr="007E556A" w14:paraId="16AD2FA4" w14:textId="77777777" w:rsidTr="720FBD62">
        <w:tc>
          <w:tcPr>
            <w:cnfStyle w:val="001000000000" w:firstRow="0" w:lastRow="0" w:firstColumn="1" w:lastColumn="0" w:oddVBand="0" w:evenVBand="0" w:oddHBand="0" w:evenHBand="0" w:firstRowFirstColumn="0" w:firstRowLastColumn="0" w:lastRowFirstColumn="0" w:lastRowLastColumn="0"/>
            <w:tcW w:w="2263" w:type="dxa"/>
          </w:tcPr>
          <w:p w14:paraId="7D930D0D" w14:textId="24CD4EA0" w:rsidR="0062297A" w:rsidRPr="00E1105C" w:rsidRDefault="0062297A" w:rsidP="006B0DF5">
            <w:pPr>
              <w:pStyle w:val="Corpsdetexte3"/>
              <w:rPr>
                <w:sz w:val="18"/>
                <w:szCs w:val="18"/>
              </w:rPr>
            </w:pPr>
            <w:r w:rsidRPr="00E1105C">
              <w:rPr>
                <w:sz w:val="18"/>
                <w:szCs w:val="18"/>
              </w:rPr>
              <w:t>Régulation métacognitive</w:t>
            </w:r>
          </w:p>
        </w:tc>
        <w:tc>
          <w:tcPr>
            <w:tcW w:w="3828" w:type="dxa"/>
          </w:tcPr>
          <w:p w14:paraId="0D68A8A2" w14:textId="734E18E1" w:rsidR="0062297A" w:rsidRPr="00E1105C" w:rsidRDefault="0062297A" w:rsidP="006B0DF5">
            <w:pPr>
              <w:pStyle w:val="Corpsdetexte3"/>
              <w:cnfStyle w:val="000000000000" w:firstRow="0" w:lastRow="0" w:firstColumn="0" w:lastColumn="0" w:oddVBand="0" w:evenVBand="0" w:oddHBand="0" w:evenHBand="0" w:firstRowFirstColumn="0" w:firstRowLastColumn="0" w:lastRowFirstColumn="0" w:lastRowLastColumn="0"/>
              <w:rPr>
                <w:sz w:val="18"/>
                <w:szCs w:val="18"/>
              </w:rPr>
            </w:pPr>
            <w:r w:rsidRPr="00E1105C">
              <w:rPr>
                <w:sz w:val="18"/>
                <w:szCs w:val="18"/>
              </w:rPr>
              <w:t>Capacité à ajuster ses stratégies en cours ou en fin de tâche</w:t>
            </w:r>
          </w:p>
        </w:tc>
        <w:tc>
          <w:tcPr>
            <w:tcW w:w="2970" w:type="dxa"/>
          </w:tcPr>
          <w:p w14:paraId="0319FA8A" w14:textId="161D57E4" w:rsidR="0062297A" w:rsidRPr="00E1105C" w:rsidRDefault="0062297A" w:rsidP="006B0DF5">
            <w:pPr>
              <w:pStyle w:val="Corpsdetexte3"/>
              <w:cnfStyle w:val="000000000000" w:firstRow="0" w:lastRow="0" w:firstColumn="0" w:lastColumn="0" w:oddVBand="0" w:evenVBand="0" w:oddHBand="0" w:evenHBand="0" w:firstRowFirstColumn="0" w:firstRowLastColumn="0" w:lastRowFirstColumn="0" w:lastRowLastColumn="0"/>
              <w:rPr>
                <w:sz w:val="18"/>
                <w:szCs w:val="18"/>
              </w:rPr>
            </w:pPr>
            <w:r w:rsidRPr="00E1105C">
              <w:rPr>
                <w:sz w:val="18"/>
                <w:szCs w:val="18"/>
              </w:rPr>
              <w:t>Sous-échelle à retravailler avant le RCT</w:t>
            </w:r>
          </w:p>
        </w:tc>
      </w:tr>
    </w:tbl>
    <w:p w14:paraId="17A96E94" w14:textId="025A1DDD" w:rsidR="002B52C6" w:rsidRDefault="0062297A" w:rsidP="002B41EF">
      <w:pPr>
        <w:pStyle w:val="Corpsdetexte"/>
        <w:spacing w:before="120"/>
        <w:ind w:firstLine="0"/>
      </w:pPr>
      <w:r>
        <w:t>L’analyse factorielle identifie un facteur principal, nommé «</w:t>
      </w:r>
      <w:r w:rsidR="00BB6C0F">
        <w:t> </w:t>
      </w:r>
      <w:r>
        <w:t>engagement régulateur</w:t>
      </w:r>
      <w:r w:rsidR="00BB6C0F">
        <w:t> </w:t>
      </w:r>
      <w:r>
        <w:t>». Il regroupe l’engagement dans les phases de démarrage et de clôture ainsi que les comportements métacognitifs observés en fin de séance. Les quatre items les plus fortement associés à ce facteur sont</w:t>
      </w:r>
      <w:r w:rsidR="003C091A">
        <w:t> </w:t>
      </w:r>
      <w:r>
        <w:t>:</w:t>
      </w:r>
    </w:p>
    <w:p w14:paraId="7AB65BDD" w14:textId="0770396A" w:rsidR="002B52C6" w:rsidRDefault="00842A93" w:rsidP="00D14AE8">
      <w:pPr>
        <w:pStyle w:val="Listenumros"/>
      </w:pPr>
      <w:proofErr w:type="gramStart"/>
      <w:r>
        <w:t>l’</w:t>
      </w:r>
      <w:r w:rsidR="002B52C6">
        <w:t>engagement</w:t>
      </w:r>
      <w:proofErr w:type="gramEnd"/>
      <w:r w:rsidR="002B52C6">
        <w:t xml:space="preserve"> en clôture (λ = .84)</w:t>
      </w:r>
      <w:r w:rsidR="003C091A">
        <w:t> </w:t>
      </w:r>
      <w:r w:rsidR="002B52C6">
        <w:t>;</w:t>
      </w:r>
    </w:p>
    <w:p w14:paraId="2A549E87" w14:textId="31FAA94B" w:rsidR="002B52C6" w:rsidRDefault="00842A93" w:rsidP="00D14AE8">
      <w:pPr>
        <w:pStyle w:val="Listenumros"/>
      </w:pPr>
      <w:proofErr w:type="gramStart"/>
      <w:r>
        <w:t>le</w:t>
      </w:r>
      <w:proofErr w:type="gramEnd"/>
      <w:r>
        <w:t xml:space="preserve"> </w:t>
      </w:r>
      <w:r w:rsidR="002B52C6">
        <w:t xml:space="preserve">monitoring et </w:t>
      </w:r>
      <w:r w:rsidR="002C2376">
        <w:t xml:space="preserve">la </w:t>
      </w:r>
      <w:r w:rsidR="002B52C6">
        <w:t>relecture (λ = .79)</w:t>
      </w:r>
      <w:r w:rsidR="003C091A">
        <w:t> </w:t>
      </w:r>
      <w:r w:rsidR="002B52C6">
        <w:t>;</w:t>
      </w:r>
    </w:p>
    <w:p w14:paraId="7A44ACD7" w14:textId="5592A424" w:rsidR="002B52C6" w:rsidRDefault="002C2376" w:rsidP="00D14AE8">
      <w:pPr>
        <w:pStyle w:val="Listenumros"/>
      </w:pPr>
      <w:proofErr w:type="gramStart"/>
      <w:r>
        <w:t>la</w:t>
      </w:r>
      <w:proofErr w:type="gramEnd"/>
      <w:r>
        <w:t xml:space="preserve"> </w:t>
      </w:r>
      <w:r w:rsidR="002B52C6">
        <w:t xml:space="preserve">régulation et </w:t>
      </w:r>
      <w:r w:rsidR="000C5149">
        <w:t xml:space="preserve">les </w:t>
      </w:r>
      <w:r w:rsidR="002B52C6">
        <w:t>modifications (λ = .76)</w:t>
      </w:r>
      <w:r w:rsidR="003C091A">
        <w:t> </w:t>
      </w:r>
      <w:r w:rsidR="002B52C6">
        <w:t>;</w:t>
      </w:r>
    </w:p>
    <w:p w14:paraId="086B110C" w14:textId="7DC86338" w:rsidR="002B52C6" w:rsidRDefault="000C5149" w:rsidP="00D14AE8">
      <w:pPr>
        <w:pStyle w:val="Listenumros"/>
      </w:pPr>
      <w:proofErr w:type="gramStart"/>
      <w:r>
        <w:t>l’</w:t>
      </w:r>
      <w:r w:rsidR="002B52C6">
        <w:t>engagement</w:t>
      </w:r>
      <w:proofErr w:type="gramEnd"/>
      <w:r w:rsidR="002B52C6">
        <w:t xml:space="preserve"> au démarrage (λ = .71).</w:t>
      </w:r>
    </w:p>
    <w:p w14:paraId="1821289B" w14:textId="77777777" w:rsidR="002B52C6" w:rsidRDefault="002B52C6" w:rsidP="00AF35C4">
      <w:pPr>
        <w:pStyle w:val="Corpsdetexte"/>
        <w:ind w:firstLine="0"/>
      </w:pPr>
      <w:r>
        <w:t>Les sous-échelles Barrières (ω = .84) et Engagement (ω = .80) dépassent le seuil conventionnel de .70. La sous-échelle Régulation métacognitive (ω = .63) est en revanche insuffisamment cohérente et nécessite une reconceptualisation avant le RCT.</w:t>
      </w:r>
    </w:p>
    <w:p w14:paraId="783722EF" w14:textId="77777777" w:rsidR="002B52C6" w:rsidRDefault="002B52C6" w:rsidP="002B52C6">
      <w:pPr>
        <w:pStyle w:val="Corpsdetexte"/>
      </w:pPr>
      <w:r>
        <w:t>La phase de travail productif constitue la lacune structurelle principale. Aucun item de cette phase ne différencie les deux conditions après correction FDR. L’indice h², qui mesure ici la part de variance expliquée par la condition expérimentale, est inférieur à .10 et la cohérence interne reste faible (ω = .63). Une révision est proposée afin de distinguer deux types de barrières. Les barrières procédurales renvoient aux situations où l’élève ne sait pas comment procéder. Les barrières participatives désignent les situations où l’élève se retire de l’activité ou évite de s’engager. Cette distinction est cohérente avec le cadre de l’apprentissage autoréglé (Zimmerman, 2002).</w:t>
      </w:r>
    </w:p>
    <w:p w14:paraId="720171A8" w14:textId="36554BB7" w:rsidR="002B52C6" w:rsidRDefault="002B52C6" w:rsidP="002B52C6">
      <w:pPr>
        <w:pStyle w:val="Corpsdetexte"/>
      </w:pPr>
      <w:r>
        <w:t>Une limite structurelle doit être signalée</w:t>
      </w:r>
      <w:r w:rsidR="003C091A">
        <w:t> </w:t>
      </w:r>
      <w:r>
        <w:t xml:space="preserve">: observatrice et condition expérimentale étaient systématiquement confondues (observatrice A </w:t>
      </w:r>
      <w:r>
        <w:rPr>
          <w:rFonts w:ascii="Times New Roman" w:hAnsi="Times New Roman" w:cs="Times New Roman"/>
        </w:rPr>
        <w:t>→</w:t>
      </w:r>
      <w:r>
        <w:t xml:space="preserve"> MCT</w:t>
      </w:r>
      <w:r w:rsidR="003C091A">
        <w:t> </w:t>
      </w:r>
      <w:r>
        <w:t xml:space="preserve">; observatrice B </w:t>
      </w:r>
      <w:r>
        <w:rPr>
          <w:rFonts w:ascii="Times New Roman" w:hAnsi="Times New Roman" w:cs="Times New Roman"/>
        </w:rPr>
        <w:t>→</w:t>
      </w:r>
      <w:r>
        <w:t xml:space="preserve"> CT). Cette confusion sera corrig</w:t>
      </w:r>
      <w:r>
        <w:rPr>
          <w:rFonts w:cs="Open Sans SemiCondensed"/>
        </w:rPr>
        <w:t>é</w:t>
      </w:r>
      <w:r>
        <w:t>e dans le RCT par rotation al</w:t>
      </w:r>
      <w:r>
        <w:rPr>
          <w:rFonts w:cs="Open Sans SemiCondensed"/>
        </w:rPr>
        <w:t>é</w:t>
      </w:r>
      <w:r>
        <w:t xml:space="preserve">atoire et calibration entre les deux observatrices. La cible retenue est un accord </w:t>
      </w:r>
      <w:proofErr w:type="spellStart"/>
      <w:r>
        <w:t>interévaluateur</w:t>
      </w:r>
      <w:proofErr w:type="spellEnd"/>
      <w:r>
        <w:t xml:space="preserve"> </w:t>
      </w:r>
      <w:proofErr w:type="gramStart"/>
      <w:r>
        <w:t>ICC(</w:t>
      </w:r>
      <w:proofErr w:type="gramEnd"/>
      <w:r>
        <w:t xml:space="preserve">2.1) ≥ .70 – </w:t>
      </w:r>
      <w:proofErr w:type="gramStart"/>
      <w:r>
        <w:t>l’ICC(</w:t>
      </w:r>
      <w:proofErr w:type="gramEnd"/>
      <w:r>
        <w:t>2.1) est un indice de concordance entre deux évaluateurs indépendants, considéré satisfaisant au-delà de .70.</w:t>
      </w:r>
    </w:p>
    <w:p w14:paraId="1DFB63EA" w14:textId="61E75B11" w:rsidR="002B52C6" w:rsidRDefault="002B52C6" w:rsidP="002B52C6">
      <w:pPr>
        <w:pStyle w:val="Titre2"/>
      </w:pPr>
      <w:r>
        <w:t>Le QAL</w:t>
      </w:r>
      <w:r w:rsidR="003C091A">
        <w:t> </w:t>
      </w:r>
      <w:r>
        <w:t>: potentiel confirmé, révision nécessaire</w:t>
      </w:r>
    </w:p>
    <w:p w14:paraId="0068ACCE" w14:textId="4C6EABF6" w:rsidR="002B52C6" w:rsidRDefault="002B52C6" w:rsidP="00363F5C">
      <w:pPr>
        <w:pStyle w:val="Corpsdetexte"/>
        <w:ind w:firstLine="0"/>
      </w:pPr>
      <w:r>
        <w:t>Le QAL démontre une fonctionnalité globale acceptable (α = .656, IC 95</w:t>
      </w:r>
      <w:r w:rsidR="00BB6C0F">
        <w:t> </w:t>
      </w:r>
      <w:r>
        <w:t>% [.502</w:t>
      </w:r>
      <w:r w:rsidR="003C091A">
        <w:t> </w:t>
      </w:r>
      <w:r>
        <w:t xml:space="preserve">; .756]). Un changement </w:t>
      </w:r>
      <w:r w:rsidR="00AC1C7A">
        <w:t>pré-post</w:t>
      </w:r>
      <w:r>
        <w:t xml:space="preserve"> significatif est observé sur le score total (</w:t>
      </w:r>
      <w:proofErr w:type="gramStart"/>
      <w:r>
        <w:t>t(</w:t>
      </w:r>
      <w:proofErr w:type="gramEnd"/>
      <w:r>
        <w:t>72) = 2.928, p = .005, d = .343 – effet de taille modérée), répliqué par le test de Wilcoxon (p = .004).</w:t>
      </w:r>
    </w:p>
    <w:p w14:paraId="1BF3D887" w14:textId="4EC95C25" w:rsidR="002B52C6" w:rsidRDefault="002B52C6" w:rsidP="002B52C6">
      <w:pPr>
        <w:pStyle w:val="Corpsdetexte"/>
      </w:pPr>
      <w:r>
        <w:t>Toutefois, huit items présentent des corrélations item-total faibles (inférieures à .30) ou négatives. En supprimant ces items, la cohérence interne projetée atteint α = .808 (gain de +.152). La structure factorielle empirique (trois facteurs identifiés par l</w:t>
      </w:r>
      <w:r w:rsidR="00D35451">
        <w:t>’</w:t>
      </w:r>
      <w:r>
        <w:t>analyse factorielle) ne correspond pas à la tripartition théorique Planification-Monitoring-Évaluation</w:t>
      </w:r>
      <w:r w:rsidR="003C091A">
        <w:t> </w:t>
      </w:r>
      <w:r>
        <w:t>: les sous-échelles ne sont pas utilisables à des fins inférentielles dans la version actuelle.</w:t>
      </w:r>
    </w:p>
    <w:p w14:paraId="737D7FB7" w14:textId="77777777" w:rsidR="002B52C6" w:rsidRDefault="002B52C6" w:rsidP="002B52C6">
      <w:pPr>
        <w:pStyle w:val="Titre1"/>
      </w:pPr>
      <w:r>
        <w:lastRenderedPageBreak/>
        <w:t>Résultats – Signaux préliminaires sur les questions de recherche</w:t>
      </w:r>
    </w:p>
    <w:p w14:paraId="3D52835B" w14:textId="151A4D63" w:rsidR="002B52C6" w:rsidRDefault="002B52C6" w:rsidP="00706422">
      <w:pPr>
        <w:pStyle w:val="Corpsdetexte"/>
        <w:ind w:firstLine="0"/>
      </w:pPr>
      <w:r>
        <w:t xml:space="preserve">Les résultats ci-dessous concernent les unités d’observation issues des séances, soit n = 10 </w:t>
      </w:r>
      <w:r w:rsidR="00A53DBA">
        <w:t>observations par condition</w:t>
      </w:r>
      <w:r>
        <w:t>. Ce nombre ne correspond pas à l’échantillon total d’élèves, qui comprend 73</w:t>
      </w:r>
      <w:r w:rsidR="00BB6C0F">
        <w:t> </w:t>
      </w:r>
      <w:r>
        <w:t>participants. Les résultats présentés ci-dessous proviennent d’un échantillon non randomisé et d’un nombre limité d’observations par condition. Ils doivent être interprétés comme des signaux préliminaires, utiles pour préparer l’essai principal, et non comme des résultats définitifs.</w:t>
      </w:r>
    </w:p>
    <w:p w14:paraId="69AB6459" w14:textId="558FDFE7" w:rsidR="002B52C6" w:rsidRDefault="002B52C6" w:rsidP="002B52C6">
      <w:pPr>
        <w:pStyle w:val="Titre2"/>
      </w:pPr>
      <w:r>
        <w:t xml:space="preserve">Efficacité différentielle </w:t>
      </w:r>
      <w:r w:rsidRPr="00347A0A">
        <w:t xml:space="preserve">MCT </w:t>
      </w:r>
      <w:r w:rsidR="00F72937" w:rsidRPr="00347A0A">
        <w:t>v</w:t>
      </w:r>
      <w:r w:rsidR="00347A0A" w:rsidRPr="00347A0A">
        <w:t>s.</w:t>
      </w:r>
      <w:r w:rsidR="00F72937" w:rsidRPr="00347A0A">
        <w:t xml:space="preserve"> </w:t>
      </w:r>
      <w:r w:rsidRPr="00347A0A">
        <w:t>CT</w:t>
      </w:r>
      <w:r w:rsidR="003C091A">
        <w:t> </w:t>
      </w:r>
      <w:r>
        <w:t>: engagement observé</w:t>
      </w:r>
    </w:p>
    <w:p w14:paraId="0E265612" w14:textId="62951D69" w:rsidR="002B52C6" w:rsidRDefault="002B52C6" w:rsidP="00706422">
      <w:pPr>
        <w:pStyle w:val="Corpsdetexte"/>
        <w:ind w:firstLine="0"/>
      </w:pPr>
      <w:r>
        <w:t>Neuf variables de la grille satisfont le critère de significativité corrigé (</w:t>
      </w:r>
      <w:proofErr w:type="spellStart"/>
      <w:r>
        <w:t>p_</w:t>
      </w:r>
      <w:proofErr w:type="gramStart"/>
      <w:r>
        <w:t>adj</w:t>
      </w:r>
      <w:proofErr w:type="spellEnd"/>
      <w:r>
        <w:t>(</w:t>
      </w:r>
      <w:proofErr w:type="gramEnd"/>
      <w:r>
        <w:t>BH) &lt; .05) avec une magnitude large (|δ|</w:t>
      </w:r>
      <w:r w:rsidR="005348BF">
        <w:t> </w:t>
      </w:r>
      <w:r>
        <w:t>≥</w:t>
      </w:r>
      <w:r w:rsidR="005348BF">
        <w:t> </w:t>
      </w:r>
      <w:r>
        <w:t>.47). La condition MCT est associée à un engagement régulateur plus élevé dans les phases de transition et à une fréquence plus faible de barrières motivationnelles et organisationnelles. La convergence complète des deux tests (U</w:t>
      </w:r>
      <w:r w:rsidR="005348BF">
        <w:t> </w:t>
      </w:r>
      <w:r>
        <w:t>de</w:t>
      </w:r>
      <w:r w:rsidR="005348BF">
        <w:t> </w:t>
      </w:r>
      <w:r>
        <w:t>Mann-Whitney et permutation, tous deux corrigés par FDR) est établie pour cinq items. Les quatre items supplémentaires présentent une convergence partielle (significatifs sur l’un des deux tests après correction FDR) et sont inclus à titre indicatif</w:t>
      </w:r>
    </w:p>
    <w:p w14:paraId="6B4A5F08" w14:textId="21441F3F" w:rsidR="0097257A" w:rsidRDefault="002B52C6" w:rsidP="002B52C6">
      <w:pPr>
        <w:pStyle w:val="LegendeAbbildung"/>
      </w:pPr>
      <w:r>
        <w:t>Tableau</w:t>
      </w:r>
      <w:r w:rsidR="00BB6C0F">
        <w:t> </w:t>
      </w:r>
      <w:r w:rsidR="00E1105C">
        <w:t>2</w:t>
      </w:r>
      <w:r w:rsidR="003C091A">
        <w:t> </w:t>
      </w:r>
      <w:r>
        <w:t xml:space="preserve">: </w:t>
      </w:r>
      <w:r w:rsidRPr="002B52C6">
        <w:t>Items robustes et items à convergence partielle de la grille d’observation</w:t>
      </w:r>
    </w:p>
    <w:tbl>
      <w:tblPr>
        <w:tblStyle w:val="TableauGrille4-Accentuation4"/>
        <w:tblW w:w="5000" w:type="pct"/>
        <w:tblLook w:val="04A0" w:firstRow="1" w:lastRow="0" w:firstColumn="1" w:lastColumn="0" w:noHBand="0" w:noVBand="1"/>
      </w:tblPr>
      <w:tblGrid>
        <w:gridCol w:w="3769"/>
        <w:gridCol w:w="1633"/>
        <w:gridCol w:w="1069"/>
        <w:gridCol w:w="1468"/>
        <w:gridCol w:w="1122"/>
      </w:tblGrid>
      <w:tr w:rsidR="0097257A" w:rsidRPr="00040C35" w14:paraId="507EFEAA" w14:textId="77777777" w:rsidTr="00206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pct"/>
            <w:vAlign w:val="center"/>
          </w:tcPr>
          <w:p w14:paraId="376088C2" w14:textId="514D1273"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Item</w:t>
            </w:r>
          </w:p>
        </w:tc>
        <w:tc>
          <w:tcPr>
            <w:tcW w:w="901" w:type="pct"/>
            <w:vAlign w:val="center"/>
          </w:tcPr>
          <w:p w14:paraId="0D6B56A5" w14:textId="14C99461" w:rsidR="0097257A" w:rsidRPr="00363F5C" w:rsidRDefault="0097257A" w:rsidP="00363F5C">
            <w:pPr>
              <w:pStyle w:val="Corpsdetexte3"/>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18"/>
              </w:rPr>
            </w:pPr>
            <w:r w:rsidRPr="00363F5C">
              <w:rPr>
                <w:rFonts w:asciiTheme="minorHAnsi" w:hAnsiTheme="minorHAnsi" w:cstheme="minorHAnsi"/>
                <w:bCs w:val="0"/>
                <w:sz w:val="18"/>
                <w:szCs w:val="18"/>
              </w:rPr>
              <w:t>Phase</w:t>
            </w:r>
          </w:p>
        </w:tc>
        <w:tc>
          <w:tcPr>
            <w:tcW w:w="590" w:type="pct"/>
            <w:vAlign w:val="center"/>
          </w:tcPr>
          <w:p w14:paraId="69E7AC17" w14:textId="144E1579" w:rsidR="0097257A" w:rsidRPr="00363F5C" w:rsidRDefault="0097257A" w:rsidP="00363F5C">
            <w:pPr>
              <w:pStyle w:val="Corpsdetexte3"/>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18"/>
              </w:rPr>
            </w:pPr>
            <w:proofErr w:type="gramStart"/>
            <w:r w:rsidRPr="00363F5C">
              <w:rPr>
                <w:rFonts w:asciiTheme="minorHAnsi" w:hAnsiTheme="minorHAnsi" w:cstheme="minorHAnsi"/>
                <w:bCs w:val="0"/>
                <w:sz w:val="18"/>
                <w:szCs w:val="18"/>
              </w:rPr>
              <w:t>δ</w:t>
            </w:r>
            <w:proofErr w:type="gramEnd"/>
            <w:r w:rsidRPr="00363F5C">
              <w:rPr>
                <w:rFonts w:asciiTheme="minorHAnsi" w:hAnsiTheme="minorHAnsi" w:cstheme="minorHAnsi"/>
                <w:bCs w:val="0"/>
                <w:sz w:val="18"/>
                <w:szCs w:val="18"/>
              </w:rPr>
              <w:t xml:space="preserve"> de Cliff</w:t>
            </w:r>
          </w:p>
        </w:tc>
        <w:tc>
          <w:tcPr>
            <w:tcW w:w="810" w:type="pct"/>
            <w:vAlign w:val="center"/>
          </w:tcPr>
          <w:p w14:paraId="77C1D860" w14:textId="129A7A55" w:rsidR="0097257A" w:rsidRPr="00363F5C" w:rsidRDefault="0097257A" w:rsidP="00363F5C">
            <w:pPr>
              <w:pStyle w:val="Corpsdetexte3"/>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18"/>
              </w:rPr>
            </w:pPr>
            <w:r w:rsidRPr="00363F5C">
              <w:rPr>
                <w:rFonts w:asciiTheme="minorHAnsi" w:hAnsiTheme="minorHAnsi" w:cstheme="minorHAnsi"/>
                <w:bCs w:val="0"/>
                <w:sz w:val="18"/>
                <w:szCs w:val="18"/>
              </w:rPr>
              <w:t>Convergence</w:t>
            </w:r>
          </w:p>
        </w:tc>
        <w:tc>
          <w:tcPr>
            <w:tcW w:w="619" w:type="pct"/>
            <w:vAlign w:val="center"/>
          </w:tcPr>
          <w:p w14:paraId="6296DBE6" w14:textId="4B53CB45" w:rsidR="0097257A" w:rsidRPr="00363F5C" w:rsidRDefault="0097257A" w:rsidP="00363F5C">
            <w:pPr>
              <w:pStyle w:val="Corpsdetexte3"/>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18"/>
                <w:szCs w:val="18"/>
              </w:rPr>
            </w:pPr>
            <w:r w:rsidRPr="00363F5C">
              <w:rPr>
                <w:rFonts w:asciiTheme="minorHAnsi" w:hAnsiTheme="minorHAnsi" w:cstheme="minorHAnsi"/>
                <w:bCs w:val="0"/>
                <w:sz w:val="18"/>
                <w:szCs w:val="18"/>
              </w:rPr>
              <w:t>Direction</w:t>
            </w:r>
          </w:p>
        </w:tc>
      </w:tr>
      <w:tr w:rsidR="0097257A" w:rsidRPr="00040C35" w14:paraId="6BC42061" w14:textId="77777777" w:rsidTr="00206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pct"/>
            <w:vAlign w:val="center"/>
          </w:tcPr>
          <w:p w14:paraId="32FCA01E" w14:textId="68A9FF57"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Total barrières phase de clôture</w:t>
            </w:r>
          </w:p>
        </w:tc>
        <w:tc>
          <w:tcPr>
            <w:tcW w:w="901" w:type="pct"/>
            <w:vAlign w:val="center"/>
          </w:tcPr>
          <w:p w14:paraId="20976901" w14:textId="5CB58E4F"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3 – Clôture</w:t>
            </w:r>
          </w:p>
        </w:tc>
        <w:tc>
          <w:tcPr>
            <w:tcW w:w="590" w:type="pct"/>
            <w:vAlign w:val="center"/>
          </w:tcPr>
          <w:p w14:paraId="6BA4177D" w14:textId="3C216782"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−0.800</w:t>
            </w:r>
          </w:p>
        </w:tc>
        <w:tc>
          <w:tcPr>
            <w:tcW w:w="810" w:type="pct"/>
            <w:vAlign w:val="center"/>
          </w:tcPr>
          <w:p w14:paraId="1126053B" w14:textId="688CB4E6"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Complète</w:t>
            </w:r>
          </w:p>
        </w:tc>
        <w:tc>
          <w:tcPr>
            <w:tcW w:w="619" w:type="pct"/>
            <w:vAlign w:val="center"/>
          </w:tcPr>
          <w:p w14:paraId="7AA374C8" w14:textId="7904D11D"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MCT</w:t>
            </w:r>
          </w:p>
        </w:tc>
      </w:tr>
      <w:tr w:rsidR="0097257A" w:rsidRPr="00040C35" w14:paraId="07F53E2D" w14:textId="77777777" w:rsidTr="0020603A">
        <w:tc>
          <w:tcPr>
            <w:cnfStyle w:val="001000000000" w:firstRow="0" w:lastRow="0" w:firstColumn="1" w:lastColumn="0" w:oddVBand="0" w:evenVBand="0" w:oddHBand="0" w:evenHBand="0" w:firstRowFirstColumn="0" w:firstRowLastColumn="0" w:lastRowFirstColumn="0" w:lastRowLastColumn="0"/>
            <w:tcW w:w="2080" w:type="pct"/>
            <w:vAlign w:val="center"/>
          </w:tcPr>
          <w:p w14:paraId="5E1B0FAA" w14:textId="48D74583"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Total barrières (toutes phases)</w:t>
            </w:r>
          </w:p>
        </w:tc>
        <w:tc>
          <w:tcPr>
            <w:tcW w:w="901" w:type="pct"/>
            <w:vAlign w:val="center"/>
          </w:tcPr>
          <w:p w14:paraId="4F34D249" w14:textId="059295B9"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w:t>
            </w:r>
          </w:p>
        </w:tc>
        <w:tc>
          <w:tcPr>
            <w:tcW w:w="590" w:type="pct"/>
            <w:vAlign w:val="center"/>
          </w:tcPr>
          <w:p w14:paraId="38741914" w14:textId="63869998"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−0.760</w:t>
            </w:r>
          </w:p>
        </w:tc>
        <w:tc>
          <w:tcPr>
            <w:tcW w:w="810" w:type="pct"/>
            <w:vAlign w:val="center"/>
          </w:tcPr>
          <w:p w14:paraId="58F2F6F2" w14:textId="3DBF4FAF"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Complète</w:t>
            </w:r>
          </w:p>
        </w:tc>
        <w:tc>
          <w:tcPr>
            <w:tcW w:w="619" w:type="pct"/>
            <w:vAlign w:val="center"/>
          </w:tcPr>
          <w:p w14:paraId="7BF88437" w14:textId="6F60C2E4"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MCT</w:t>
            </w:r>
          </w:p>
        </w:tc>
      </w:tr>
      <w:tr w:rsidR="0097257A" w:rsidRPr="00040C35" w14:paraId="67547A74" w14:textId="77777777" w:rsidTr="00206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pct"/>
            <w:vAlign w:val="center"/>
          </w:tcPr>
          <w:p w14:paraId="665EF220" w14:textId="6E218841"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Engagement modéré (discret)</w:t>
            </w:r>
          </w:p>
        </w:tc>
        <w:tc>
          <w:tcPr>
            <w:tcW w:w="901" w:type="pct"/>
            <w:vAlign w:val="center"/>
          </w:tcPr>
          <w:p w14:paraId="637BB527" w14:textId="17752751"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w:t>
            </w:r>
          </w:p>
        </w:tc>
        <w:tc>
          <w:tcPr>
            <w:tcW w:w="590" w:type="pct"/>
            <w:vAlign w:val="center"/>
          </w:tcPr>
          <w:p w14:paraId="1BE178DB" w14:textId="04721217"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0.730</w:t>
            </w:r>
          </w:p>
        </w:tc>
        <w:tc>
          <w:tcPr>
            <w:tcW w:w="810" w:type="pct"/>
            <w:vAlign w:val="center"/>
          </w:tcPr>
          <w:p w14:paraId="33E61B50" w14:textId="272CB0A8"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Complète</w:t>
            </w:r>
          </w:p>
        </w:tc>
        <w:tc>
          <w:tcPr>
            <w:tcW w:w="619" w:type="pct"/>
            <w:vAlign w:val="center"/>
          </w:tcPr>
          <w:p w14:paraId="1DB296EB" w14:textId="7881EEA0"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MCT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CT</w:t>
            </w:r>
          </w:p>
        </w:tc>
      </w:tr>
      <w:tr w:rsidR="0097257A" w:rsidRPr="00040C35" w14:paraId="275163A0" w14:textId="77777777" w:rsidTr="0020603A">
        <w:tc>
          <w:tcPr>
            <w:cnfStyle w:val="001000000000" w:firstRow="0" w:lastRow="0" w:firstColumn="1" w:lastColumn="0" w:oddVBand="0" w:evenVBand="0" w:oddHBand="0" w:evenHBand="0" w:firstRowFirstColumn="0" w:firstRowLastColumn="0" w:lastRowFirstColumn="0" w:lastRowLastColumn="0"/>
            <w:tcW w:w="2080" w:type="pct"/>
            <w:vAlign w:val="center"/>
          </w:tcPr>
          <w:p w14:paraId="2EEAA01D" w14:textId="2BAC68E9"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Total barrières phase de démarrage</w:t>
            </w:r>
          </w:p>
        </w:tc>
        <w:tc>
          <w:tcPr>
            <w:tcW w:w="901" w:type="pct"/>
            <w:vAlign w:val="center"/>
          </w:tcPr>
          <w:p w14:paraId="7A0D488E" w14:textId="104184FE"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1 – Démarrage</w:t>
            </w:r>
          </w:p>
        </w:tc>
        <w:tc>
          <w:tcPr>
            <w:tcW w:w="590" w:type="pct"/>
            <w:vAlign w:val="center"/>
          </w:tcPr>
          <w:p w14:paraId="6AA56F7C" w14:textId="3C97CFA7"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−0.700</w:t>
            </w:r>
          </w:p>
        </w:tc>
        <w:tc>
          <w:tcPr>
            <w:tcW w:w="810" w:type="pct"/>
            <w:vAlign w:val="center"/>
          </w:tcPr>
          <w:p w14:paraId="67B2EAA5" w14:textId="2706092B"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Complète</w:t>
            </w:r>
          </w:p>
        </w:tc>
        <w:tc>
          <w:tcPr>
            <w:tcW w:w="619" w:type="pct"/>
            <w:vAlign w:val="center"/>
          </w:tcPr>
          <w:p w14:paraId="55E0ACC8" w14:textId="2D9A85BF"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MCT</w:t>
            </w:r>
          </w:p>
        </w:tc>
      </w:tr>
      <w:tr w:rsidR="0097257A" w:rsidRPr="00040C35" w14:paraId="26ADDE69" w14:textId="77777777" w:rsidTr="00206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pct"/>
            <w:vAlign w:val="center"/>
          </w:tcPr>
          <w:p w14:paraId="7867CB56" w14:textId="1C09C309"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Besoin d’aide à l’utilisation initiale</w:t>
            </w:r>
          </w:p>
        </w:tc>
        <w:tc>
          <w:tcPr>
            <w:tcW w:w="901" w:type="pct"/>
            <w:vAlign w:val="center"/>
          </w:tcPr>
          <w:p w14:paraId="40F096C2" w14:textId="3D8BF128"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1 – Démarrage</w:t>
            </w:r>
          </w:p>
        </w:tc>
        <w:tc>
          <w:tcPr>
            <w:tcW w:w="590" w:type="pct"/>
            <w:vAlign w:val="center"/>
          </w:tcPr>
          <w:p w14:paraId="68D45555" w14:textId="3CAF70E9"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−1.000</w:t>
            </w:r>
          </w:p>
        </w:tc>
        <w:tc>
          <w:tcPr>
            <w:tcW w:w="810" w:type="pct"/>
            <w:vAlign w:val="center"/>
          </w:tcPr>
          <w:p w14:paraId="34DA9B4F" w14:textId="318B6B45"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Complète</w:t>
            </w:r>
          </w:p>
        </w:tc>
        <w:tc>
          <w:tcPr>
            <w:tcW w:w="619" w:type="pct"/>
            <w:vAlign w:val="center"/>
          </w:tcPr>
          <w:p w14:paraId="41850216" w14:textId="4C9EFAA0"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MCT</w:t>
            </w:r>
          </w:p>
        </w:tc>
      </w:tr>
      <w:tr w:rsidR="0097257A" w:rsidRPr="00040C35" w14:paraId="22625185" w14:textId="77777777" w:rsidTr="0020603A">
        <w:tc>
          <w:tcPr>
            <w:cnfStyle w:val="001000000000" w:firstRow="0" w:lastRow="0" w:firstColumn="1" w:lastColumn="0" w:oddVBand="0" w:evenVBand="0" w:oddHBand="0" w:evenHBand="0" w:firstRowFirstColumn="0" w:firstRowLastColumn="0" w:lastRowFirstColumn="0" w:lastRowLastColumn="0"/>
            <w:tcW w:w="2080" w:type="pct"/>
            <w:vAlign w:val="center"/>
          </w:tcPr>
          <w:p w14:paraId="773A2281" w14:textId="0A01ADAF"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Barrière organisationnelle à la clôture</w:t>
            </w:r>
          </w:p>
        </w:tc>
        <w:tc>
          <w:tcPr>
            <w:tcW w:w="901" w:type="pct"/>
            <w:vAlign w:val="center"/>
          </w:tcPr>
          <w:p w14:paraId="0C4AB031" w14:textId="7D70D914"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3 – Clôture</w:t>
            </w:r>
          </w:p>
        </w:tc>
        <w:tc>
          <w:tcPr>
            <w:tcW w:w="590" w:type="pct"/>
            <w:vAlign w:val="center"/>
          </w:tcPr>
          <w:p w14:paraId="28560F0F" w14:textId="6D44D18B"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−1.000</w:t>
            </w:r>
          </w:p>
        </w:tc>
        <w:tc>
          <w:tcPr>
            <w:tcW w:w="810" w:type="pct"/>
            <w:vAlign w:val="center"/>
          </w:tcPr>
          <w:p w14:paraId="088C8254" w14:textId="0427B650"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Partielle</w:t>
            </w:r>
          </w:p>
        </w:tc>
        <w:tc>
          <w:tcPr>
            <w:tcW w:w="619" w:type="pct"/>
            <w:vAlign w:val="center"/>
          </w:tcPr>
          <w:p w14:paraId="117075C2" w14:textId="0289D570"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MCT</w:t>
            </w:r>
          </w:p>
        </w:tc>
      </w:tr>
      <w:tr w:rsidR="0097257A" w:rsidRPr="00040C35" w14:paraId="78440BD9" w14:textId="77777777" w:rsidTr="00206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pct"/>
            <w:vAlign w:val="center"/>
          </w:tcPr>
          <w:p w14:paraId="30DE1E14" w14:textId="7CCDC9E7"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Engagement à la clôture</w:t>
            </w:r>
          </w:p>
        </w:tc>
        <w:tc>
          <w:tcPr>
            <w:tcW w:w="901" w:type="pct"/>
            <w:vAlign w:val="center"/>
          </w:tcPr>
          <w:p w14:paraId="5434B909" w14:textId="7DC7A72A"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3 – Clôture</w:t>
            </w:r>
          </w:p>
        </w:tc>
        <w:tc>
          <w:tcPr>
            <w:tcW w:w="590" w:type="pct"/>
            <w:vAlign w:val="center"/>
          </w:tcPr>
          <w:p w14:paraId="05AB6AF6" w14:textId="6F64FDF3"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0.700</w:t>
            </w:r>
          </w:p>
        </w:tc>
        <w:tc>
          <w:tcPr>
            <w:tcW w:w="810" w:type="pct"/>
            <w:vAlign w:val="center"/>
          </w:tcPr>
          <w:p w14:paraId="1C3306EF" w14:textId="106F51AF"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Partielle</w:t>
            </w:r>
          </w:p>
        </w:tc>
        <w:tc>
          <w:tcPr>
            <w:tcW w:w="619" w:type="pct"/>
            <w:vAlign w:val="center"/>
          </w:tcPr>
          <w:p w14:paraId="6C9DAEB3" w14:textId="199D6A89"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MCT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CT</w:t>
            </w:r>
          </w:p>
        </w:tc>
      </w:tr>
      <w:tr w:rsidR="0097257A" w:rsidRPr="00040C35" w14:paraId="6CE28198" w14:textId="77777777" w:rsidTr="0020603A">
        <w:tc>
          <w:tcPr>
            <w:cnfStyle w:val="001000000000" w:firstRow="0" w:lastRow="0" w:firstColumn="1" w:lastColumn="0" w:oddVBand="0" w:evenVBand="0" w:oddHBand="0" w:evenHBand="0" w:firstRowFirstColumn="0" w:firstRowLastColumn="0" w:lastRowFirstColumn="0" w:lastRowLastColumn="0"/>
            <w:tcW w:w="2080" w:type="pct"/>
            <w:vAlign w:val="center"/>
          </w:tcPr>
          <w:p w14:paraId="658789BA" w14:textId="470CD9F1"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Régulation et modifications en clôture</w:t>
            </w:r>
          </w:p>
        </w:tc>
        <w:tc>
          <w:tcPr>
            <w:tcW w:w="901" w:type="pct"/>
            <w:vAlign w:val="center"/>
          </w:tcPr>
          <w:p w14:paraId="1BBB9531" w14:textId="5311DA07"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3 – Clôture</w:t>
            </w:r>
          </w:p>
        </w:tc>
        <w:tc>
          <w:tcPr>
            <w:tcW w:w="590" w:type="pct"/>
            <w:vAlign w:val="center"/>
          </w:tcPr>
          <w:p w14:paraId="06572C81" w14:textId="6EE61276"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0.690</w:t>
            </w:r>
          </w:p>
        </w:tc>
        <w:tc>
          <w:tcPr>
            <w:tcW w:w="810" w:type="pct"/>
            <w:vAlign w:val="center"/>
          </w:tcPr>
          <w:p w14:paraId="59531113" w14:textId="0B5F237E"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Partielle</w:t>
            </w:r>
          </w:p>
        </w:tc>
        <w:tc>
          <w:tcPr>
            <w:tcW w:w="619" w:type="pct"/>
            <w:vAlign w:val="center"/>
          </w:tcPr>
          <w:p w14:paraId="62C2F94A" w14:textId="5BE15E88" w:rsidR="0097257A" w:rsidRPr="00363F5C" w:rsidRDefault="0097257A" w:rsidP="00363F5C">
            <w:pPr>
              <w:pStyle w:val="Corpsdetexte3"/>
              <w:spacing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MCT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CT</w:t>
            </w:r>
          </w:p>
        </w:tc>
      </w:tr>
      <w:tr w:rsidR="0097257A" w:rsidRPr="00040C35" w14:paraId="6D1B2F81" w14:textId="77777777" w:rsidTr="00206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0" w:type="pct"/>
            <w:vAlign w:val="center"/>
          </w:tcPr>
          <w:p w14:paraId="48928BC5" w14:textId="0041A4CF" w:rsidR="0097257A" w:rsidRPr="00363F5C" w:rsidRDefault="0097257A" w:rsidP="00363F5C">
            <w:pPr>
              <w:pStyle w:val="Corpsdetexte3"/>
              <w:spacing w:after="60"/>
              <w:rPr>
                <w:rFonts w:asciiTheme="minorHAnsi" w:hAnsiTheme="minorHAnsi" w:cstheme="minorHAnsi"/>
                <w:bCs w:val="0"/>
                <w:sz w:val="18"/>
                <w:szCs w:val="18"/>
              </w:rPr>
            </w:pPr>
            <w:r w:rsidRPr="00363F5C">
              <w:rPr>
                <w:rFonts w:asciiTheme="minorHAnsi" w:hAnsiTheme="minorHAnsi" w:cstheme="minorHAnsi"/>
                <w:bCs w:val="0"/>
                <w:sz w:val="18"/>
                <w:szCs w:val="18"/>
              </w:rPr>
              <w:t>Monitoring</w:t>
            </w:r>
            <w:r w:rsidR="00B614FA">
              <w:rPr>
                <w:rFonts w:asciiTheme="minorHAnsi" w:hAnsiTheme="minorHAnsi" w:cstheme="minorHAnsi"/>
                <w:bCs w:val="0"/>
                <w:sz w:val="18"/>
                <w:szCs w:val="18"/>
              </w:rPr>
              <w:t> </w:t>
            </w:r>
            <w:r w:rsidRPr="00363F5C">
              <w:rPr>
                <w:rFonts w:asciiTheme="minorHAnsi" w:hAnsiTheme="minorHAnsi" w:cstheme="minorHAnsi"/>
                <w:bCs w:val="0"/>
                <w:sz w:val="18"/>
                <w:szCs w:val="18"/>
              </w:rPr>
              <w:t>/</w:t>
            </w:r>
            <w:r w:rsidR="00B614FA">
              <w:rPr>
                <w:rFonts w:asciiTheme="minorHAnsi" w:hAnsiTheme="minorHAnsi" w:cstheme="minorHAnsi"/>
                <w:bCs w:val="0"/>
                <w:sz w:val="18"/>
                <w:szCs w:val="18"/>
              </w:rPr>
              <w:t> </w:t>
            </w:r>
            <w:r w:rsidRPr="00363F5C">
              <w:rPr>
                <w:rFonts w:asciiTheme="minorHAnsi" w:hAnsiTheme="minorHAnsi" w:cstheme="minorHAnsi"/>
                <w:bCs w:val="0"/>
                <w:sz w:val="18"/>
                <w:szCs w:val="18"/>
              </w:rPr>
              <w:t>relecture en clôture</w:t>
            </w:r>
          </w:p>
        </w:tc>
        <w:tc>
          <w:tcPr>
            <w:tcW w:w="901" w:type="pct"/>
            <w:vAlign w:val="center"/>
          </w:tcPr>
          <w:p w14:paraId="3908DF9B" w14:textId="0DE19873"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3 – Clôture</w:t>
            </w:r>
          </w:p>
        </w:tc>
        <w:tc>
          <w:tcPr>
            <w:tcW w:w="590" w:type="pct"/>
            <w:vAlign w:val="center"/>
          </w:tcPr>
          <w:p w14:paraId="24770B63" w14:textId="22A22A67"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0.640</w:t>
            </w:r>
          </w:p>
        </w:tc>
        <w:tc>
          <w:tcPr>
            <w:tcW w:w="810" w:type="pct"/>
            <w:vAlign w:val="center"/>
          </w:tcPr>
          <w:p w14:paraId="05FC92C9" w14:textId="424174DB"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Partielle</w:t>
            </w:r>
          </w:p>
        </w:tc>
        <w:tc>
          <w:tcPr>
            <w:tcW w:w="619" w:type="pct"/>
            <w:vAlign w:val="center"/>
          </w:tcPr>
          <w:p w14:paraId="4597D6E0" w14:textId="642CBB51" w:rsidR="0097257A" w:rsidRPr="00363F5C" w:rsidRDefault="0097257A" w:rsidP="00363F5C">
            <w:pPr>
              <w:pStyle w:val="Corpsdetexte3"/>
              <w:spacing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63F5C">
              <w:rPr>
                <w:rFonts w:asciiTheme="minorHAnsi" w:hAnsiTheme="minorHAnsi" w:cstheme="minorHAnsi"/>
                <w:sz w:val="18"/>
                <w:szCs w:val="18"/>
              </w:rPr>
              <w:t xml:space="preserve">MCT </w:t>
            </w:r>
            <w:r w:rsidRPr="00363F5C">
              <w:rPr>
                <w:rFonts w:ascii="Times New Roman" w:hAnsi="Times New Roman" w:cs="Times New Roman"/>
                <w:sz w:val="18"/>
                <w:szCs w:val="18"/>
              </w:rPr>
              <w:t>↑</w:t>
            </w:r>
            <w:r w:rsidRPr="00363F5C">
              <w:rPr>
                <w:rFonts w:asciiTheme="minorHAnsi" w:hAnsiTheme="minorHAnsi" w:cstheme="minorHAnsi"/>
                <w:sz w:val="18"/>
                <w:szCs w:val="18"/>
              </w:rPr>
              <w:t xml:space="preserve"> CT</w:t>
            </w:r>
          </w:p>
        </w:tc>
      </w:tr>
    </w:tbl>
    <w:p w14:paraId="47247B2A" w14:textId="48EB0948" w:rsidR="0020603A" w:rsidRDefault="0020603A" w:rsidP="0020603A">
      <w:pPr>
        <w:pStyle w:val="Corpsdetexte"/>
        <w:spacing w:before="240"/>
        <w:ind w:firstLine="0"/>
      </w:pPr>
      <w:r>
        <w:t xml:space="preserve">La courbe continue </w:t>
      </w:r>
      <w:r w:rsidR="001D7E76">
        <w:t>de la Figure</w:t>
      </w:r>
      <w:r w:rsidR="00BB6C0F">
        <w:t> </w:t>
      </w:r>
      <w:r w:rsidR="001D7E76">
        <w:t xml:space="preserve">1 </w:t>
      </w:r>
      <w:r>
        <w:t>représente la condition MCT et la courbe pointillée la condition CT. Le score d’engagement régulateur reste plus élevé dans la condition MCT que dans la condition CT durant les cinq séances. L’écart est important au début, puis diminue progressivement, sans s’inverser.</w:t>
      </w:r>
    </w:p>
    <w:p w14:paraId="2F72E56C" w14:textId="70D71F91" w:rsidR="001D7E76" w:rsidRDefault="001D7E76" w:rsidP="001D7E76">
      <w:pPr>
        <w:pStyle w:val="LegendeAbbildung"/>
      </w:pPr>
      <w:r>
        <w:t>Figure</w:t>
      </w:r>
      <w:r w:rsidR="00BB6C0F">
        <w:t> </w:t>
      </w:r>
      <w:r>
        <w:t>1</w:t>
      </w:r>
      <w:r w:rsidR="003C091A">
        <w:t> </w:t>
      </w:r>
      <w:r>
        <w:t xml:space="preserve">: </w:t>
      </w:r>
      <w:r w:rsidRPr="003C7998">
        <w:t>Évolution de l’engagement régulateur par condition expérimentale</w:t>
      </w:r>
    </w:p>
    <w:p w14:paraId="1C748380" w14:textId="77777777" w:rsidR="0054574C" w:rsidRDefault="4B72EBEA" w:rsidP="00B52A89">
      <w:pPr>
        <w:pStyle w:val="Corpsdetexte2"/>
      </w:pPr>
      <w:r>
        <w:rPr>
          <w:noProof/>
        </w:rPr>
        <w:drawing>
          <wp:inline distT="0" distB="0" distL="0" distR="0" wp14:anchorId="6BA7D554" wp14:editId="7922B38F">
            <wp:extent cx="4452306" cy="2542309"/>
            <wp:effectExtent l="0" t="0" r="5715" b="0"/>
            <wp:docPr id="1998376175" name="Image 4" descr="Évolution de engagement régulateur, les données sont essentielles sont présentées dans le tex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76175" name="Image 4" descr="Évolution engagement régulateur, les données sont présentées dans le text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52306" cy="2542309"/>
                    </a:xfrm>
                    <a:prstGeom prst="rect">
                      <a:avLst/>
                    </a:prstGeom>
                    <a:noFill/>
                  </pic:spPr>
                </pic:pic>
              </a:graphicData>
            </a:graphic>
          </wp:inline>
        </w:drawing>
      </w:r>
    </w:p>
    <w:p w14:paraId="1763EA13" w14:textId="23BC37D3" w:rsidR="003C7998" w:rsidRPr="009C641A" w:rsidRDefault="41CB44D8" w:rsidP="0022392C">
      <w:pPr>
        <w:pStyle w:val="Corpsdetexte"/>
        <w:ind w:firstLine="0"/>
      </w:pPr>
      <w:r>
        <w:lastRenderedPageBreak/>
        <w:t>Il y a une é</w:t>
      </w:r>
      <w:r w:rsidR="3D371389">
        <w:t>volution du score factoriel (engagement régulateur) au fil des cinq séances pour les deux conditions expérimentales. La séparation MCT (bleu</w:t>
      </w:r>
      <w:r w:rsidR="40B69B87">
        <w:t xml:space="preserve"> plein</w:t>
      </w:r>
      <w:r w:rsidR="3D371389">
        <w:t>) &gt; CT (rouge</w:t>
      </w:r>
      <w:r w:rsidR="0989B138">
        <w:t xml:space="preserve"> pointillé</w:t>
      </w:r>
      <w:r w:rsidR="3D371389">
        <w:t>) est cohérente sur l’ensemble des séances, avec un écart qui se réduit progressivement de la séance</w:t>
      </w:r>
      <w:r w:rsidR="2957B191">
        <w:t> </w:t>
      </w:r>
      <w:r w:rsidR="3D371389">
        <w:t>1 (MCT ≈</w:t>
      </w:r>
      <w:r w:rsidR="2957B191">
        <w:t> </w:t>
      </w:r>
      <w:r w:rsidR="3D371389">
        <w:t>+1.10</w:t>
      </w:r>
      <w:r w:rsidR="44302F9A">
        <w:t> </w:t>
      </w:r>
      <w:r w:rsidR="3D371389">
        <w:t>; CT ≈ −1.05) à la séance</w:t>
      </w:r>
      <w:r w:rsidR="2957B191">
        <w:t> </w:t>
      </w:r>
      <w:r w:rsidR="3D371389">
        <w:t>5 (MCT ≈</w:t>
      </w:r>
      <w:r w:rsidR="2957B191">
        <w:t> </w:t>
      </w:r>
      <w:r w:rsidR="3D371389">
        <w:t>+0.33</w:t>
      </w:r>
      <w:r w:rsidR="44302F9A">
        <w:t> </w:t>
      </w:r>
      <w:r w:rsidR="3D371389">
        <w:t>; CT ≈ −0.66).</w:t>
      </w:r>
    </w:p>
    <w:p w14:paraId="22646BF1" w14:textId="45ADF66C" w:rsidR="003C7998" w:rsidRDefault="003C7998" w:rsidP="003C7998">
      <w:pPr>
        <w:pStyle w:val="Titre2"/>
      </w:pPr>
      <w:r>
        <w:t>Signal préliminaire sur le transfert académique</w:t>
      </w:r>
    </w:p>
    <w:p w14:paraId="2DAAC11F" w14:textId="7B9A87B5" w:rsidR="003C7998" w:rsidRDefault="003C7998" w:rsidP="0054574C">
      <w:pPr>
        <w:pStyle w:val="Corpsdetexte"/>
        <w:ind w:firstLine="0"/>
      </w:pPr>
      <w:r>
        <w:t>Le groupe MCT enregistre un incrément moyen de +3.06</w:t>
      </w:r>
      <w:r w:rsidR="00BB6C0F">
        <w:t> </w:t>
      </w:r>
      <w:r>
        <w:t>points sur le score total QAL (T1</w:t>
      </w:r>
      <w:r w:rsidR="003C091A">
        <w:t> </w:t>
      </w:r>
      <w:r>
        <w:t>: M = 62.39</w:t>
      </w:r>
      <w:r w:rsidR="003C091A">
        <w:t> </w:t>
      </w:r>
      <w:r>
        <w:t>; T2</w:t>
      </w:r>
      <w:r w:rsidR="003C091A">
        <w:t> </w:t>
      </w:r>
      <w:r>
        <w:t>: M = 65.45), avec la variation la plus prononcée dans la sous-échelle Monitoring (+1.66). Le groupe CT montre une quasi totale stabilité (+0.38</w:t>
      </w:r>
      <w:r w:rsidR="003C091A">
        <w:t> </w:t>
      </w:r>
      <w:r>
        <w:t>; T1</w:t>
      </w:r>
      <w:r w:rsidR="003C091A">
        <w:t> </w:t>
      </w:r>
      <w:r>
        <w:t>: M = 64.31</w:t>
      </w:r>
      <w:r w:rsidR="003C091A">
        <w:t> </w:t>
      </w:r>
      <w:r>
        <w:t>; T2</w:t>
      </w:r>
      <w:r w:rsidR="003C091A">
        <w:t> </w:t>
      </w:r>
      <w:r>
        <w:t>: M = 64.69).</w:t>
      </w:r>
    </w:p>
    <w:p w14:paraId="37D9C394" w14:textId="2882EBA9" w:rsidR="003C7998" w:rsidRDefault="003C7998" w:rsidP="003C7998">
      <w:pPr>
        <w:pStyle w:val="Corpsdetexte"/>
      </w:pPr>
      <w:r>
        <w:t xml:space="preserve">L’analyse de covariance, selon le modèle statistique ANCOVA qui compare deux groupes en neutralisant l’effet du niveau de départ, avec T1 comme </w:t>
      </w:r>
      <w:proofErr w:type="spellStart"/>
      <w:r>
        <w:t>covariable</w:t>
      </w:r>
      <w:proofErr w:type="spellEnd"/>
      <w:r>
        <w:t>, révèle un avantage tendanciel du groupe MCT</w:t>
      </w:r>
      <w:r w:rsidR="00C7753B">
        <w:t> </w:t>
      </w:r>
      <w:r>
        <w:t>: B = 2.42, p = .040, η²p</w:t>
      </w:r>
      <w:r w:rsidR="005348BF">
        <w:t> </w:t>
      </w:r>
      <w:r>
        <w:t>=</w:t>
      </w:r>
      <w:r w:rsidR="005348BF">
        <w:t> </w:t>
      </w:r>
      <w:r>
        <w:t xml:space="preserve">.006 – où η²p (êta carré partiel) mesure la taille de l’effet, ici très faible. Ce résultat n’est pas confirmé après correction de </w:t>
      </w:r>
      <w:proofErr w:type="spellStart"/>
      <w:r>
        <w:t>Bonferroni</w:t>
      </w:r>
      <w:proofErr w:type="spellEnd"/>
      <w:r>
        <w:t xml:space="preserve"> (</w:t>
      </w:r>
      <w:proofErr w:type="spellStart"/>
      <w:r>
        <w:t>p_Bonf</w:t>
      </w:r>
      <w:proofErr w:type="spellEnd"/>
      <w:r>
        <w:t xml:space="preserve"> = .160) – procédure qui renforce le seuil de significativité pour éviter des conclusions prématurées lors de tests multiples. Avec une puissance statistique estimée à 10</w:t>
      </w:r>
      <w:r w:rsidR="00BB6C0F">
        <w:t> </w:t>
      </w:r>
      <w:r>
        <w:t>%, ce résultat constitue un signal exploratoire unidirectionnel à tester formellement dans le RCT.</w:t>
      </w:r>
    </w:p>
    <w:p w14:paraId="3B53B358" w14:textId="77777777" w:rsidR="003C7998" w:rsidRDefault="003C7998" w:rsidP="003C7998">
      <w:pPr>
        <w:pStyle w:val="Titre1"/>
      </w:pPr>
      <w:r>
        <w:t>Implications pour l’adaptation curriculaire</w:t>
      </w:r>
    </w:p>
    <w:p w14:paraId="18F77C44" w14:textId="77777777" w:rsidR="003C7998" w:rsidRDefault="003C7998" w:rsidP="003E143D">
      <w:pPr>
        <w:pStyle w:val="Corpsdetexte"/>
        <w:ind w:firstLine="0"/>
      </w:pPr>
      <w:r>
        <w:t>Les résultats du Piloting2026 offrent trois points d’ancrage concrets pour l’adaptation du Plan d’études tessinois et des plans d’études cantonaux francophones. C’est précisément la vocation informative de ce cycle pilote.</w:t>
      </w:r>
    </w:p>
    <w:p w14:paraId="7D508B41" w14:textId="77777777" w:rsidR="003C7998" w:rsidRDefault="003C7998" w:rsidP="003C7998">
      <w:pPr>
        <w:pStyle w:val="Titre2"/>
      </w:pPr>
      <w:r>
        <w:t>Intégrer l’entrainement métacognitif</w:t>
      </w:r>
    </w:p>
    <w:p w14:paraId="5A581A85" w14:textId="77777777" w:rsidR="003C7998" w:rsidRDefault="003C7998" w:rsidP="00B52A89">
      <w:pPr>
        <w:pStyle w:val="Corpsdetexte"/>
        <w:ind w:firstLine="0"/>
      </w:pPr>
      <w:r>
        <w:t>L’entrainement métacognitif explicite est différenciable de l’enrichissement cognitif ordinaire dès cinq séances. La séparation entre MCT et CT suggère que les moments de planification et de clôture modifient la façon dont les élèves s’engagent dans la tâche. Pour les adaptations curriculaires, cela plaide pour l’intégration régulière de temps courts de planification, de verbalisation stratégique et d’autoévaluation.</w:t>
      </w:r>
    </w:p>
    <w:p w14:paraId="7DE6694C" w14:textId="77777777" w:rsidR="003C7998" w:rsidRDefault="003C7998" w:rsidP="003C7998">
      <w:pPr>
        <w:pStyle w:val="Titre2"/>
      </w:pPr>
      <w:r>
        <w:t>Prévenir la stigmatisation</w:t>
      </w:r>
    </w:p>
    <w:p w14:paraId="1DF2CE1F" w14:textId="14BA4E4E" w:rsidR="003C7998" w:rsidRDefault="003C7998" w:rsidP="00960A69">
      <w:pPr>
        <w:pStyle w:val="Corpsdetexte"/>
        <w:ind w:firstLine="0"/>
      </w:pPr>
      <w:r>
        <w:t>Le dispositif est pensé comme une intervention universelle, proposée à toute la classe. Cette organisation évite de réserver l’outil aux seuls élèves identifiés comme ayant des besoins éducatifs spéciaux. Elle permet ainsi de soutenir les élèves qui rencontrent des difficultés sans les isoler du groupe (Blair &amp; Raver, 2015</w:t>
      </w:r>
      <w:r w:rsidR="00C7753B">
        <w:t> </w:t>
      </w:r>
      <w:r>
        <w:t>; Takacs &amp; Kassai, 2019).</w:t>
      </w:r>
    </w:p>
    <w:p w14:paraId="735444C8" w14:textId="77777777" w:rsidR="003C7998" w:rsidRDefault="003C7998" w:rsidP="003C7998">
      <w:pPr>
        <w:pStyle w:val="Titre2"/>
      </w:pPr>
      <w:r>
        <w:t>Ajuster les outils avec le corps enseignant</w:t>
      </w:r>
    </w:p>
    <w:p w14:paraId="674E0672" w14:textId="3F035B86" w:rsidR="003C7998" w:rsidRDefault="003C7998" w:rsidP="00960A69">
      <w:pPr>
        <w:pStyle w:val="Corpsdetexte"/>
        <w:ind w:firstLine="0"/>
      </w:pPr>
      <w:r>
        <w:t>La grille d’observation montre que la phase de travail productif doit être mieux décrite. Il est notamment nécessaire de distinguer les situations où l’élève ne sait pas comment procéder de celles où il ou elle évite de s’engager. Cette distinction est importante pour choisir une réponse pédagogique adaptée</w:t>
      </w:r>
      <w:r w:rsidR="00C7753B">
        <w:t> </w:t>
      </w:r>
      <w:r>
        <w:t>: explicitation de la consigne, modelage, soutien à l’organisation ou relance motivationnelle.</w:t>
      </w:r>
    </w:p>
    <w:p w14:paraId="6EACFE0D" w14:textId="7296C08B" w:rsidR="00610881" w:rsidRDefault="003C7998" w:rsidP="003C7998">
      <w:pPr>
        <w:pStyle w:val="Titre2"/>
      </w:pPr>
      <w:r>
        <w:t>Et concrètement en classe</w:t>
      </w:r>
      <w:r w:rsidR="00C7753B">
        <w:t> </w:t>
      </w:r>
      <w:r>
        <w:t>?</w:t>
      </w:r>
    </w:p>
    <w:p w14:paraId="00CC97FD" w14:textId="2F5CCA19" w:rsidR="00610881" w:rsidRDefault="00610881" w:rsidP="00FF064D">
      <w:pPr>
        <w:pStyle w:val="Liste"/>
        <w:spacing w:after="60"/>
        <w:contextualSpacing w:val="0"/>
        <w:jc w:val="both"/>
      </w:pPr>
      <w:r>
        <w:t>Ritualiser trois temps par séance d’enseignement</w:t>
      </w:r>
      <w:r w:rsidR="00C7753B">
        <w:t> </w:t>
      </w:r>
      <w:r>
        <w:t>: un démarrage où l’élève fixe le but de la séance, un temps de travail, puis une clôture où il ou elle évalue ce qui a fonctionné. Les moments d’ouverture et de clôture sont ceux où l’engagement se construit.</w:t>
      </w:r>
    </w:p>
    <w:p w14:paraId="380EA853" w14:textId="4AD8A308" w:rsidR="00610881" w:rsidRDefault="00610881" w:rsidP="00FF064D">
      <w:pPr>
        <w:pStyle w:val="Liste"/>
        <w:spacing w:after="60"/>
        <w:contextualSpacing w:val="0"/>
        <w:jc w:val="both"/>
      </w:pPr>
      <w:r>
        <w:t>Rendre la métacognition explicite</w:t>
      </w:r>
      <w:r w:rsidR="00C7753B">
        <w:t> </w:t>
      </w:r>
      <w:r>
        <w:t>: faire verbaliser les stratégies (planifier, s’autoquestionner, repérer ce qui n’est pas compris, évaluer), plutôt que de multiplier les exercices.</w:t>
      </w:r>
    </w:p>
    <w:p w14:paraId="3916AC4B" w14:textId="198544F9" w:rsidR="00610881" w:rsidRDefault="00610881" w:rsidP="00FF064D">
      <w:pPr>
        <w:pStyle w:val="Liste"/>
        <w:spacing w:after="60"/>
        <w:contextualSpacing w:val="0"/>
        <w:jc w:val="both"/>
      </w:pPr>
      <w:r>
        <w:t>Lire le type de blocage</w:t>
      </w:r>
      <w:r w:rsidR="00C7753B">
        <w:t> </w:t>
      </w:r>
      <w:r>
        <w:t>: distinguer l’élève qui ne sait pas comment procéder (étayer la démarche) de celui ou celle qui refuse de s’engager (travailler le sens et la motivation)</w:t>
      </w:r>
      <w:r w:rsidR="00C7753B">
        <w:t> </w:t>
      </w:r>
      <w:r>
        <w:t>; la réponse pédagogique diffère.</w:t>
      </w:r>
    </w:p>
    <w:p w14:paraId="319AF17E" w14:textId="66C29DD0" w:rsidR="003C7998" w:rsidRDefault="00610881" w:rsidP="00FF064D">
      <w:pPr>
        <w:pStyle w:val="Liste"/>
        <w:spacing w:after="60"/>
        <w:contextualSpacing w:val="0"/>
        <w:jc w:val="both"/>
      </w:pPr>
      <w:r>
        <w:lastRenderedPageBreak/>
        <w:t>Proposer ces routines à toute la classe, sans dispositif étiquetant</w:t>
      </w:r>
      <w:r w:rsidR="00C7753B">
        <w:t> </w:t>
      </w:r>
      <w:r>
        <w:t>: elles profitent à l’ensemble des élèves, y compris à ceux et celles à besoins éducatifs particuliers, et évitent la stigmatisation des appuis individuels.</w:t>
      </w:r>
    </w:p>
    <w:p w14:paraId="1A91A1E8" w14:textId="77777777" w:rsidR="003C7998" w:rsidRDefault="003C7998" w:rsidP="003C7998">
      <w:pPr>
        <w:pStyle w:val="Titre1"/>
      </w:pPr>
      <w:r>
        <w:t>Perspectives</w:t>
      </w:r>
    </w:p>
    <w:p w14:paraId="29105ABA" w14:textId="055CF6C3" w:rsidR="003C7998" w:rsidRDefault="003C7998" w:rsidP="00126AA1">
      <w:pPr>
        <w:pStyle w:val="Corpsdetexte"/>
        <w:ind w:firstLine="0"/>
      </w:pPr>
      <w:r>
        <w:t>Le Piloting2026 a rempli sa fonction diagnostique</w:t>
      </w:r>
      <w:r w:rsidR="00C7753B">
        <w:t> </w:t>
      </w:r>
      <w:r>
        <w:t xml:space="preserve">: identifier les discontinuités structurelles des instruments et produire une preuve préliminaire – directionnellement stable, bien que sous-puissante – de </w:t>
      </w:r>
      <w:proofErr w:type="spellStart"/>
      <w:r>
        <w:t>différenciabilité</w:t>
      </w:r>
      <w:proofErr w:type="spellEnd"/>
      <w:r>
        <w:t xml:space="preserve"> MCT-CT dans les phases de transition, et un signal de transfert académique dans la direction attendue.</w:t>
      </w:r>
    </w:p>
    <w:p w14:paraId="289D6AD7" w14:textId="4A2706A1" w:rsidR="003C7998" w:rsidRDefault="003C7998" w:rsidP="003C7998">
      <w:pPr>
        <w:pStyle w:val="Corpsdetexte"/>
      </w:pPr>
      <w:r>
        <w:t>La Phase I du RCT débutera lors de l’année scolaire</w:t>
      </w:r>
      <w:r w:rsidR="00C7753B">
        <w:t> </w:t>
      </w:r>
      <w:r>
        <w:t>2026–2027 avec environ 120</w:t>
      </w:r>
      <w:r w:rsidR="00C7753B">
        <w:t> </w:t>
      </w:r>
      <w:r>
        <w:t>élèves dans six classes de la région de Locarno. La Phase</w:t>
      </w:r>
      <w:r w:rsidR="00C7753B">
        <w:t> </w:t>
      </w:r>
      <w:r>
        <w:t>II (2027–2032) atteindra N ≈ 500 pour les analyses multiniveaux complètes, testant explicitement si les bénéfices sont distribués équitablement selon le statut BES, l’origine migratoire et le niveau socioéconomique. Le protocole RCT a été accepté par la Commission d’éthique CER-SUPSI et sera préenregistré sur l’Open Science Framework (OSF) avant le lancement de la Phase I.</w:t>
      </w:r>
    </w:p>
    <w:bookmarkEnd w:id="0"/>
    <w:p w14:paraId="6063EE33" w14:textId="50754265" w:rsidR="00942189" w:rsidRPr="00144D95" w:rsidRDefault="00F20CCF" w:rsidP="00BC62E3">
      <w:pPr>
        <w:pStyle w:val="WichtigBox"/>
        <w:rPr>
          <w:b/>
          <w:bCs/>
        </w:rPr>
      </w:pPr>
      <w:r w:rsidRPr="00144D95">
        <w:rPr>
          <w:b/>
          <w:bCs/>
        </w:rPr>
        <w:t>Remerciements</w:t>
      </w:r>
      <w:r w:rsidR="00144D95">
        <w:rPr>
          <w:b/>
          <w:bCs/>
        </w:rPr>
        <w:t> </w:t>
      </w:r>
      <w:r w:rsidR="00144D95">
        <w:t xml:space="preserve">: </w:t>
      </w:r>
      <w:r w:rsidR="00BC62E3" w:rsidRPr="00BC62E3">
        <w:t>Je tiens à exprimer ma gratitude à Angela</w:t>
      </w:r>
      <w:r w:rsidR="00BB6C0F">
        <w:t> </w:t>
      </w:r>
      <w:r w:rsidR="00BC62E3" w:rsidRPr="00BC62E3">
        <w:t>Pasqualotto, Arianna Manzin, Larissa</w:t>
      </w:r>
      <w:r w:rsidR="00BB6C0F">
        <w:t> </w:t>
      </w:r>
      <w:r w:rsidR="00BC62E3" w:rsidRPr="00BC62E3">
        <w:t>Laino, Katia</w:t>
      </w:r>
      <w:r w:rsidR="00BB6C0F">
        <w:t> </w:t>
      </w:r>
      <w:r w:rsidR="00BC62E3" w:rsidRPr="00BC62E3">
        <w:t>Casetta, Tesa Menendez, Luca Racina et Massimo Ostini sans qui la collecte des données n</w:t>
      </w:r>
      <w:r w:rsidR="003C091A">
        <w:t>’</w:t>
      </w:r>
      <w:r w:rsidR="00BC62E3" w:rsidRPr="00BC62E3">
        <w:t>aurait pas été possible</w:t>
      </w:r>
      <w:r w:rsidR="00863718">
        <w:t>.</w:t>
      </w:r>
    </w:p>
    <w:p w14:paraId="517CF52B" w14:textId="1E9B2E9C" w:rsidR="006E260B" w:rsidRPr="00153133" w:rsidRDefault="00942189" w:rsidP="00855097">
      <w:pPr>
        <w:pStyle w:val="Titre1"/>
      </w:pPr>
      <w:r>
        <w:t>Auteur</w:t>
      </w:r>
    </w:p>
    <w:tbl>
      <w:tblPr>
        <w:tblStyle w:val="Grilledutableau"/>
        <w:tblW w:w="29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tblGrid>
      <w:tr w:rsidR="00D90A82" w:rsidRPr="00153133" w14:paraId="24EBF2CF" w14:textId="77777777" w:rsidTr="00302FBA">
        <w:tc>
          <w:tcPr>
            <w:tcW w:w="5000" w:type="pct"/>
            <w:vAlign w:val="center"/>
          </w:tcPr>
          <w:p w14:paraId="41D649D6" w14:textId="77777777" w:rsidR="00D90A82" w:rsidRPr="00153133" w:rsidRDefault="00D90A82" w:rsidP="00F20CCF">
            <w:pPr>
              <w:pStyle w:val="Corpsdetexte3"/>
            </w:pPr>
            <w:r w:rsidRPr="00153133">
              <w:rPr>
                <w:noProof/>
              </w:rPr>
              <w:drawing>
                <wp:inline distT="0" distB="0" distL="0" distR="0" wp14:anchorId="5FEEC2C7" wp14:editId="70D05D79">
                  <wp:extent cx="807648" cy="1036320"/>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07648" cy="1036320"/>
                          </a:xfrm>
                          <a:prstGeom prst="rect">
                            <a:avLst/>
                          </a:prstGeom>
                        </pic:spPr>
                      </pic:pic>
                    </a:graphicData>
                  </a:graphic>
                </wp:inline>
              </w:drawing>
            </w:r>
          </w:p>
        </w:tc>
      </w:tr>
      <w:tr w:rsidR="00D90A82" w:rsidRPr="00153133" w14:paraId="508E5501" w14:textId="77777777" w:rsidTr="00302FBA">
        <w:trPr>
          <w:trHeight w:val="960"/>
        </w:trPr>
        <w:tc>
          <w:tcPr>
            <w:tcW w:w="5000" w:type="pct"/>
          </w:tcPr>
          <w:p w14:paraId="0ACEC31F" w14:textId="1BB622F0" w:rsidR="00D90A82" w:rsidRPr="00153133" w:rsidRDefault="00D90A82" w:rsidP="00533DA1">
            <w:pPr>
              <w:pStyle w:val="Corpsdetexte3"/>
            </w:pPr>
            <w:r>
              <w:t xml:space="preserve">Omar F. </w:t>
            </w:r>
            <w:proofErr w:type="spellStart"/>
            <w:r>
              <w:t>Pagnamenta</w:t>
            </w:r>
            <w:proofErr w:type="spellEnd"/>
            <w:r>
              <w:br/>
              <w:t>Coresponsable du RCT &amp; Responsable d’équipes multidisciplinaires</w:t>
            </w:r>
          </w:p>
          <w:p w14:paraId="39204086" w14:textId="77768785" w:rsidR="00D90A82" w:rsidRPr="00153133" w:rsidRDefault="00D90A82" w:rsidP="00533DA1">
            <w:pPr>
              <w:pStyle w:val="Corpsdetexte3"/>
            </w:pPr>
            <w:r>
              <w:t>Service de soutien pédagogique au secondaire</w:t>
            </w:r>
            <w:r w:rsidR="00C7753B">
              <w:t> </w:t>
            </w:r>
            <w:r>
              <w:t>1</w:t>
            </w:r>
            <w:r w:rsidR="00302FBA">
              <w:br/>
            </w:r>
            <w:r>
              <w:t>SSPSM-DECS, Locarno</w:t>
            </w:r>
          </w:p>
          <w:p w14:paraId="25581A5D" w14:textId="4BBB6426" w:rsidR="00D90A82" w:rsidRPr="00153133" w:rsidRDefault="007C4955" w:rsidP="00533DA1">
            <w:pPr>
              <w:pStyle w:val="Corpsdetexte3"/>
            </w:pPr>
            <w:hyperlink r:id="rId16" w:history="1">
              <w:r w:rsidRPr="00C80297">
                <w:rPr>
                  <w:rStyle w:val="Lienhypertexte"/>
                </w:rPr>
                <w:t>omar.pagnamenta@ti.ch</w:t>
              </w:r>
            </w:hyperlink>
            <w:r>
              <w:t xml:space="preserve"> </w:t>
            </w:r>
          </w:p>
        </w:tc>
      </w:tr>
    </w:tbl>
    <w:p w14:paraId="763AFD1E" w14:textId="77777777" w:rsidR="00C14A83" w:rsidRDefault="00870508" w:rsidP="00855097">
      <w:pPr>
        <w:pStyle w:val="Titre1"/>
      </w:pPr>
      <w:r w:rsidRPr="00153133">
        <w:t>Références</w:t>
      </w:r>
    </w:p>
    <w:p w14:paraId="62220B78" w14:textId="135DB2A9" w:rsidR="00C14A83" w:rsidRPr="009727CA" w:rsidRDefault="00C14A83" w:rsidP="00C14A83">
      <w:pPr>
        <w:pStyle w:val="Bibliographie"/>
        <w:rPr>
          <w:lang w:val="en-GB"/>
        </w:rPr>
      </w:pPr>
      <w:r w:rsidRPr="00981E43">
        <w:t>Blair, C., &amp; Raver, C.</w:t>
      </w:r>
      <w:r w:rsidR="00923962">
        <w:t> </w:t>
      </w:r>
      <w:r w:rsidRPr="00981E43">
        <w:t xml:space="preserve">C. (2015). </w:t>
      </w:r>
      <w:r w:rsidRPr="009727CA">
        <w:rPr>
          <w:lang w:val="en-GB"/>
        </w:rPr>
        <w:t xml:space="preserve">School readiness and self-regulation: A developmental psychobiological approach. </w:t>
      </w:r>
      <w:r w:rsidRPr="009727CA">
        <w:rPr>
          <w:i/>
          <w:lang w:val="en-GB"/>
        </w:rPr>
        <w:t>Annual Review of Psychology, 66</w:t>
      </w:r>
      <w:r w:rsidRPr="009727CA">
        <w:rPr>
          <w:lang w:val="en-GB"/>
        </w:rPr>
        <w:t>, 711</w:t>
      </w:r>
      <w:r w:rsidR="008C097F">
        <w:rPr>
          <w:lang w:val="en-GB"/>
        </w:rPr>
        <w:t>-</w:t>
      </w:r>
      <w:r w:rsidRPr="009727CA">
        <w:rPr>
          <w:lang w:val="en-GB"/>
        </w:rPr>
        <w:t xml:space="preserve">731. </w:t>
      </w:r>
      <w:hyperlink r:id="rId17" w:history="1">
        <w:r w:rsidR="00297EDF" w:rsidRPr="009727CA">
          <w:rPr>
            <w:rStyle w:val="Lienhypertexte"/>
            <w:lang w:val="en-GB"/>
          </w:rPr>
          <w:t>https://doi.org/10.1146/annurev-psych-010814-015221</w:t>
        </w:r>
      </w:hyperlink>
      <w:r w:rsidR="00297EDF" w:rsidRPr="009727CA">
        <w:rPr>
          <w:lang w:val="en-GB"/>
        </w:rPr>
        <w:t xml:space="preserve"> </w:t>
      </w:r>
    </w:p>
    <w:p w14:paraId="0C44C534" w14:textId="21636B9D" w:rsidR="00C14A83" w:rsidRPr="009727CA" w:rsidRDefault="00C14A83" w:rsidP="00C14A83">
      <w:pPr>
        <w:pStyle w:val="Bibliographie"/>
        <w:rPr>
          <w:lang w:val="en-GB"/>
        </w:rPr>
      </w:pPr>
      <w:r w:rsidRPr="009727CA">
        <w:rPr>
          <w:lang w:val="en-GB"/>
        </w:rPr>
        <w:t xml:space="preserve">Carretti, B., Caldarola, N., </w:t>
      </w:r>
      <w:proofErr w:type="spellStart"/>
      <w:r w:rsidRPr="009727CA">
        <w:rPr>
          <w:lang w:val="en-GB"/>
        </w:rPr>
        <w:t>Tencati</w:t>
      </w:r>
      <w:proofErr w:type="spellEnd"/>
      <w:r w:rsidRPr="009727CA">
        <w:rPr>
          <w:lang w:val="en-GB"/>
        </w:rPr>
        <w:t xml:space="preserve">, C., &amp; </w:t>
      </w:r>
      <w:proofErr w:type="spellStart"/>
      <w:r w:rsidRPr="009727CA">
        <w:rPr>
          <w:lang w:val="en-GB"/>
        </w:rPr>
        <w:t>Cornoldi</w:t>
      </w:r>
      <w:proofErr w:type="spellEnd"/>
      <w:r w:rsidRPr="009727CA">
        <w:rPr>
          <w:lang w:val="en-GB"/>
        </w:rPr>
        <w:t xml:space="preserve">, C. (2014). Improving reading comprehension in reading and listening settings: The effect of two training programmes focusing on metacognition and working memory. </w:t>
      </w:r>
      <w:r w:rsidRPr="009727CA">
        <w:rPr>
          <w:i/>
          <w:lang w:val="en-GB"/>
        </w:rPr>
        <w:t>British Journal of Educational Psychology, 84</w:t>
      </w:r>
      <w:r w:rsidRPr="009727CA">
        <w:rPr>
          <w:lang w:val="en-GB"/>
        </w:rPr>
        <w:t xml:space="preserve">(2), 194-210. </w:t>
      </w:r>
      <w:hyperlink r:id="rId18" w:history="1">
        <w:r w:rsidR="007D3A67" w:rsidRPr="009727CA">
          <w:rPr>
            <w:rStyle w:val="Lienhypertexte"/>
            <w:lang w:val="en-GB"/>
          </w:rPr>
          <w:t>https://doi.org/10.1111/bjep.12022</w:t>
        </w:r>
      </w:hyperlink>
      <w:r w:rsidR="007D3A67" w:rsidRPr="009727CA">
        <w:rPr>
          <w:lang w:val="en-GB"/>
        </w:rPr>
        <w:t xml:space="preserve"> </w:t>
      </w:r>
    </w:p>
    <w:p w14:paraId="3BB76F92" w14:textId="6CD9E836" w:rsidR="00C14A83" w:rsidRPr="009727CA" w:rsidRDefault="00C14A83" w:rsidP="00C14A83">
      <w:pPr>
        <w:pStyle w:val="Bibliographie"/>
        <w:rPr>
          <w:lang w:val="en-GB"/>
        </w:rPr>
      </w:pPr>
      <w:proofErr w:type="spellStart"/>
      <w:r w:rsidRPr="009727CA">
        <w:rPr>
          <w:lang w:val="en-GB"/>
        </w:rPr>
        <w:t>Pasqualotto</w:t>
      </w:r>
      <w:proofErr w:type="spellEnd"/>
      <w:r w:rsidRPr="009727CA">
        <w:rPr>
          <w:lang w:val="en-GB"/>
        </w:rPr>
        <w:t xml:space="preserve">, A., </w:t>
      </w:r>
      <w:proofErr w:type="spellStart"/>
      <w:r w:rsidRPr="009727CA">
        <w:rPr>
          <w:lang w:val="en-GB"/>
        </w:rPr>
        <w:t>Fanourakis</w:t>
      </w:r>
      <w:proofErr w:type="spellEnd"/>
      <w:r w:rsidRPr="009727CA">
        <w:rPr>
          <w:lang w:val="en-GB"/>
        </w:rPr>
        <w:t xml:space="preserve">, M., </w:t>
      </w:r>
      <w:proofErr w:type="spellStart"/>
      <w:r w:rsidRPr="009727CA">
        <w:rPr>
          <w:lang w:val="en-GB"/>
        </w:rPr>
        <w:t>Menestrina</w:t>
      </w:r>
      <w:proofErr w:type="spellEnd"/>
      <w:r w:rsidRPr="009727CA">
        <w:rPr>
          <w:lang w:val="en-GB"/>
        </w:rPr>
        <w:t xml:space="preserve">, Z., Hummel, F. C., </w:t>
      </w:r>
      <w:proofErr w:type="spellStart"/>
      <w:r w:rsidRPr="009727CA">
        <w:rPr>
          <w:lang w:val="en-GB"/>
        </w:rPr>
        <w:t>Rancans</w:t>
      </w:r>
      <w:proofErr w:type="spellEnd"/>
      <w:r w:rsidRPr="009727CA">
        <w:rPr>
          <w:lang w:val="en-GB"/>
        </w:rPr>
        <w:t>, E., Padberg, F., Bonne, O., Lotan, A., Bukowski, E., Lipskaya-</w:t>
      </w:r>
      <w:proofErr w:type="spellStart"/>
      <w:r w:rsidRPr="009727CA">
        <w:rPr>
          <w:lang w:val="en-GB"/>
        </w:rPr>
        <w:t>Velikovsky</w:t>
      </w:r>
      <w:proofErr w:type="spellEnd"/>
      <w:r w:rsidRPr="009727CA">
        <w:rPr>
          <w:lang w:val="en-GB"/>
        </w:rPr>
        <w:t xml:space="preserve">, L., Nahum, M., &amp; Bavelier, D. (2026). A novel multidimensional dynamic difficulty adjustment algorithm: Use case in a cognitive training video game. </w:t>
      </w:r>
      <w:r w:rsidRPr="009727CA">
        <w:rPr>
          <w:i/>
          <w:lang w:val="en-GB"/>
        </w:rPr>
        <w:t>Psychological Methods</w:t>
      </w:r>
      <w:r w:rsidRPr="009727CA">
        <w:rPr>
          <w:lang w:val="en-GB"/>
        </w:rPr>
        <w:t xml:space="preserve">. Advance online publication. </w:t>
      </w:r>
      <w:hyperlink r:id="rId19" w:history="1">
        <w:r w:rsidR="007D3A67" w:rsidRPr="009727CA">
          <w:rPr>
            <w:rStyle w:val="Lienhypertexte"/>
            <w:lang w:val="en-GB"/>
          </w:rPr>
          <w:t>https://doi.org/10.1037/met0000805</w:t>
        </w:r>
      </w:hyperlink>
      <w:r w:rsidR="007D3A67" w:rsidRPr="009727CA">
        <w:rPr>
          <w:lang w:val="en-GB"/>
        </w:rPr>
        <w:t xml:space="preserve"> </w:t>
      </w:r>
    </w:p>
    <w:p w14:paraId="41C3ECA7" w14:textId="02373047" w:rsidR="00C14A83" w:rsidRPr="009727CA" w:rsidRDefault="00C14A83" w:rsidP="00C14A83">
      <w:pPr>
        <w:pStyle w:val="Bibliographie"/>
        <w:rPr>
          <w:lang w:val="en-GB"/>
        </w:rPr>
      </w:pPr>
      <w:r w:rsidRPr="009727CA">
        <w:rPr>
          <w:lang w:val="en-GB"/>
        </w:rPr>
        <w:t xml:space="preserve">Sala, G., &amp; </w:t>
      </w:r>
      <w:proofErr w:type="spellStart"/>
      <w:r w:rsidRPr="009727CA">
        <w:rPr>
          <w:lang w:val="en-GB"/>
        </w:rPr>
        <w:t>Gobet</w:t>
      </w:r>
      <w:proofErr w:type="spellEnd"/>
      <w:r w:rsidRPr="009727CA">
        <w:rPr>
          <w:lang w:val="en-GB"/>
        </w:rPr>
        <w:t xml:space="preserve">, F. (2019). Cognitive training does not enhance general cognition. </w:t>
      </w:r>
      <w:r w:rsidRPr="009727CA">
        <w:rPr>
          <w:i/>
          <w:lang w:val="en-GB"/>
        </w:rPr>
        <w:t>Trends in Cognitive Sciences, 23</w:t>
      </w:r>
      <w:r w:rsidRPr="009727CA">
        <w:rPr>
          <w:lang w:val="en-GB"/>
        </w:rPr>
        <w:t xml:space="preserve">(1), 9–20. </w:t>
      </w:r>
      <w:hyperlink r:id="rId20" w:history="1">
        <w:r w:rsidR="007D3A67" w:rsidRPr="009727CA">
          <w:rPr>
            <w:rStyle w:val="Lienhypertexte"/>
            <w:lang w:val="en-GB"/>
          </w:rPr>
          <w:t>https://doi.org/10.1016/j.tics.2018.10.004</w:t>
        </w:r>
      </w:hyperlink>
      <w:r w:rsidR="007D3A67" w:rsidRPr="009727CA">
        <w:rPr>
          <w:lang w:val="en-GB"/>
        </w:rPr>
        <w:t xml:space="preserve"> </w:t>
      </w:r>
    </w:p>
    <w:p w14:paraId="5B371F7C" w14:textId="4BC1BEE0" w:rsidR="00C14A83" w:rsidRPr="009727CA" w:rsidRDefault="00C14A83" w:rsidP="00C14A83">
      <w:pPr>
        <w:pStyle w:val="Bibliographie"/>
        <w:rPr>
          <w:lang w:val="en-GB"/>
        </w:rPr>
      </w:pPr>
      <w:r w:rsidRPr="009727CA">
        <w:rPr>
          <w:lang w:val="en-GB"/>
        </w:rPr>
        <w:t xml:space="preserve">Schunk, D., &amp; Zimmerman, B. (2007). Influencing children's self-efficacy and self-regulation of reading and writing through </w:t>
      </w:r>
      <w:proofErr w:type="spellStart"/>
      <w:r w:rsidRPr="009727CA">
        <w:rPr>
          <w:lang w:val="en-GB"/>
        </w:rPr>
        <w:t>modeling</w:t>
      </w:r>
      <w:proofErr w:type="spellEnd"/>
      <w:r w:rsidRPr="009727CA">
        <w:rPr>
          <w:lang w:val="en-GB"/>
        </w:rPr>
        <w:t xml:space="preserve">. </w:t>
      </w:r>
      <w:r w:rsidRPr="009727CA">
        <w:rPr>
          <w:i/>
          <w:lang w:val="en-GB"/>
        </w:rPr>
        <w:t>Reading &amp; Writing Quarterly, 23</w:t>
      </w:r>
      <w:r w:rsidR="00AE65B8" w:rsidRPr="00AE65B8">
        <w:rPr>
          <w:iCs/>
          <w:lang w:val="en-GB"/>
        </w:rPr>
        <w:t>(1)</w:t>
      </w:r>
      <w:r w:rsidRPr="00AE65B8">
        <w:rPr>
          <w:iCs/>
          <w:lang w:val="en-GB"/>
        </w:rPr>
        <w:t>,</w:t>
      </w:r>
      <w:r w:rsidRPr="009727CA">
        <w:rPr>
          <w:lang w:val="en-GB"/>
        </w:rPr>
        <w:t xml:space="preserve"> 7</w:t>
      </w:r>
      <w:r w:rsidR="002C62CC">
        <w:rPr>
          <w:lang w:val="en-GB"/>
        </w:rPr>
        <w:t>-</w:t>
      </w:r>
      <w:r w:rsidRPr="009727CA">
        <w:rPr>
          <w:lang w:val="en-GB"/>
        </w:rPr>
        <w:t xml:space="preserve">25. </w:t>
      </w:r>
      <w:hyperlink r:id="rId21" w:history="1">
        <w:r w:rsidR="007D3A67" w:rsidRPr="009727CA">
          <w:rPr>
            <w:rStyle w:val="Lienhypertexte"/>
            <w:lang w:val="en-GB"/>
          </w:rPr>
          <w:t>https://doi.org/10.1080/10573560600837578</w:t>
        </w:r>
      </w:hyperlink>
      <w:r w:rsidR="007D3A67" w:rsidRPr="009727CA">
        <w:rPr>
          <w:lang w:val="en-GB"/>
        </w:rPr>
        <w:t xml:space="preserve"> </w:t>
      </w:r>
    </w:p>
    <w:p w14:paraId="416BBF9C" w14:textId="4FCB02A6" w:rsidR="00C14A83" w:rsidRPr="009727CA" w:rsidRDefault="00C14A83" w:rsidP="00C14A83">
      <w:pPr>
        <w:pStyle w:val="Bibliographie"/>
        <w:rPr>
          <w:lang w:val="en-GB"/>
        </w:rPr>
      </w:pPr>
      <w:r w:rsidRPr="009727CA">
        <w:rPr>
          <w:lang w:val="en-GB"/>
        </w:rPr>
        <w:lastRenderedPageBreak/>
        <w:t xml:space="preserve">Takacs, Z. K., &amp; Kassai, R. (2019). The efficacy of different interventions to foster children's executive function skills: A series of meta-analyses. </w:t>
      </w:r>
      <w:r w:rsidRPr="009727CA">
        <w:rPr>
          <w:i/>
          <w:lang w:val="en-GB"/>
        </w:rPr>
        <w:t>Psychological Bulletin, 145</w:t>
      </w:r>
      <w:r w:rsidRPr="009727CA">
        <w:rPr>
          <w:lang w:val="en-GB"/>
        </w:rPr>
        <w:t>(7), 653</w:t>
      </w:r>
      <w:r w:rsidR="009611C2">
        <w:rPr>
          <w:lang w:val="en-GB"/>
        </w:rPr>
        <w:t>-</w:t>
      </w:r>
      <w:r w:rsidRPr="009727CA">
        <w:rPr>
          <w:lang w:val="en-GB"/>
        </w:rPr>
        <w:t xml:space="preserve">697. </w:t>
      </w:r>
      <w:hyperlink r:id="rId22" w:history="1">
        <w:r w:rsidR="007D3A67" w:rsidRPr="009727CA">
          <w:rPr>
            <w:rStyle w:val="Lienhypertexte"/>
            <w:lang w:val="en-GB"/>
          </w:rPr>
          <w:t>https://doi.org/10.1037/bul0000195</w:t>
        </w:r>
      </w:hyperlink>
      <w:r w:rsidR="007D3A67" w:rsidRPr="009727CA">
        <w:rPr>
          <w:lang w:val="en-GB"/>
        </w:rPr>
        <w:t xml:space="preserve"> </w:t>
      </w:r>
    </w:p>
    <w:p w14:paraId="216B142C" w14:textId="4AB7F9E0" w:rsidR="00870508" w:rsidRPr="00981E43" w:rsidRDefault="00C14A83" w:rsidP="00C14A83">
      <w:pPr>
        <w:pStyle w:val="Bibliographie"/>
      </w:pPr>
      <w:r w:rsidRPr="009727CA">
        <w:rPr>
          <w:lang w:val="en-GB"/>
        </w:rPr>
        <w:t>Zimmerman, B.</w:t>
      </w:r>
      <w:r w:rsidR="00923962">
        <w:rPr>
          <w:lang w:val="en-GB"/>
        </w:rPr>
        <w:t> </w:t>
      </w:r>
      <w:r w:rsidRPr="009727CA">
        <w:rPr>
          <w:lang w:val="en-GB"/>
        </w:rPr>
        <w:t xml:space="preserve">J. (2002). Becoming a self-regulated learner: An overview. </w:t>
      </w:r>
      <w:r w:rsidRPr="00CF49C0">
        <w:rPr>
          <w:i/>
        </w:rPr>
        <w:t xml:space="preserve">Theory </w:t>
      </w:r>
      <w:proofErr w:type="spellStart"/>
      <w:r w:rsidRPr="00CF49C0">
        <w:rPr>
          <w:i/>
        </w:rPr>
        <w:t>Into</w:t>
      </w:r>
      <w:proofErr w:type="spellEnd"/>
      <w:r w:rsidRPr="00CF49C0">
        <w:rPr>
          <w:i/>
        </w:rPr>
        <w:t xml:space="preserve"> Practice, 41</w:t>
      </w:r>
      <w:r w:rsidRPr="00981E43">
        <w:t>(2), 64</w:t>
      </w:r>
      <w:r w:rsidR="009611C2">
        <w:t>-</w:t>
      </w:r>
      <w:r w:rsidRPr="00981E43">
        <w:t xml:space="preserve">70. </w:t>
      </w:r>
      <w:hyperlink r:id="rId23" w:history="1">
        <w:r w:rsidR="007D3A67" w:rsidRPr="00C80297">
          <w:rPr>
            <w:rStyle w:val="Lienhypertexte"/>
          </w:rPr>
          <w:t>https://doi.org/10.1207/s15430421tip4102_2</w:t>
        </w:r>
      </w:hyperlink>
      <w:r w:rsidR="007D3A67">
        <w:t xml:space="preserve"> </w:t>
      </w:r>
    </w:p>
    <w:sectPr w:rsidR="00870508" w:rsidRPr="00981E43" w:rsidSect="005A78B0">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8D05" w14:textId="77777777" w:rsidR="006E5943" w:rsidRDefault="006E5943">
      <w:pPr>
        <w:spacing w:line="240" w:lineRule="auto"/>
      </w:pPr>
      <w:r>
        <w:separator/>
      </w:r>
    </w:p>
  </w:endnote>
  <w:endnote w:type="continuationSeparator" w:id="0">
    <w:p w14:paraId="449C17F7" w14:textId="77777777" w:rsidR="006E5943" w:rsidRDefault="006E59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2F071487-3BCC-4AB4-9163-EB9ABF5BA84A}"/>
    <w:embedBold r:id="rId2" w:fontKey="{83AC377C-BD6C-4802-A891-C531E55C80D1}"/>
    <w:embedItalic r:id="rId3" w:fontKey="{713E9DFD-7AE7-47B2-9B39-23EFF11BA74C}"/>
    <w:embedBoldItalic r:id="rId4" w:fontKey="{F61480CE-F51C-4778-9429-94ABA9885E10}"/>
  </w:font>
  <w:font w:name="Courier New">
    <w:panose1 w:val="02070309020205020404"/>
    <w:charset w:val="00"/>
    <w:family w:val="modern"/>
    <w:pitch w:val="fixed"/>
    <w:sig w:usb0="E0002EFF" w:usb1="C0007843"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6B72" w14:textId="77777777" w:rsidR="005A78B0" w:rsidRDefault="005A78B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7AB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5577B4BD" wp14:editId="6C5DA26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74D6" w14:textId="77777777" w:rsidR="005A78B0" w:rsidRDefault="005A78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81E92" w14:textId="77777777" w:rsidR="006E5943" w:rsidRPr="00777A2F" w:rsidRDefault="006E594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89A4D29" w14:textId="77777777" w:rsidR="006E5943" w:rsidRDefault="006E5943">
      <w:r>
        <w:continuationSeparator/>
      </w:r>
    </w:p>
  </w:footnote>
  <w:footnote w:type="continuationNotice" w:id="1">
    <w:p w14:paraId="325B121E" w14:textId="77777777" w:rsidR="006E5943" w:rsidRDefault="006E59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0F8C" w14:textId="77777777" w:rsidR="005A78B0" w:rsidRDefault="005A78B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19D6" w14:textId="37B456F1"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1D874B6F" wp14:editId="6A6590FA">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1953E6E">
            <v:line id="Connecteur droit 3"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D8B64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8C483F">
      <w:rPr>
        <w:lang w:val="fr-CH"/>
      </w:rPr>
      <w:t>Adaptation du PER</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pécialisée, Vol.</w:t>
    </w:r>
    <w:r w:rsidR="00C7753B">
      <w:rPr>
        <w:b w:val="0"/>
        <w:bCs/>
        <w:lang w:val="fr-CH"/>
      </w:rPr>
      <w:t>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8C483F">
      <w:rPr>
        <w:b w:val="0"/>
        <w:bCs/>
        <w:lang w:val="fr-CH"/>
      </w:rPr>
      <w:t>3</w:t>
    </w:r>
    <w:r w:rsidR="007B448B" w:rsidRPr="00ED473A">
      <w:rPr>
        <w:b w:val="0"/>
        <w:bCs/>
        <w:lang w:val="fr-CH"/>
      </w:rPr>
      <w:t>/</w:t>
    </w:r>
    <w:r w:rsidR="00037AE3">
      <w:rPr>
        <w:b w:val="0"/>
        <w:bCs/>
        <w:lang w:val="fr-CH"/>
      </w:rPr>
      <w:t>202</w:t>
    </w:r>
    <w:r w:rsidR="009E4ACD">
      <w:rPr>
        <w:b w:val="0"/>
        <w:bCs/>
        <w:lang w:val="fr-CH"/>
      </w:rPr>
      <w:t>6</w:t>
    </w:r>
  </w:p>
  <w:p w14:paraId="3A03078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BC7E" w14:textId="77777777" w:rsidR="005A78B0" w:rsidRDefault="005A78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5CD5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9E923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37C4AE8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0B26CC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F80C653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402239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200DE6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29199691">
    <w:abstractNumId w:val="6"/>
  </w:num>
  <w:num w:numId="5" w16cid:durableId="1037391414">
    <w:abstractNumId w:val="5"/>
  </w:num>
  <w:num w:numId="6" w16cid:durableId="2039308907">
    <w:abstractNumId w:val="4"/>
  </w:num>
  <w:num w:numId="7" w16cid:durableId="2110736707">
    <w:abstractNumId w:val="3"/>
  </w:num>
  <w:num w:numId="8" w16cid:durableId="456486285">
    <w:abstractNumId w:val="2"/>
  </w:num>
  <w:num w:numId="9" w16cid:durableId="581184569">
    <w:abstractNumId w:val="1"/>
  </w:num>
  <w:num w:numId="10" w16cid:durableId="179509856">
    <w:abstractNumId w:val="0"/>
  </w:num>
  <w:num w:numId="11" w16cid:durableId="138689639">
    <w:abstractNumId w:val="1"/>
  </w:num>
  <w:num w:numId="12" w16cid:durableId="1720519284">
    <w:abstractNumId w:val="0"/>
  </w:num>
  <w:num w:numId="13" w16cid:durableId="1644236698">
    <w:abstractNumId w:val="1"/>
  </w:num>
  <w:num w:numId="14" w16cid:durableId="17380877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F"/>
    <w:rsid w:val="00005C2A"/>
    <w:rsid w:val="00016BFF"/>
    <w:rsid w:val="00024143"/>
    <w:rsid w:val="00024B22"/>
    <w:rsid w:val="00030216"/>
    <w:rsid w:val="000302CB"/>
    <w:rsid w:val="000318E0"/>
    <w:rsid w:val="0003314D"/>
    <w:rsid w:val="000352CE"/>
    <w:rsid w:val="00035D3C"/>
    <w:rsid w:val="00037AE3"/>
    <w:rsid w:val="00040C35"/>
    <w:rsid w:val="00046BAC"/>
    <w:rsid w:val="00053353"/>
    <w:rsid w:val="000759D7"/>
    <w:rsid w:val="000873F3"/>
    <w:rsid w:val="0008775F"/>
    <w:rsid w:val="00096F04"/>
    <w:rsid w:val="000A4A46"/>
    <w:rsid w:val="000B5BB8"/>
    <w:rsid w:val="000C5149"/>
    <w:rsid w:val="000C76F0"/>
    <w:rsid w:val="000E6A66"/>
    <w:rsid w:val="000F0956"/>
    <w:rsid w:val="000F4B54"/>
    <w:rsid w:val="000F5288"/>
    <w:rsid w:val="00100EFC"/>
    <w:rsid w:val="0010334E"/>
    <w:rsid w:val="0010376C"/>
    <w:rsid w:val="001114E2"/>
    <w:rsid w:val="001150A5"/>
    <w:rsid w:val="00115EF5"/>
    <w:rsid w:val="001161D6"/>
    <w:rsid w:val="00120CBF"/>
    <w:rsid w:val="00126AA1"/>
    <w:rsid w:val="00131C00"/>
    <w:rsid w:val="001333BA"/>
    <w:rsid w:val="00144D95"/>
    <w:rsid w:val="00151BCA"/>
    <w:rsid w:val="00153133"/>
    <w:rsid w:val="00157D7E"/>
    <w:rsid w:val="00167858"/>
    <w:rsid w:val="00187F6F"/>
    <w:rsid w:val="001A2EEC"/>
    <w:rsid w:val="001B05BD"/>
    <w:rsid w:val="001B16E8"/>
    <w:rsid w:val="001B25F3"/>
    <w:rsid w:val="001B7781"/>
    <w:rsid w:val="001D3BFB"/>
    <w:rsid w:val="001D7E76"/>
    <w:rsid w:val="001E3BE9"/>
    <w:rsid w:val="001E3E7C"/>
    <w:rsid w:val="001E7A26"/>
    <w:rsid w:val="001F314A"/>
    <w:rsid w:val="00202A19"/>
    <w:rsid w:val="0020467E"/>
    <w:rsid w:val="0020603A"/>
    <w:rsid w:val="0022028B"/>
    <w:rsid w:val="0022392C"/>
    <w:rsid w:val="00230B71"/>
    <w:rsid w:val="00235A6C"/>
    <w:rsid w:val="002443A6"/>
    <w:rsid w:val="002503CF"/>
    <w:rsid w:val="0025288E"/>
    <w:rsid w:val="00276B2C"/>
    <w:rsid w:val="00284EA0"/>
    <w:rsid w:val="002862AA"/>
    <w:rsid w:val="00297EDF"/>
    <w:rsid w:val="002B41EF"/>
    <w:rsid w:val="002B52C6"/>
    <w:rsid w:val="002C2376"/>
    <w:rsid w:val="002C5235"/>
    <w:rsid w:val="002C62CC"/>
    <w:rsid w:val="002E13B6"/>
    <w:rsid w:val="002E5374"/>
    <w:rsid w:val="002F7DDB"/>
    <w:rsid w:val="00302FBA"/>
    <w:rsid w:val="0030447C"/>
    <w:rsid w:val="00307EC7"/>
    <w:rsid w:val="00322024"/>
    <w:rsid w:val="003222A6"/>
    <w:rsid w:val="00332129"/>
    <w:rsid w:val="00347765"/>
    <w:rsid w:val="00347A0A"/>
    <w:rsid w:val="00363F5C"/>
    <w:rsid w:val="00364183"/>
    <w:rsid w:val="00365730"/>
    <w:rsid w:val="003819B7"/>
    <w:rsid w:val="00382314"/>
    <w:rsid w:val="00383074"/>
    <w:rsid w:val="00386CFF"/>
    <w:rsid w:val="003A0EA7"/>
    <w:rsid w:val="003A2717"/>
    <w:rsid w:val="003A4659"/>
    <w:rsid w:val="003B4C81"/>
    <w:rsid w:val="003C091A"/>
    <w:rsid w:val="003C5631"/>
    <w:rsid w:val="003C7998"/>
    <w:rsid w:val="003D0CD5"/>
    <w:rsid w:val="003D221C"/>
    <w:rsid w:val="003D502F"/>
    <w:rsid w:val="003E022D"/>
    <w:rsid w:val="003E0578"/>
    <w:rsid w:val="003E143D"/>
    <w:rsid w:val="003E38BE"/>
    <w:rsid w:val="003F5B1B"/>
    <w:rsid w:val="003F6A6B"/>
    <w:rsid w:val="003F78C2"/>
    <w:rsid w:val="00401236"/>
    <w:rsid w:val="004027D5"/>
    <w:rsid w:val="00404F18"/>
    <w:rsid w:val="004108D3"/>
    <w:rsid w:val="00411F3C"/>
    <w:rsid w:val="00414332"/>
    <w:rsid w:val="0041573A"/>
    <w:rsid w:val="00421D05"/>
    <w:rsid w:val="0042486F"/>
    <w:rsid w:val="00426606"/>
    <w:rsid w:val="00441F45"/>
    <w:rsid w:val="0045144F"/>
    <w:rsid w:val="00454057"/>
    <w:rsid w:val="00454BCF"/>
    <w:rsid w:val="0046561B"/>
    <w:rsid w:val="00467E46"/>
    <w:rsid w:val="0047168D"/>
    <w:rsid w:val="00477499"/>
    <w:rsid w:val="0048151B"/>
    <w:rsid w:val="00486270"/>
    <w:rsid w:val="004A2854"/>
    <w:rsid w:val="004B1834"/>
    <w:rsid w:val="004B29F8"/>
    <w:rsid w:val="004B3001"/>
    <w:rsid w:val="004B3A29"/>
    <w:rsid w:val="004C13EB"/>
    <w:rsid w:val="004C4A76"/>
    <w:rsid w:val="004D1A11"/>
    <w:rsid w:val="004D542D"/>
    <w:rsid w:val="004D58AC"/>
    <w:rsid w:val="004E232F"/>
    <w:rsid w:val="004E2A78"/>
    <w:rsid w:val="004E307D"/>
    <w:rsid w:val="004F04E9"/>
    <w:rsid w:val="004F5C23"/>
    <w:rsid w:val="005055D5"/>
    <w:rsid w:val="00506CE4"/>
    <w:rsid w:val="00521066"/>
    <w:rsid w:val="00521559"/>
    <w:rsid w:val="00530E98"/>
    <w:rsid w:val="00533DA1"/>
    <w:rsid w:val="005348BF"/>
    <w:rsid w:val="0054574C"/>
    <w:rsid w:val="00546490"/>
    <w:rsid w:val="0055561F"/>
    <w:rsid w:val="0056578A"/>
    <w:rsid w:val="0056595B"/>
    <w:rsid w:val="005669B1"/>
    <w:rsid w:val="005702C8"/>
    <w:rsid w:val="00571C0D"/>
    <w:rsid w:val="00572C4C"/>
    <w:rsid w:val="0057605E"/>
    <w:rsid w:val="00576E09"/>
    <w:rsid w:val="00577261"/>
    <w:rsid w:val="00581DB2"/>
    <w:rsid w:val="00585ED0"/>
    <w:rsid w:val="00594747"/>
    <w:rsid w:val="00594844"/>
    <w:rsid w:val="00596DCD"/>
    <w:rsid w:val="005A212F"/>
    <w:rsid w:val="005A646E"/>
    <w:rsid w:val="005A6F41"/>
    <w:rsid w:val="005A78B0"/>
    <w:rsid w:val="005A7AE7"/>
    <w:rsid w:val="005B79B6"/>
    <w:rsid w:val="005C325A"/>
    <w:rsid w:val="005D15B8"/>
    <w:rsid w:val="005E150A"/>
    <w:rsid w:val="005E7DD5"/>
    <w:rsid w:val="005F669C"/>
    <w:rsid w:val="00610881"/>
    <w:rsid w:val="006111D5"/>
    <w:rsid w:val="006111F5"/>
    <w:rsid w:val="006131B8"/>
    <w:rsid w:val="0061563A"/>
    <w:rsid w:val="0062297A"/>
    <w:rsid w:val="00623E11"/>
    <w:rsid w:val="00630B0C"/>
    <w:rsid w:val="006411DE"/>
    <w:rsid w:val="006448C5"/>
    <w:rsid w:val="006555BD"/>
    <w:rsid w:val="006644A2"/>
    <w:rsid w:val="006676E2"/>
    <w:rsid w:val="00682B8C"/>
    <w:rsid w:val="00685A22"/>
    <w:rsid w:val="00685EB4"/>
    <w:rsid w:val="00694B9D"/>
    <w:rsid w:val="006A2BB4"/>
    <w:rsid w:val="006A4C05"/>
    <w:rsid w:val="006A7E90"/>
    <w:rsid w:val="006B0DF5"/>
    <w:rsid w:val="006B22CB"/>
    <w:rsid w:val="006B5540"/>
    <w:rsid w:val="006C2B84"/>
    <w:rsid w:val="006C3DFC"/>
    <w:rsid w:val="006D5D28"/>
    <w:rsid w:val="006E210A"/>
    <w:rsid w:val="006E260B"/>
    <w:rsid w:val="006E5943"/>
    <w:rsid w:val="006F1FC4"/>
    <w:rsid w:val="00702BE5"/>
    <w:rsid w:val="00704EF5"/>
    <w:rsid w:val="00705340"/>
    <w:rsid w:val="00706422"/>
    <w:rsid w:val="007155B8"/>
    <w:rsid w:val="007373E7"/>
    <w:rsid w:val="007424F5"/>
    <w:rsid w:val="007434C1"/>
    <w:rsid w:val="0074442C"/>
    <w:rsid w:val="00777A2F"/>
    <w:rsid w:val="00786EA8"/>
    <w:rsid w:val="00787B6E"/>
    <w:rsid w:val="007A3489"/>
    <w:rsid w:val="007A75E1"/>
    <w:rsid w:val="007B448B"/>
    <w:rsid w:val="007B4F54"/>
    <w:rsid w:val="007B5701"/>
    <w:rsid w:val="007B62B5"/>
    <w:rsid w:val="007C4955"/>
    <w:rsid w:val="007C5AB3"/>
    <w:rsid w:val="007C7474"/>
    <w:rsid w:val="007D061D"/>
    <w:rsid w:val="007D3A67"/>
    <w:rsid w:val="007E368F"/>
    <w:rsid w:val="007E556A"/>
    <w:rsid w:val="007E78D0"/>
    <w:rsid w:val="007F43B0"/>
    <w:rsid w:val="007F44C9"/>
    <w:rsid w:val="007F5E1D"/>
    <w:rsid w:val="008019C9"/>
    <w:rsid w:val="00812E94"/>
    <w:rsid w:val="008152E5"/>
    <w:rsid w:val="00822118"/>
    <w:rsid w:val="00822286"/>
    <w:rsid w:val="00830A17"/>
    <w:rsid w:val="008351F7"/>
    <w:rsid w:val="00836665"/>
    <w:rsid w:val="00842A93"/>
    <w:rsid w:val="008442B4"/>
    <w:rsid w:val="00853805"/>
    <w:rsid w:val="00855097"/>
    <w:rsid w:val="00863718"/>
    <w:rsid w:val="00863C53"/>
    <w:rsid w:val="00866275"/>
    <w:rsid w:val="0087038E"/>
    <w:rsid w:val="00870508"/>
    <w:rsid w:val="00882B9B"/>
    <w:rsid w:val="008854C8"/>
    <w:rsid w:val="00891E7D"/>
    <w:rsid w:val="008924D4"/>
    <w:rsid w:val="008934B9"/>
    <w:rsid w:val="008A2229"/>
    <w:rsid w:val="008C097F"/>
    <w:rsid w:val="008C483F"/>
    <w:rsid w:val="008C6EDB"/>
    <w:rsid w:val="008D1807"/>
    <w:rsid w:val="008D5616"/>
    <w:rsid w:val="008D5D95"/>
    <w:rsid w:val="008E189D"/>
    <w:rsid w:val="008F2E4E"/>
    <w:rsid w:val="008F4329"/>
    <w:rsid w:val="009113C7"/>
    <w:rsid w:val="00911AD9"/>
    <w:rsid w:val="00912E02"/>
    <w:rsid w:val="00920846"/>
    <w:rsid w:val="0092097C"/>
    <w:rsid w:val="00920A21"/>
    <w:rsid w:val="00923962"/>
    <w:rsid w:val="0094194F"/>
    <w:rsid w:val="00942189"/>
    <w:rsid w:val="00943B46"/>
    <w:rsid w:val="00944DCE"/>
    <w:rsid w:val="009515D7"/>
    <w:rsid w:val="009552F9"/>
    <w:rsid w:val="009601A2"/>
    <w:rsid w:val="00960A69"/>
    <w:rsid w:val="009611C2"/>
    <w:rsid w:val="009660DC"/>
    <w:rsid w:val="00967D5F"/>
    <w:rsid w:val="0097257A"/>
    <w:rsid w:val="009727CA"/>
    <w:rsid w:val="00981E43"/>
    <w:rsid w:val="009821E7"/>
    <w:rsid w:val="009834F1"/>
    <w:rsid w:val="00985126"/>
    <w:rsid w:val="009A7FF6"/>
    <w:rsid w:val="009C3A95"/>
    <w:rsid w:val="009C641A"/>
    <w:rsid w:val="009C6886"/>
    <w:rsid w:val="009D0CF3"/>
    <w:rsid w:val="009D4CCF"/>
    <w:rsid w:val="009E4ACD"/>
    <w:rsid w:val="009E5005"/>
    <w:rsid w:val="009E6E9F"/>
    <w:rsid w:val="009F4CD6"/>
    <w:rsid w:val="009F6A07"/>
    <w:rsid w:val="00A10362"/>
    <w:rsid w:val="00A11404"/>
    <w:rsid w:val="00A22D5E"/>
    <w:rsid w:val="00A369F3"/>
    <w:rsid w:val="00A37E53"/>
    <w:rsid w:val="00A502C1"/>
    <w:rsid w:val="00A50A1E"/>
    <w:rsid w:val="00A53090"/>
    <w:rsid w:val="00A53DBA"/>
    <w:rsid w:val="00A543D6"/>
    <w:rsid w:val="00A55E72"/>
    <w:rsid w:val="00A61081"/>
    <w:rsid w:val="00A61330"/>
    <w:rsid w:val="00A661C3"/>
    <w:rsid w:val="00AA2F41"/>
    <w:rsid w:val="00AA3192"/>
    <w:rsid w:val="00AA3B14"/>
    <w:rsid w:val="00AA7D4C"/>
    <w:rsid w:val="00AB7501"/>
    <w:rsid w:val="00AC1C7A"/>
    <w:rsid w:val="00AC20F1"/>
    <w:rsid w:val="00AD1145"/>
    <w:rsid w:val="00AD6C2C"/>
    <w:rsid w:val="00AE583E"/>
    <w:rsid w:val="00AE5D15"/>
    <w:rsid w:val="00AE631D"/>
    <w:rsid w:val="00AE65B8"/>
    <w:rsid w:val="00AF05B3"/>
    <w:rsid w:val="00AF16EB"/>
    <w:rsid w:val="00AF35C4"/>
    <w:rsid w:val="00AF4746"/>
    <w:rsid w:val="00B12A4B"/>
    <w:rsid w:val="00B142A4"/>
    <w:rsid w:val="00B14FBF"/>
    <w:rsid w:val="00B23FEC"/>
    <w:rsid w:val="00B31C05"/>
    <w:rsid w:val="00B50E21"/>
    <w:rsid w:val="00B527EA"/>
    <w:rsid w:val="00B52A89"/>
    <w:rsid w:val="00B53F08"/>
    <w:rsid w:val="00B54E5C"/>
    <w:rsid w:val="00B569C5"/>
    <w:rsid w:val="00B614FA"/>
    <w:rsid w:val="00B71621"/>
    <w:rsid w:val="00B7489C"/>
    <w:rsid w:val="00B749D1"/>
    <w:rsid w:val="00B74F64"/>
    <w:rsid w:val="00B7596B"/>
    <w:rsid w:val="00B8194C"/>
    <w:rsid w:val="00B91075"/>
    <w:rsid w:val="00BB20DA"/>
    <w:rsid w:val="00BB3270"/>
    <w:rsid w:val="00BB6C0F"/>
    <w:rsid w:val="00BC32F4"/>
    <w:rsid w:val="00BC62E3"/>
    <w:rsid w:val="00BC744B"/>
    <w:rsid w:val="00BD4FAD"/>
    <w:rsid w:val="00BD6F32"/>
    <w:rsid w:val="00BD74F7"/>
    <w:rsid w:val="00BF7A7C"/>
    <w:rsid w:val="00C005C1"/>
    <w:rsid w:val="00C104E0"/>
    <w:rsid w:val="00C14A83"/>
    <w:rsid w:val="00C201F8"/>
    <w:rsid w:val="00C24833"/>
    <w:rsid w:val="00C350DC"/>
    <w:rsid w:val="00C43705"/>
    <w:rsid w:val="00C50710"/>
    <w:rsid w:val="00C56098"/>
    <w:rsid w:val="00C63ADB"/>
    <w:rsid w:val="00C678C0"/>
    <w:rsid w:val="00C75286"/>
    <w:rsid w:val="00C75EEE"/>
    <w:rsid w:val="00C7753B"/>
    <w:rsid w:val="00C77A77"/>
    <w:rsid w:val="00C85052"/>
    <w:rsid w:val="00C90953"/>
    <w:rsid w:val="00C9392D"/>
    <w:rsid w:val="00CA0162"/>
    <w:rsid w:val="00CA3B16"/>
    <w:rsid w:val="00CC1689"/>
    <w:rsid w:val="00CD4400"/>
    <w:rsid w:val="00CE5EE5"/>
    <w:rsid w:val="00CF49C0"/>
    <w:rsid w:val="00CF4C21"/>
    <w:rsid w:val="00CF788D"/>
    <w:rsid w:val="00D02DE1"/>
    <w:rsid w:val="00D04F0D"/>
    <w:rsid w:val="00D14AE8"/>
    <w:rsid w:val="00D177DD"/>
    <w:rsid w:val="00D17F8E"/>
    <w:rsid w:val="00D23A33"/>
    <w:rsid w:val="00D30491"/>
    <w:rsid w:val="00D33603"/>
    <w:rsid w:val="00D35451"/>
    <w:rsid w:val="00D45554"/>
    <w:rsid w:val="00D53166"/>
    <w:rsid w:val="00D55316"/>
    <w:rsid w:val="00D56A82"/>
    <w:rsid w:val="00D614DC"/>
    <w:rsid w:val="00D65100"/>
    <w:rsid w:val="00D75B90"/>
    <w:rsid w:val="00D90A82"/>
    <w:rsid w:val="00D9463F"/>
    <w:rsid w:val="00D95641"/>
    <w:rsid w:val="00D969AF"/>
    <w:rsid w:val="00DA3CEB"/>
    <w:rsid w:val="00DB085C"/>
    <w:rsid w:val="00DB1F8B"/>
    <w:rsid w:val="00DB39FD"/>
    <w:rsid w:val="00DB4CC0"/>
    <w:rsid w:val="00DB5151"/>
    <w:rsid w:val="00DB5625"/>
    <w:rsid w:val="00DC0335"/>
    <w:rsid w:val="00DC0AB5"/>
    <w:rsid w:val="00DC399A"/>
    <w:rsid w:val="00DC64FC"/>
    <w:rsid w:val="00DC6667"/>
    <w:rsid w:val="00DC7A19"/>
    <w:rsid w:val="00DE42AB"/>
    <w:rsid w:val="00DE6B7F"/>
    <w:rsid w:val="00DF06F4"/>
    <w:rsid w:val="00DF11B1"/>
    <w:rsid w:val="00DF5157"/>
    <w:rsid w:val="00E03695"/>
    <w:rsid w:val="00E1105C"/>
    <w:rsid w:val="00E23124"/>
    <w:rsid w:val="00E2679B"/>
    <w:rsid w:val="00E269BA"/>
    <w:rsid w:val="00E26F3D"/>
    <w:rsid w:val="00E31225"/>
    <w:rsid w:val="00E42E44"/>
    <w:rsid w:val="00E54DD0"/>
    <w:rsid w:val="00E6236B"/>
    <w:rsid w:val="00E6716E"/>
    <w:rsid w:val="00E7780E"/>
    <w:rsid w:val="00E8625B"/>
    <w:rsid w:val="00E9142E"/>
    <w:rsid w:val="00E915EF"/>
    <w:rsid w:val="00E95F8D"/>
    <w:rsid w:val="00E96E69"/>
    <w:rsid w:val="00EA4676"/>
    <w:rsid w:val="00EA484D"/>
    <w:rsid w:val="00EC0A4F"/>
    <w:rsid w:val="00EC4F69"/>
    <w:rsid w:val="00ED473A"/>
    <w:rsid w:val="00EE011B"/>
    <w:rsid w:val="00EF4C1D"/>
    <w:rsid w:val="00EF7B91"/>
    <w:rsid w:val="00EF7CFB"/>
    <w:rsid w:val="00F03CA3"/>
    <w:rsid w:val="00F1657B"/>
    <w:rsid w:val="00F20CCF"/>
    <w:rsid w:val="00F402C5"/>
    <w:rsid w:val="00F47AD4"/>
    <w:rsid w:val="00F517E0"/>
    <w:rsid w:val="00F5425B"/>
    <w:rsid w:val="00F56936"/>
    <w:rsid w:val="00F619A7"/>
    <w:rsid w:val="00F72937"/>
    <w:rsid w:val="00F767F6"/>
    <w:rsid w:val="00F76CB2"/>
    <w:rsid w:val="00F83A13"/>
    <w:rsid w:val="00F92F89"/>
    <w:rsid w:val="00F95CCA"/>
    <w:rsid w:val="00FB2600"/>
    <w:rsid w:val="00FB2DAA"/>
    <w:rsid w:val="00FB48D2"/>
    <w:rsid w:val="00FB6E80"/>
    <w:rsid w:val="00FB7742"/>
    <w:rsid w:val="00FC2D35"/>
    <w:rsid w:val="00FC61FD"/>
    <w:rsid w:val="00FC7953"/>
    <w:rsid w:val="00FD5708"/>
    <w:rsid w:val="00FE57F9"/>
    <w:rsid w:val="00FF064D"/>
    <w:rsid w:val="00FF2E2B"/>
    <w:rsid w:val="059558BA"/>
    <w:rsid w:val="0989B138"/>
    <w:rsid w:val="19D4E54C"/>
    <w:rsid w:val="2957B191"/>
    <w:rsid w:val="3D371389"/>
    <w:rsid w:val="3ED1DA43"/>
    <w:rsid w:val="40B69B87"/>
    <w:rsid w:val="41344AA1"/>
    <w:rsid w:val="41CB44D8"/>
    <w:rsid w:val="44302F9A"/>
    <w:rsid w:val="4B72EBEA"/>
    <w:rsid w:val="5DE362F5"/>
    <w:rsid w:val="5F5AFB5B"/>
    <w:rsid w:val="720FBD62"/>
    <w:rsid w:val="7CAF378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AC599"/>
  <w15:docId w15:val="{930A2996-9C17-4FB2-AA93-CF79125F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2F7DD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4CBA6" w:themeFill="accent4" w:themeFillTint="99"/>
      <w:ind w:firstLine="0"/>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Grille4-Accentuation4">
    <w:name w:val="Grid Table 4 Accent 4"/>
    <w:basedOn w:val="TableauNormal"/>
    <w:uiPriority w:val="49"/>
    <w:rsid w:val="005C325A"/>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color w:val="FFFFFF" w:themeColor="background1"/>
      </w:rPr>
      <w:tblPr/>
      <w:tcPr>
        <w:tcBorders>
          <w:top w:val="single" w:sz="4" w:space="0" w:color="51A66D" w:themeColor="accent4"/>
          <w:left w:val="single" w:sz="4" w:space="0" w:color="51A66D" w:themeColor="accent4"/>
          <w:bottom w:val="single" w:sz="4" w:space="0" w:color="51A66D" w:themeColor="accent4"/>
          <w:right w:val="single" w:sz="4" w:space="0" w:color="51A66D" w:themeColor="accent4"/>
          <w:insideH w:val="nil"/>
          <w:insideV w:val="nil"/>
        </w:tcBorders>
        <w:shd w:val="clear" w:color="auto" w:fill="51A66D" w:themeFill="accent4"/>
      </w:tcPr>
    </w:tblStylePr>
    <w:tblStylePr w:type="lastRow">
      <w:rPr>
        <w:b/>
        <w:bCs/>
      </w:rPr>
      <w:tblPr/>
      <w:tcPr>
        <w:tcBorders>
          <w:top w:val="double" w:sz="4" w:space="0" w:color="51A66D" w:themeColor="accent4"/>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111/bjep.1202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i.org/10.1080/10573560600837578"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1146/annurev-psych-010814-01522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omar.pagnamenta@ti.ch" TargetMode="External"/><Relationship Id="rId20" Type="http://schemas.openxmlformats.org/officeDocument/2006/relationships/hyperlink" Target="https://doi.org/10.1016/j.tics.2018.10.00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3-05"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doi.org/10.1207/s15430421tip4102_2"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oi.org/10.1037/met0000805"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37/bul0000195"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o\SZH%20CSPS\Daten_Allgemein%20-%20General\2_Produkte\52_Revue\RV02_Redaction\Revue_2026\03_Adaptation%20du%20PER\Layout_R03-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6900A3-1ACE-4546-94EE-A419374F0F71}">
  <we:reference id="WA200010725" version="1.0.0.1" store="Omex" storeType="OMEX"/>
  <we:alternateReferences>
    <we:reference id="WA200010725" version="1.0.0.1" store="WA200010725" storeType="OMEX"/>
  </we:alternateReferences>
  <we:properties>
    <we:property name="claude.fileId" value="&quot;5385365f-6f92-4b31-af27-e875b1d9e65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17D50034-62CB-45C6-AE35-710EF86FA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Layout_R03-2026</Template>
  <TotalTime>0</TotalTime>
  <Pages>7</Pages>
  <Words>3112</Words>
  <Characters>17119</Characters>
  <Application>Microsoft Office Word</Application>
  <DocSecurity>0</DocSecurity>
  <Lines>142</Lines>
  <Paragraphs>40</Paragraphs>
  <ScaleCrop>false</ScaleCrop>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FLOW PILOTING 2026 : un cycle pilote pour soutenir le développement des fonctions exécutives en classe ordinaire_x000d_</dc:title>
  <dc:subject/>
  <dc:creator>Omar F. Pagnamenta _x000d_</dc:creator>
  <cp:keywords>cycle d'orientation, jeu éducatif, processus cognitif, projet pilote / kognitiver Prozess, Lernspiel, Orientierungsstufe, Pilotprojekt</cp:keywords>
  <cp:lastModifiedBy>Winkler, Elodie</cp:lastModifiedBy>
  <cp:revision>152</cp:revision>
  <cp:lastPrinted>2022-07-01T21:31:00Z</cp:lastPrinted>
  <dcterms:created xsi:type="dcterms:W3CDTF">2026-04-21T15:35:00Z</dcterms:created>
  <dcterms:modified xsi:type="dcterms:W3CDTF">2026-08-19T09:03:00Z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