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EE6F34" w14:textId="19AA1817" w:rsidR="001114E2" w:rsidRPr="00FF2E2B" w:rsidRDefault="00C44432" w:rsidP="00E7126B">
      <w:pPr>
        <w:pStyle w:val="Titre"/>
      </w:pPr>
      <w:r w:rsidRPr="00C44432">
        <w:t>Scolariser en classe régulière un élève «</w:t>
      </w:r>
      <w:r w:rsidR="001C795E">
        <w:t> </w:t>
      </w:r>
      <w:r w:rsidRPr="00C44432">
        <w:t>en grand décalage</w:t>
      </w:r>
      <w:r w:rsidR="001C795E">
        <w:t> </w:t>
      </w:r>
      <w:r w:rsidRPr="00C44432">
        <w:t>»</w:t>
      </w:r>
    </w:p>
    <w:p w14:paraId="672CF867" w14:textId="21A91248" w:rsidR="001114E2" w:rsidRPr="00153133" w:rsidRDefault="00327EB5" w:rsidP="002E5374">
      <w:pPr>
        <w:pStyle w:val="Sous-titre"/>
        <w:rPr>
          <w:rFonts w:cs="Open Sans SemiCondensed"/>
        </w:rPr>
      </w:pPr>
      <w:r w:rsidRPr="00327EB5">
        <w:rPr>
          <w:rFonts w:cs="Open Sans SemiCondensed"/>
        </w:rPr>
        <w:t>Quelle articulation de l’activité de soutien à l’activité de la classe régulière</w:t>
      </w:r>
      <w:r w:rsidR="000806BF">
        <w:rPr>
          <w:rFonts w:cs="Open Sans SemiCondensed"/>
        </w:rPr>
        <w:t> </w:t>
      </w:r>
      <w:r w:rsidRPr="00327EB5">
        <w:rPr>
          <w:rFonts w:cs="Open Sans SemiCondensed"/>
        </w:rPr>
        <w:t>?</w:t>
      </w:r>
    </w:p>
    <w:p w14:paraId="43427171" w14:textId="11E2F273" w:rsidR="001114E2" w:rsidRPr="00153133" w:rsidRDefault="00327EB5" w:rsidP="006C2B84">
      <w:pPr>
        <w:pStyle w:val="Author"/>
        <w:rPr>
          <w:rFonts w:cs="Open Sans SemiCondensed"/>
        </w:rPr>
      </w:pPr>
      <w:r>
        <w:rPr>
          <w:rFonts w:cs="Open Sans SemiCondensed"/>
        </w:rPr>
        <w:t>Caroline</w:t>
      </w:r>
      <w:r w:rsidR="00C73AD9">
        <w:rPr>
          <w:rFonts w:cs="Open Sans SemiCondensed"/>
        </w:rPr>
        <w:t> </w:t>
      </w:r>
      <w:r>
        <w:rPr>
          <w:rFonts w:cs="Open Sans SemiCondensed"/>
        </w:rPr>
        <w:t>Chanier</w:t>
      </w:r>
      <w:r w:rsidR="000529FB">
        <w:rPr>
          <w:rFonts w:cs="Open Sans SemiCondensed"/>
        </w:rPr>
        <w:t xml:space="preserve"> et</w:t>
      </w:r>
      <w:r w:rsidR="005E48D3">
        <w:rPr>
          <w:rFonts w:cs="Open Sans SemiCondensed"/>
        </w:rPr>
        <w:t xml:space="preserve"> Coralie</w:t>
      </w:r>
      <w:r w:rsidR="00C73AD9">
        <w:rPr>
          <w:rFonts w:cs="Open Sans SemiCondensed"/>
        </w:rPr>
        <w:t> </w:t>
      </w:r>
      <w:r w:rsidR="005E48D3">
        <w:rPr>
          <w:rFonts w:cs="Open Sans SemiCondensed"/>
        </w:rPr>
        <w:t>Delorme</w:t>
      </w:r>
    </w:p>
    <w:p w14:paraId="6706D6B6" w14:textId="3FDD6BE7" w:rsidR="000352CE" w:rsidRPr="00153133" w:rsidRDefault="004C13EB" w:rsidP="000352CE">
      <w:pPr>
        <w:pStyle w:val="Abstract"/>
        <w:rPr>
          <w:rFonts w:cs="Open Sans SemiCondensed"/>
        </w:rPr>
      </w:pPr>
      <w:r w:rsidRPr="00153133">
        <w:rPr>
          <w:rFonts w:cs="Open Sans SemiCondensed"/>
        </w:rPr>
        <w:t>Résumé</w:t>
      </w:r>
      <w:r w:rsidR="000352CE" w:rsidRPr="00153133">
        <w:rPr>
          <w:rFonts w:cs="Open Sans SemiCondensed"/>
        </w:rPr>
        <w:br/>
      </w:r>
      <w:r w:rsidR="007F44CD" w:rsidRPr="00455CB7">
        <w:rPr>
          <w:bCs/>
          <w:color w:val="000000" w:themeColor="text1"/>
        </w:rPr>
        <w:t xml:space="preserve">Cet article questionne la scolarisation en classe régulière d’élèves </w:t>
      </w:r>
      <w:r w:rsidR="007F44CD" w:rsidRPr="002F50CB">
        <w:rPr>
          <w:bCs/>
          <w:color w:val="000000" w:themeColor="text1"/>
        </w:rPr>
        <w:t>« </w:t>
      </w:r>
      <w:r w:rsidR="007F44CD" w:rsidRPr="00740706">
        <w:rPr>
          <w:bCs/>
          <w:color w:val="000000" w:themeColor="text1"/>
        </w:rPr>
        <w:t>en grand décalage »</w:t>
      </w:r>
      <w:r w:rsidR="007F44CD" w:rsidRPr="00455CB7">
        <w:rPr>
          <w:bCs/>
          <w:color w:val="000000" w:themeColor="text1"/>
        </w:rPr>
        <w:t xml:space="preserve"> dans les savoirs disciplinaires, sous l’angle des modalités de soutien en enseignement spécialisé permettant de concilier accès aux apprentissages et sentiment d’appartenance à la classe. Une étude qualitative, impliquant des captations </w:t>
      </w:r>
      <w:proofErr w:type="gramStart"/>
      <w:r w:rsidR="007F44CD" w:rsidRPr="00455CB7">
        <w:rPr>
          <w:bCs/>
          <w:color w:val="000000" w:themeColor="text1"/>
        </w:rPr>
        <w:t>vidéo</w:t>
      </w:r>
      <w:r w:rsidR="007206B0">
        <w:rPr>
          <w:bCs/>
          <w:color w:val="000000" w:themeColor="text1"/>
        </w:rPr>
        <w:t>s</w:t>
      </w:r>
      <w:proofErr w:type="gramEnd"/>
      <w:r w:rsidR="007F44CD" w:rsidRPr="00455CB7">
        <w:rPr>
          <w:bCs/>
          <w:color w:val="000000" w:themeColor="text1"/>
        </w:rPr>
        <w:t xml:space="preserve"> et des entretiens, décrit les pratiques conjointes d’une dyade enseignante. Nous décrivons l</w:t>
      </w:r>
      <w:r w:rsidR="007F44CD">
        <w:rPr>
          <w:bCs/>
          <w:color w:val="000000" w:themeColor="text1"/>
        </w:rPr>
        <w:t>’</w:t>
      </w:r>
      <w:r w:rsidR="007F44CD" w:rsidRPr="00455CB7">
        <w:rPr>
          <w:bCs/>
          <w:color w:val="000000" w:themeColor="text1"/>
        </w:rPr>
        <w:t>activité de la classe et celle de soutien à l’élève, à deux temps distincts, et analysons le degré d’articulation pédagogique et didactique mis en œuvre</w:t>
      </w:r>
    </w:p>
    <w:p w14:paraId="3508B38D" w14:textId="77777777" w:rsidR="00A113F2" w:rsidRPr="003467C4" w:rsidRDefault="00A113F2" w:rsidP="00A113F2">
      <w:pPr>
        <w:pStyle w:val="Abstract"/>
        <w:rPr>
          <w:rFonts w:cs="Open Sans SemiCondensed"/>
          <w:lang w:val="de-CH"/>
        </w:rPr>
      </w:pPr>
      <w:r w:rsidRPr="1A131AB3">
        <w:rPr>
          <w:rFonts w:cs="Open Sans SemiCondensed"/>
          <w:lang w:val="de-CH"/>
        </w:rPr>
        <w:t>Zusammenfassung</w:t>
      </w:r>
      <w:r w:rsidRPr="00B044C3">
        <w:rPr>
          <w:lang w:val="de-CH"/>
        </w:rPr>
        <w:br/>
      </w:r>
      <w:r w:rsidRPr="1A131AB3">
        <w:rPr>
          <w:rFonts w:cs="Open Sans SemiCondensed"/>
          <w:lang w:val="de-CH"/>
        </w:rPr>
        <w:t xml:space="preserve">Dieser Artikel befasst sich mit der Schulung von Lernenden in Regelklassen, die einen grossen Lernrückstand haben. </w:t>
      </w:r>
      <w:r w:rsidRPr="00A406F9">
        <w:rPr>
          <w:rFonts w:cs="Open Sans SemiCondensed"/>
          <w:lang w:val="de-CH"/>
        </w:rPr>
        <w:t>Beleuchtet werden sonderpädagogische Unterstützungsmassnahmen, die den Zugang zum Lernstoff ermöglichen und gleichzeitig das Zugehörigkeitsgefühl zur Klasse stärken.</w:t>
      </w:r>
      <w:r w:rsidRPr="1A131AB3">
        <w:rPr>
          <w:rFonts w:cs="Open Sans SemiCondensed"/>
          <w:lang w:val="de-CH"/>
        </w:rPr>
        <w:t xml:space="preserve"> Eine qualitative Studie, die Videoaufnahmen und Interviews umfasst, beschreibt die gemeinsamen Vorgehensweisen von zwei Lehrpersonen. </w:t>
      </w:r>
      <w:r w:rsidRPr="00A406F9">
        <w:rPr>
          <w:rFonts w:cs="Open Sans SemiCondensed"/>
          <w:lang w:val="de-CH"/>
        </w:rPr>
        <w:t xml:space="preserve">Wir </w:t>
      </w:r>
      <w:r w:rsidRPr="1A131AB3">
        <w:rPr>
          <w:rFonts w:cs="Open Sans SemiCondensed"/>
          <w:lang w:val="de-CH"/>
        </w:rPr>
        <w:t>beschreiben</w:t>
      </w:r>
      <w:r w:rsidRPr="00A406F9">
        <w:rPr>
          <w:rFonts w:cs="Open Sans SemiCondensed"/>
          <w:lang w:val="de-CH"/>
        </w:rPr>
        <w:t xml:space="preserve"> die Aktivitäten der Klasse und die Unterstützungsmassnahmen für eine Schülerin in zwei unterschiedlichen Phasen und analysieren, wie eng diese pädagogisch und didaktisch miteinander verknüpft sind.</w:t>
      </w:r>
    </w:p>
    <w:p w14:paraId="544321ED" w14:textId="07F0EADB" w:rsidR="00844F70" w:rsidRPr="007D0B6D" w:rsidRDefault="00844F70" w:rsidP="00844F70">
      <w:pPr>
        <w:jc w:val="both"/>
        <w:rPr>
          <w:lang w:val="de-CH"/>
        </w:rPr>
      </w:pPr>
      <w:r w:rsidRPr="007D0B6D">
        <w:rPr>
          <w:rStyle w:val="lev"/>
          <w:rFonts w:cs="Open Sans SemiCondensed"/>
          <w:lang w:val="de-CH"/>
        </w:rPr>
        <w:t>Keywords</w:t>
      </w:r>
      <w:r w:rsidRPr="007D0B6D">
        <w:rPr>
          <w:lang w:val="de-CH"/>
        </w:rPr>
        <w:t xml:space="preserve">: </w:t>
      </w:r>
      <w:proofErr w:type="spellStart"/>
      <w:r w:rsidRPr="007D0B6D">
        <w:rPr>
          <w:rStyle w:val="Corpsdetexte3Car"/>
        </w:rPr>
        <w:t>besoins</w:t>
      </w:r>
      <w:proofErr w:type="spellEnd"/>
      <w:r w:rsidRPr="007D0B6D">
        <w:rPr>
          <w:rStyle w:val="Corpsdetexte3Car"/>
        </w:rPr>
        <w:t xml:space="preserve"> </w:t>
      </w:r>
      <w:proofErr w:type="spellStart"/>
      <w:r w:rsidRPr="007D0B6D">
        <w:rPr>
          <w:rStyle w:val="Corpsdetexte3Car"/>
        </w:rPr>
        <w:t>éducatifs</w:t>
      </w:r>
      <w:proofErr w:type="spellEnd"/>
      <w:r w:rsidRPr="007D0B6D">
        <w:rPr>
          <w:rStyle w:val="Corpsdetexte3Car"/>
        </w:rPr>
        <w:t xml:space="preserve"> </w:t>
      </w:r>
      <w:proofErr w:type="spellStart"/>
      <w:r w:rsidRPr="007D0B6D">
        <w:rPr>
          <w:rStyle w:val="Corpsdetexte3Car"/>
        </w:rPr>
        <w:t>particuliers</w:t>
      </w:r>
      <w:proofErr w:type="spellEnd"/>
      <w:r w:rsidRPr="007D0B6D">
        <w:rPr>
          <w:rStyle w:val="Corpsdetexte3Car"/>
        </w:rPr>
        <w:t xml:space="preserve">, </w:t>
      </w:r>
      <w:proofErr w:type="spellStart"/>
      <w:r w:rsidRPr="007D0B6D">
        <w:rPr>
          <w:rStyle w:val="Corpsdetexte3Car"/>
        </w:rPr>
        <w:t>classe</w:t>
      </w:r>
      <w:proofErr w:type="spellEnd"/>
      <w:r w:rsidRPr="007D0B6D">
        <w:rPr>
          <w:rStyle w:val="Corpsdetexte3Car"/>
        </w:rPr>
        <w:t xml:space="preserve"> </w:t>
      </w:r>
      <w:proofErr w:type="spellStart"/>
      <w:r w:rsidRPr="007D0B6D">
        <w:rPr>
          <w:rStyle w:val="Corpsdetexte3Car"/>
        </w:rPr>
        <w:t>hétérogène</w:t>
      </w:r>
      <w:proofErr w:type="spellEnd"/>
      <w:r w:rsidRPr="007D0B6D">
        <w:rPr>
          <w:rStyle w:val="Corpsdetexte3Car"/>
        </w:rPr>
        <w:t xml:space="preserve">, </w:t>
      </w:r>
      <w:proofErr w:type="spellStart"/>
      <w:r w:rsidRPr="007D0B6D">
        <w:rPr>
          <w:rStyle w:val="Corpsdetexte3Car"/>
        </w:rPr>
        <w:t>coenseignement</w:t>
      </w:r>
      <w:proofErr w:type="spellEnd"/>
      <w:r w:rsidRPr="007D0B6D">
        <w:rPr>
          <w:rStyle w:val="Corpsdetexte3Car"/>
        </w:rPr>
        <w:t xml:space="preserve">, </w:t>
      </w:r>
      <w:proofErr w:type="spellStart"/>
      <w:r w:rsidRPr="007D0B6D">
        <w:rPr>
          <w:rStyle w:val="Corpsdetexte3Car"/>
        </w:rPr>
        <w:t>conduite</w:t>
      </w:r>
      <w:proofErr w:type="spellEnd"/>
      <w:r w:rsidRPr="007D0B6D">
        <w:rPr>
          <w:rStyle w:val="Corpsdetexte3Car"/>
        </w:rPr>
        <w:t xml:space="preserve"> de la </w:t>
      </w:r>
      <w:proofErr w:type="spellStart"/>
      <w:r w:rsidRPr="007D0B6D">
        <w:rPr>
          <w:rStyle w:val="Corpsdetexte3Car"/>
        </w:rPr>
        <w:t>classe</w:t>
      </w:r>
      <w:proofErr w:type="spellEnd"/>
      <w:r w:rsidRPr="007D0B6D">
        <w:rPr>
          <w:rStyle w:val="Corpsdetexte3Car"/>
        </w:rPr>
        <w:t xml:space="preserve">, </w:t>
      </w:r>
      <w:proofErr w:type="spellStart"/>
      <w:r w:rsidRPr="007D0B6D">
        <w:rPr>
          <w:rStyle w:val="Corpsdetexte3Car"/>
        </w:rPr>
        <w:t>inclusion</w:t>
      </w:r>
      <w:proofErr w:type="spellEnd"/>
      <w:r w:rsidRPr="007D0B6D">
        <w:rPr>
          <w:rStyle w:val="Corpsdetexte3Car"/>
        </w:rPr>
        <w:t xml:space="preserve">, </w:t>
      </w:r>
      <w:proofErr w:type="spellStart"/>
      <w:r w:rsidRPr="007D0B6D">
        <w:rPr>
          <w:rStyle w:val="Corpsdetexte3Car"/>
        </w:rPr>
        <w:t>intégration</w:t>
      </w:r>
      <w:proofErr w:type="spellEnd"/>
      <w:r w:rsidRPr="007D0B6D">
        <w:rPr>
          <w:rStyle w:val="Corpsdetexte3Car"/>
        </w:rPr>
        <w:t xml:space="preserve"> </w:t>
      </w:r>
      <w:proofErr w:type="spellStart"/>
      <w:r w:rsidRPr="007D0B6D">
        <w:rPr>
          <w:rStyle w:val="Corpsdetexte3Car"/>
        </w:rPr>
        <w:t>scolaire</w:t>
      </w:r>
      <w:proofErr w:type="spellEnd"/>
      <w:r w:rsidRPr="007D0B6D">
        <w:rPr>
          <w:rStyle w:val="Corpsdetexte3Car"/>
        </w:rPr>
        <w:t xml:space="preserve">, </w:t>
      </w:r>
      <w:proofErr w:type="spellStart"/>
      <w:r w:rsidRPr="007D0B6D">
        <w:rPr>
          <w:rStyle w:val="Corpsdetexte3Car"/>
        </w:rPr>
        <w:t>pédagogie</w:t>
      </w:r>
      <w:proofErr w:type="spellEnd"/>
      <w:r w:rsidRPr="007D0B6D">
        <w:rPr>
          <w:rStyle w:val="Corpsdetexte3Car"/>
        </w:rPr>
        <w:t xml:space="preserve"> </w:t>
      </w:r>
      <w:proofErr w:type="spellStart"/>
      <w:r w:rsidRPr="007D0B6D">
        <w:rPr>
          <w:rStyle w:val="Corpsdetexte3Car"/>
        </w:rPr>
        <w:t>différenciée</w:t>
      </w:r>
      <w:proofErr w:type="spellEnd"/>
      <w:r w:rsidRPr="007D0B6D">
        <w:rPr>
          <w:rStyle w:val="Corpsdetexte3Car"/>
        </w:rPr>
        <w:t xml:space="preserve"> / besonderer Bildungsbedarf, </w:t>
      </w:r>
      <w:r w:rsidR="00E668C1" w:rsidRPr="00F72E96">
        <w:rPr>
          <w:rStyle w:val="Corpsdetexte3Car"/>
        </w:rPr>
        <w:t xml:space="preserve">differenzierter Unterricht, </w:t>
      </w:r>
      <w:r w:rsidRPr="007D0B6D">
        <w:rPr>
          <w:rStyle w:val="Corpsdetexte3Car"/>
        </w:rPr>
        <w:t>heterogene Klasse, Inklusion, Klassenführung, schulische Integration, Teamteaching</w:t>
      </w:r>
    </w:p>
    <w:p w14:paraId="4F9CFB48" w14:textId="44EA3624" w:rsidR="001D3BFB" w:rsidRPr="00153133" w:rsidRDefault="00EA4676" w:rsidP="00C24833">
      <w:pPr>
        <w:pStyle w:val="Corpsdetexte3"/>
        <w:rPr>
          <w:rFonts w:cs="Open Sans SemiCondensed"/>
          <w:bCs/>
          <w:iCs/>
          <w:color w:val="CF3649"/>
        </w:rPr>
      </w:pPr>
      <w:proofErr w:type="gramStart"/>
      <w:r w:rsidRPr="00153133">
        <w:rPr>
          <w:rStyle w:val="lev"/>
          <w:rFonts w:cs="Open Sans SemiCondensed"/>
        </w:rPr>
        <w:t>DOI</w:t>
      </w:r>
      <w:r w:rsidRPr="00153133">
        <w:rPr>
          <w:rFonts w:cs="Open Sans SemiCondensed"/>
        </w:rPr>
        <w:t>:</w:t>
      </w:r>
      <w:proofErr w:type="gramEnd"/>
      <w:r w:rsidRPr="00153133">
        <w:rPr>
          <w:rFonts w:cs="Open Sans SemiCondensed"/>
        </w:rPr>
        <w:t xml:space="preserve"> </w:t>
      </w:r>
      <w:hyperlink r:id="rId11" w:history="1">
        <w:r w:rsidR="00545D6A">
          <w:rPr>
            <w:rStyle w:val="Lienhypertexte"/>
            <w:rFonts w:cs="Open Sans SemiCondensed"/>
          </w:rPr>
          <w:t>https://doi.org/10.57161/r2026-03-02</w:t>
        </w:r>
      </w:hyperlink>
    </w:p>
    <w:p w14:paraId="5460EAE5" w14:textId="3A41F57D" w:rsidR="00EA4676" w:rsidRPr="00153133" w:rsidRDefault="00EA4676" w:rsidP="00C24833">
      <w:pPr>
        <w:pStyle w:val="Corpsdetexte3"/>
      </w:pPr>
      <w:r w:rsidRPr="00153133">
        <w:t xml:space="preserve">Revue </w:t>
      </w:r>
      <w:r w:rsidR="009E4ACD">
        <w:t>s</w:t>
      </w:r>
      <w:r w:rsidRPr="00153133">
        <w:t xml:space="preserve">uisse de </w:t>
      </w:r>
      <w:r w:rsidR="009E4ACD">
        <w:t>p</w:t>
      </w:r>
      <w:r w:rsidRPr="00153133">
        <w:t xml:space="preserve">édagogie </w:t>
      </w:r>
      <w:r w:rsidR="009E4ACD">
        <w:t>s</w:t>
      </w:r>
      <w:r w:rsidRPr="00153133">
        <w:t xml:space="preserve">pécialisée, Vol. </w:t>
      </w:r>
      <w:r w:rsidR="00037AE3">
        <w:t>1</w:t>
      </w:r>
      <w:r w:rsidR="009E4ACD">
        <w:t>6</w:t>
      </w:r>
      <w:r w:rsidRPr="00153133">
        <w:t xml:space="preserve">, </w:t>
      </w:r>
      <w:r w:rsidR="00037AE3">
        <w:t>0</w:t>
      </w:r>
      <w:r w:rsidR="008C483F">
        <w:t>3</w:t>
      </w:r>
      <w:r w:rsidRPr="00153133">
        <w:t>/</w:t>
      </w:r>
      <w:r w:rsidR="00037AE3">
        <w:t>202</w:t>
      </w:r>
      <w:r w:rsidR="009E4ACD">
        <w:t>6</w:t>
      </w:r>
    </w:p>
    <w:p w14:paraId="2520490E" w14:textId="1A54C817" w:rsidR="000E6A66" w:rsidRPr="00153133" w:rsidRDefault="000E6A66" w:rsidP="00C24833">
      <w:pPr>
        <w:pStyle w:val="Corpsdetexte3"/>
      </w:pPr>
      <w:r w:rsidRPr="00153133">
        <w:rPr>
          <w:noProof/>
        </w:rPr>
        <w:drawing>
          <wp:inline distT="0" distB="0" distL="0" distR="0" wp14:anchorId="6F1CFAD0" wp14:editId="51FD9356">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629F6D35" w14:textId="391E24C3" w:rsidR="001114E2" w:rsidRDefault="00545D6A" w:rsidP="00855097">
      <w:pPr>
        <w:pStyle w:val="Titre1"/>
      </w:pPr>
      <w:bookmarkStart w:id="0" w:name="heading-1"/>
      <w:r>
        <w:t>Introduction</w:t>
      </w:r>
      <w:bookmarkEnd w:id="0"/>
    </w:p>
    <w:p w14:paraId="539EF157" w14:textId="71F8CC38" w:rsidR="00E339C7" w:rsidRPr="00455CB7" w:rsidRDefault="00E339C7" w:rsidP="0018485A">
      <w:pPr>
        <w:pStyle w:val="Corpsdetexte"/>
        <w:ind w:firstLine="0"/>
        <w:rPr>
          <w:rFonts w:eastAsia="Times New Roman" w:cs="Calibri"/>
          <w:szCs w:val="24"/>
          <w:lang w:eastAsia="fr-FR"/>
        </w:rPr>
      </w:pPr>
      <w:r w:rsidRPr="00455CB7">
        <w:t>Depuis l’</w:t>
      </w:r>
      <w:r>
        <w:t>A</w:t>
      </w:r>
      <w:r w:rsidRPr="00455CB7">
        <w:t xml:space="preserve">ccord intercantonal </w:t>
      </w:r>
      <w:r w:rsidRPr="00740706">
        <w:rPr>
          <w:rFonts w:cs="Calibri"/>
          <w:szCs w:val="24"/>
        </w:rPr>
        <w:t>sur la collaboration dans le domaine de la pédagogie spécialisée</w:t>
      </w:r>
      <w:r w:rsidRPr="000A32E6">
        <w:t xml:space="preserve"> (</w:t>
      </w:r>
      <w:r>
        <w:t>A-CDPS</w:t>
      </w:r>
      <w:r w:rsidRPr="000A32E6">
        <w:t>, 2007</w:t>
      </w:r>
      <w:r w:rsidRPr="00455CB7">
        <w:t>)</w:t>
      </w:r>
      <w:r>
        <w:t>, qui se positionne</w:t>
      </w:r>
      <w:r w:rsidRPr="00455CB7">
        <w:t xml:space="preserve"> en faveur de mesures </w:t>
      </w:r>
      <w:r>
        <w:t xml:space="preserve">scolaires </w:t>
      </w:r>
      <w:r w:rsidRPr="00455CB7">
        <w:t xml:space="preserve">dites inclusives, de nombreux élèves, autrefois scolarisés dans la filière spécialisée, fréquentent désormais les classes régulières. Considérant que chaque élève doit pouvoir déployer son plein potentiel, les ambitions </w:t>
      </w:r>
      <w:r w:rsidRPr="005E6D2E">
        <w:t xml:space="preserve">inclusives </w:t>
      </w:r>
      <w:r w:rsidRPr="00455CB7">
        <w:t xml:space="preserve">visent l’accessibilité de toutes et tous aux savoirs et à la participation sociale. Pourtant, certaines </w:t>
      </w:r>
      <w:r>
        <w:t>et</w:t>
      </w:r>
      <w:r w:rsidRPr="00455CB7">
        <w:t xml:space="preserve"> certains de ces élèves sont en grand décalage dans l’acquisition des compétences disciplinaires et transversales, ce qui questionne la possibilité qu’elles et ils apprennent parmi et avec leurs camarades du même âge et du même degré. Parmi les mesures proposées, l’intervention d’une enseignante </w:t>
      </w:r>
      <w:r>
        <w:t xml:space="preserve">spécialisée </w:t>
      </w:r>
      <w:r w:rsidRPr="00455CB7">
        <w:t>ou d’un enseignant spécialisé (ES) vise à soutenir les apprentissages de ces élèves. Or, de nombreux travaux montrent que la manière dont le soutien est mis en œuvre impacte différemment les apprentissages</w:t>
      </w:r>
      <w:r>
        <w:t xml:space="preserve"> : </w:t>
      </w:r>
      <w:r w:rsidRPr="00455CB7">
        <w:t>une individualisation systématique des apprentissage</w:t>
      </w:r>
      <w:r>
        <w:t>s</w:t>
      </w:r>
      <w:r w:rsidRPr="00455CB7">
        <w:t xml:space="preserve"> peut aboutir à une désarticulation didactique (Tambone, 2014) et/ou pédagogique (Pelgrims, 2011) entre l</w:t>
      </w:r>
      <w:r>
        <w:t>’</w:t>
      </w:r>
      <w:r w:rsidRPr="00455CB7">
        <w:t>activité de la classe et l</w:t>
      </w:r>
      <w:r>
        <w:t>’</w:t>
      </w:r>
      <w:r w:rsidRPr="00455CB7">
        <w:t xml:space="preserve">activité de soutien, comme péjorer le sentiment de compétence et d’appartenance de ces élèves au collectif. </w:t>
      </w:r>
      <w:r w:rsidRPr="00455CB7">
        <w:rPr>
          <w:rFonts w:eastAsia="Times New Roman" w:cs="Calibri"/>
          <w:szCs w:val="24"/>
          <w:lang w:eastAsia="fr-FR"/>
        </w:rPr>
        <w:t>Inclure un élève ayant des besoins éducatifs particuliers (BEP) importants, ce n’est pas simplement lui faire une place physique dans la classe ou lui donner un travail différent pendant que les autres avancent dans le programme d’étude. L</w:t>
      </w:r>
      <w:r w:rsidR="00B61379">
        <w:rPr>
          <w:rFonts w:eastAsia="Times New Roman" w:cs="Calibri"/>
          <w:szCs w:val="24"/>
          <w:lang w:eastAsia="fr-FR"/>
        </w:rPr>
        <w:t>’</w:t>
      </w:r>
      <w:r w:rsidRPr="00455CB7">
        <w:rPr>
          <w:rFonts w:eastAsia="Times New Roman" w:cs="Calibri"/>
          <w:szCs w:val="24"/>
          <w:lang w:eastAsia="fr-FR"/>
        </w:rPr>
        <w:t>enjeu est double</w:t>
      </w:r>
      <w:r>
        <w:rPr>
          <w:rFonts w:eastAsia="Times New Roman" w:cs="Calibri"/>
          <w:szCs w:val="24"/>
          <w:lang w:eastAsia="fr-FR"/>
        </w:rPr>
        <w:t> :</w:t>
      </w:r>
      <w:r w:rsidRPr="00455CB7">
        <w:rPr>
          <w:rFonts w:eastAsia="Times New Roman" w:cs="Calibri"/>
          <w:szCs w:val="24"/>
          <w:lang w:eastAsia="fr-FR"/>
        </w:rPr>
        <w:t xml:space="preserve"> par les conditions </w:t>
      </w:r>
      <w:r w:rsidRPr="009F42B6">
        <w:rPr>
          <w:rFonts w:eastAsia="Times New Roman" w:cs="Calibri"/>
          <w:szCs w:val="24"/>
          <w:lang w:eastAsia="fr-FR"/>
        </w:rPr>
        <w:t>d’</w:t>
      </w:r>
      <w:r w:rsidRPr="005E6D2E">
        <w:rPr>
          <w:rFonts w:eastAsia="Times New Roman" w:cs="Calibri"/>
          <w:szCs w:val="24"/>
          <w:lang w:eastAsia="fr-FR"/>
        </w:rPr>
        <w:t>enseignement-</w:t>
      </w:r>
      <w:r w:rsidRPr="009F42B6">
        <w:rPr>
          <w:rFonts w:eastAsia="Times New Roman" w:cs="Calibri"/>
          <w:szCs w:val="24"/>
          <w:lang w:eastAsia="fr-FR"/>
        </w:rPr>
        <w:t>apprentissage mises en place</w:t>
      </w:r>
      <w:r w:rsidRPr="00455CB7">
        <w:rPr>
          <w:rFonts w:eastAsia="Times New Roman" w:cs="Calibri"/>
          <w:szCs w:val="24"/>
          <w:lang w:eastAsia="fr-FR"/>
        </w:rPr>
        <w:t>, c’est lui permettre d’accéder à des savoirs désignés tout en jouant son rôle social d’élève intégré à un collectif-classe (Pelgrims, 2011, 2016). Pour relever ce défi, u</w:t>
      </w:r>
      <w:r w:rsidRPr="00455CB7">
        <w:t xml:space="preserve">ne collaboration de type coenseignement entre </w:t>
      </w:r>
      <w:r>
        <w:t>l’</w:t>
      </w:r>
      <w:r w:rsidRPr="00455CB7">
        <w:t xml:space="preserve">ES et </w:t>
      </w:r>
      <w:r>
        <w:t xml:space="preserve">une enseignante régulière ou </w:t>
      </w:r>
      <w:r>
        <w:lastRenderedPageBreak/>
        <w:t>un enseignant régulier (</w:t>
      </w:r>
      <w:r w:rsidRPr="00455CB7">
        <w:t>ER</w:t>
      </w:r>
      <w:r>
        <w:t>)</w:t>
      </w:r>
      <w:r w:rsidRPr="00455CB7">
        <w:t xml:space="preserve"> (Cook</w:t>
      </w:r>
      <w:r>
        <w:t xml:space="preserve"> &amp;</w:t>
      </w:r>
      <w:r w:rsidRPr="00455CB7">
        <w:t xml:space="preserve"> Friend, 1995) serait à même de différencier l</w:t>
      </w:r>
      <w:r>
        <w:t>’</w:t>
      </w:r>
      <w:r w:rsidRPr="00455CB7">
        <w:t xml:space="preserve">enseignement tout en préservant une articulation entre les différentes activités déployées (Pelgrims et al., 2026). </w:t>
      </w:r>
      <w:r w:rsidRPr="00455CB7">
        <w:rPr>
          <w:rFonts w:eastAsia="Times New Roman" w:cs="Calibri"/>
          <w:szCs w:val="24"/>
          <w:lang w:eastAsia="fr-FR"/>
        </w:rPr>
        <w:t>Cette articulation se joue sur deux niveaux interconnectés</w:t>
      </w:r>
      <w:r w:rsidR="001C795E">
        <w:rPr>
          <w:rFonts w:eastAsia="Times New Roman" w:cs="Calibri"/>
          <w:szCs w:val="24"/>
          <w:lang w:eastAsia="fr-FR"/>
        </w:rPr>
        <w:t> </w:t>
      </w:r>
      <w:r w:rsidRPr="00455CB7">
        <w:rPr>
          <w:rFonts w:eastAsia="Times New Roman" w:cs="Calibri"/>
          <w:szCs w:val="24"/>
          <w:lang w:eastAsia="fr-FR"/>
        </w:rPr>
        <w:t>: didactique et pédagogique (</w:t>
      </w:r>
      <w:r>
        <w:rPr>
          <w:rFonts w:eastAsia="Times New Roman" w:cs="Calibri"/>
          <w:szCs w:val="24"/>
          <w:lang w:eastAsia="fr-FR"/>
        </w:rPr>
        <w:t xml:space="preserve">voir </w:t>
      </w:r>
      <w:r w:rsidRPr="00455CB7">
        <w:rPr>
          <w:rFonts w:eastAsia="Times New Roman" w:cs="Calibri"/>
          <w:szCs w:val="24"/>
          <w:lang w:eastAsia="fr-FR"/>
        </w:rPr>
        <w:t>Tableau</w:t>
      </w:r>
      <w:r w:rsidR="00C73AD9">
        <w:rPr>
          <w:rFonts w:eastAsia="Times New Roman" w:cs="Calibri"/>
          <w:szCs w:val="24"/>
          <w:lang w:eastAsia="fr-FR"/>
        </w:rPr>
        <w:t> </w:t>
      </w:r>
      <w:r w:rsidRPr="00455CB7">
        <w:rPr>
          <w:rFonts w:eastAsia="Times New Roman" w:cs="Calibri"/>
          <w:szCs w:val="24"/>
          <w:lang w:eastAsia="fr-FR"/>
        </w:rPr>
        <w:t>1).</w:t>
      </w:r>
    </w:p>
    <w:p w14:paraId="139D79E3" w14:textId="3A07CC9D" w:rsidR="00E339C7" w:rsidRDefault="00E339C7" w:rsidP="00E339C7">
      <w:pPr>
        <w:pStyle w:val="LegendeTabelle"/>
        <w:rPr>
          <w:lang w:eastAsia="fr-FR"/>
        </w:rPr>
      </w:pPr>
      <w:r w:rsidRPr="001015CF">
        <w:rPr>
          <w:lang w:eastAsia="fr-FR"/>
        </w:rPr>
        <w:t>Tableau</w:t>
      </w:r>
      <w:r w:rsidR="00C73AD9">
        <w:rPr>
          <w:lang w:eastAsia="fr-FR"/>
        </w:rPr>
        <w:t> </w:t>
      </w:r>
      <w:r w:rsidRPr="001015CF">
        <w:rPr>
          <w:lang w:eastAsia="fr-FR"/>
        </w:rPr>
        <w:t>1 : L’articulation didactique et pédagogique de l’activité de soutien à l’activité de la classe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52"/>
        <w:gridCol w:w="3915"/>
        <w:gridCol w:w="3388"/>
      </w:tblGrid>
      <w:tr w:rsidR="00E339C7" w:rsidRPr="00455CB7" w14:paraId="3684FA43" w14:textId="77777777" w:rsidTr="007E5C0E">
        <w:trPr>
          <w:trHeight w:val="257"/>
          <w:tblHeade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B59C6CB" w14:textId="0160CBEF" w:rsidR="00E339C7" w:rsidRPr="00B06A74" w:rsidRDefault="00E339C7" w:rsidP="00B06A74">
            <w:pPr>
              <w:pStyle w:val="Corpsdetexte3"/>
              <w:rPr>
                <w:b/>
                <w:bCs/>
                <w:lang w:eastAsia="fr-FR"/>
              </w:rPr>
            </w:pPr>
            <w:r w:rsidRPr="00B06A74">
              <w:rPr>
                <w:b/>
                <w:bCs/>
                <w:lang w:eastAsia="fr-FR"/>
              </w:rPr>
              <w:t>Type d</w:t>
            </w:r>
            <w:r w:rsidR="000806BF" w:rsidRPr="00B06A74">
              <w:rPr>
                <w:b/>
                <w:bCs/>
                <w:lang w:eastAsia="fr-FR"/>
              </w:rPr>
              <w:t>’</w:t>
            </w:r>
            <w:r w:rsidRPr="00B06A74">
              <w:rPr>
                <w:b/>
                <w:bCs/>
                <w:lang w:eastAsia="fr-FR"/>
              </w:rPr>
              <w:t>articulation</w:t>
            </w:r>
          </w:p>
        </w:tc>
        <w:tc>
          <w:tcPr>
            <w:tcW w:w="3885"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E2C1E9B" w14:textId="1097A7E3" w:rsidR="00E339C7" w:rsidRPr="00B06A74" w:rsidRDefault="00E339C7" w:rsidP="00B06A74">
            <w:pPr>
              <w:pStyle w:val="Corpsdetexte3"/>
              <w:rPr>
                <w:b/>
                <w:bCs/>
                <w:lang w:eastAsia="fr-FR"/>
              </w:rPr>
            </w:pPr>
            <w:r w:rsidRPr="00B06A74">
              <w:rPr>
                <w:b/>
                <w:bCs/>
                <w:lang w:eastAsia="fr-FR"/>
              </w:rPr>
              <w:t>Définition opérationnelle</w:t>
            </w:r>
          </w:p>
        </w:tc>
        <w:tc>
          <w:tcPr>
            <w:tcW w:w="3343"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D9EF760" w14:textId="77777777" w:rsidR="00E339C7" w:rsidRPr="00B06A74" w:rsidRDefault="00E339C7" w:rsidP="00B06A74">
            <w:pPr>
              <w:pStyle w:val="Corpsdetexte3"/>
              <w:rPr>
                <w:b/>
                <w:bCs/>
                <w:lang w:eastAsia="fr-FR"/>
              </w:rPr>
            </w:pPr>
            <w:r w:rsidRPr="00B06A74">
              <w:rPr>
                <w:b/>
                <w:bCs/>
                <w:lang w:eastAsia="fr-FR"/>
              </w:rPr>
              <w:t>Exemple</w:t>
            </w:r>
          </w:p>
        </w:tc>
      </w:tr>
      <w:tr w:rsidR="00E339C7" w:rsidRPr="00455CB7" w14:paraId="7E49C6A4" w14:textId="77777777" w:rsidTr="007E5C0E">
        <w:trPr>
          <w:trHeight w:val="2028"/>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681B4C2" w14:textId="16ECC5DF" w:rsidR="00E339C7" w:rsidRPr="00B06A74" w:rsidRDefault="00E339C7" w:rsidP="00B06A74">
            <w:pPr>
              <w:pStyle w:val="Corpsdetexte3"/>
              <w:rPr>
                <w:b/>
                <w:bCs/>
                <w:lang w:eastAsia="fr-FR"/>
              </w:rPr>
            </w:pPr>
            <w:r w:rsidRPr="00B06A74">
              <w:rPr>
                <w:b/>
                <w:bCs/>
                <w:lang w:eastAsia="fr-FR"/>
              </w:rPr>
              <w:t>L</w:t>
            </w:r>
            <w:r w:rsidR="000806BF" w:rsidRPr="00B06A74">
              <w:rPr>
                <w:b/>
                <w:bCs/>
                <w:lang w:eastAsia="fr-FR"/>
              </w:rPr>
              <w:t>’</w:t>
            </w:r>
            <w:r w:rsidRPr="00B06A74">
              <w:rPr>
                <w:b/>
                <w:bCs/>
                <w:lang w:eastAsia="fr-FR"/>
              </w:rPr>
              <w:t>articulation didactique</w:t>
            </w:r>
          </w:p>
        </w:tc>
        <w:tc>
          <w:tcPr>
            <w:tcW w:w="3885"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hideMark/>
          </w:tcPr>
          <w:p w14:paraId="590036D7" w14:textId="35D58B6D" w:rsidR="00E339C7" w:rsidRPr="00455CB7" w:rsidRDefault="00E339C7" w:rsidP="007E5C0E">
            <w:pPr>
              <w:pStyle w:val="Corpsdetexte3"/>
              <w:rPr>
                <w:lang w:eastAsia="fr-FR"/>
              </w:rPr>
            </w:pPr>
            <w:r w:rsidRPr="00455CB7">
              <w:rPr>
                <w:lang w:eastAsia="fr-FR"/>
              </w:rPr>
              <w:t xml:space="preserve">Elle porte </w:t>
            </w:r>
            <w:r w:rsidRPr="0050354D">
              <w:rPr>
                <w:lang w:eastAsia="fr-FR"/>
              </w:rPr>
              <w:t xml:space="preserve">sur « les actions des </w:t>
            </w:r>
            <w:r>
              <w:rPr>
                <w:lang w:eastAsia="fr-FR"/>
              </w:rPr>
              <w:t xml:space="preserve">[enseignantes et] </w:t>
            </w:r>
            <w:r w:rsidRPr="0050354D">
              <w:rPr>
                <w:lang w:eastAsia="fr-FR"/>
              </w:rPr>
              <w:t xml:space="preserve">enseignants qui permettent de faciliter les </w:t>
            </w:r>
            <w:r w:rsidRPr="007E5C0E">
              <w:rPr>
                <w:b/>
                <w:bCs/>
                <w:lang w:eastAsia="fr-FR"/>
              </w:rPr>
              <w:t>transitions entre les différents systèmes didactiqu</w:t>
            </w:r>
            <w:r w:rsidRPr="007E5C0E">
              <w:rPr>
                <w:lang w:eastAsia="fr-FR"/>
              </w:rPr>
              <w:t>es</w:t>
            </w:r>
            <w:r w:rsidRPr="0050354D">
              <w:rPr>
                <w:lang w:eastAsia="fr-FR"/>
              </w:rPr>
              <w:t xml:space="preserve"> en jeu »</w:t>
            </w:r>
            <w:r w:rsidRPr="00FF77E1">
              <w:rPr>
                <w:lang w:eastAsia="fr-FR"/>
              </w:rPr>
              <w:t xml:space="preserve"> </w:t>
            </w:r>
            <w:r w:rsidRPr="00455CB7">
              <w:rPr>
                <w:lang w:eastAsia="fr-FR"/>
              </w:rPr>
              <w:t>(</w:t>
            </w:r>
            <w:proofErr w:type="spellStart"/>
            <w:r w:rsidRPr="00455CB7">
              <w:rPr>
                <w:lang w:eastAsia="fr-FR"/>
              </w:rPr>
              <w:t>Assude</w:t>
            </w:r>
            <w:proofErr w:type="spellEnd"/>
            <w:r w:rsidRPr="00455CB7">
              <w:rPr>
                <w:lang w:eastAsia="fr-FR"/>
              </w:rPr>
              <w:t xml:space="preserve"> &amp; Millon-Fauré, 2021, p.</w:t>
            </w:r>
            <w:r w:rsidR="00C73AD9">
              <w:rPr>
                <w:lang w:eastAsia="fr-FR"/>
              </w:rPr>
              <w:t> </w:t>
            </w:r>
            <w:r w:rsidRPr="00455CB7">
              <w:rPr>
                <w:lang w:eastAsia="fr-FR"/>
              </w:rPr>
              <w:t xml:space="preserve">62) : tâches et/ou supports </w:t>
            </w:r>
            <w:r>
              <w:rPr>
                <w:lang w:eastAsia="fr-FR"/>
              </w:rPr>
              <w:t>différents,</w:t>
            </w:r>
            <w:r w:rsidRPr="00455CB7">
              <w:rPr>
                <w:lang w:eastAsia="fr-FR"/>
              </w:rPr>
              <w:t xml:space="preserve"> mais objets de savoirs partagés entre le collectif et le soutien.</w:t>
            </w:r>
          </w:p>
        </w:tc>
        <w:tc>
          <w:tcPr>
            <w:tcW w:w="3343"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hideMark/>
          </w:tcPr>
          <w:p w14:paraId="7844B111" w14:textId="2F6A0354" w:rsidR="00E339C7" w:rsidRPr="00455CB7" w:rsidRDefault="00E339C7" w:rsidP="007E5C0E">
            <w:pPr>
              <w:pStyle w:val="Corpsdetexte3"/>
              <w:rPr>
                <w:lang w:eastAsia="fr-FR"/>
              </w:rPr>
            </w:pPr>
            <w:r w:rsidRPr="00455CB7">
              <w:rPr>
                <w:lang w:eastAsia="fr-FR"/>
              </w:rPr>
              <w:t>La classe travaille sur la structure de la recette. L</w:t>
            </w:r>
            <w:r w:rsidR="000806BF">
              <w:rPr>
                <w:lang w:eastAsia="fr-FR"/>
              </w:rPr>
              <w:t>’</w:t>
            </w:r>
            <w:r w:rsidRPr="00455CB7">
              <w:rPr>
                <w:lang w:eastAsia="fr-FR"/>
              </w:rPr>
              <w:t>élève à BEP travaille aussi sur la structure de la recette, mais en utilisant des étiquettes-images ou une dictée à l</w:t>
            </w:r>
            <w:r w:rsidR="000806BF">
              <w:rPr>
                <w:lang w:eastAsia="fr-FR"/>
              </w:rPr>
              <w:t>’</w:t>
            </w:r>
            <w:r w:rsidRPr="00455CB7">
              <w:rPr>
                <w:lang w:eastAsia="fr-FR"/>
              </w:rPr>
              <w:t>adulte.</w:t>
            </w:r>
          </w:p>
        </w:tc>
      </w:tr>
      <w:tr w:rsidR="00E339C7" w:rsidRPr="00455CB7" w14:paraId="5E38159A" w14:textId="77777777" w:rsidTr="007E5C0E">
        <w:trPr>
          <w:trHeight w:val="1794"/>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F569050" w14:textId="74A80886" w:rsidR="00E339C7" w:rsidRPr="00B06A74" w:rsidRDefault="00E339C7" w:rsidP="00B06A74">
            <w:pPr>
              <w:pStyle w:val="Corpsdetexte3"/>
              <w:rPr>
                <w:b/>
                <w:bCs/>
                <w:lang w:eastAsia="fr-FR"/>
              </w:rPr>
            </w:pPr>
            <w:r w:rsidRPr="00B06A74">
              <w:rPr>
                <w:b/>
                <w:bCs/>
                <w:lang w:eastAsia="fr-FR"/>
              </w:rPr>
              <w:t>L</w:t>
            </w:r>
            <w:r w:rsidR="000806BF" w:rsidRPr="00B06A74">
              <w:rPr>
                <w:b/>
                <w:bCs/>
                <w:lang w:eastAsia="fr-FR"/>
              </w:rPr>
              <w:t>’</w:t>
            </w:r>
            <w:r w:rsidRPr="00B06A74">
              <w:rPr>
                <w:b/>
                <w:bCs/>
                <w:lang w:eastAsia="fr-FR"/>
              </w:rPr>
              <w:t>articulation pédagogique</w:t>
            </w:r>
          </w:p>
        </w:tc>
        <w:tc>
          <w:tcPr>
            <w:tcW w:w="3885"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hideMark/>
          </w:tcPr>
          <w:p w14:paraId="66EB4E50" w14:textId="6820B135" w:rsidR="00E339C7" w:rsidRPr="00455CB7" w:rsidRDefault="00E339C7" w:rsidP="00B06A74">
            <w:pPr>
              <w:pStyle w:val="Corpsdetexte3"/>
              <w:rPr>
                <w:lang w:eastAsia="fr-FR"/>
              </w:rPr>
            </w:pPr>
            <w:r w:rsidRPr="00455CB7">
              <w:rPr>
                <w:lang w:eastAsia="fr-FR"/>
              </w:rPr>
              <w:t xml:space="preserve">Elle porte sur « les </w:t>
            </w:r>
            <w:r w:rsidRPr="007E5C0E">
              <w:rPr>
                <w:b/>
                <w:bCs/>
                <w:lang w:eastAsia="fr-FR"/>
              </w:rPr>
              <w:t>conditions maintenant le lien</w:t>
            </w:r>
            <w:r w:rsidRPr="00455CB7">
              <w:rPr>
                <w:lang w:eastAsia="fr-FR"/>
              </w:rPr>
              <w:t xml:space="preserve"> entre l’activité individuelle et celle collective de la classe » (Pelgrims et al., 2026, p.</w:t>
            </w:r>
            <w:r w:rsidR="00C73AD9">
              <w:rPr>
                <w:lang w:eastAsia="fr-FR"/>
              </w:rPr>
              <w:t> </w:t>
            </w:r>
            <w:r w:rsidRPr="00455CB7">
              <w:rPr>
                <w:lang w:eastAsia="fr-FR"/>
              </w:rPr>
              <w:t xml:space="preserve">71) : régulations, tâches, objectifs </w:t>
            </w:r>
            <w:r>
              <w:rPr>
                <w:lang w:eastAsia="fr-FR"/>
              </w:rPr>
              <w:t>différenciés,</w:t>
            </w:r>
            <w:r w:rsidRPr="00455CB7">
              <w:rPr>
                <w:lang w:eastAsia="fr-FR"/>
              </w:rPr>
              <w:t xml:space="preserve"> mais conditions (sociales, temporelles…) </w:t>
            </w:r>
            <w:r w:rsidRPr="009F42B6">
              <w:rPr>
                <w:lang w:eastAsia="fr-FR"/>
              </w:rPr>
              <w:t>de réalisation de la tâche similaires ou projet thématique commun</w:t>
            </w:r>
            <w:r w:rsidRPr="00455CB7">
              <w:rPr>
                <w:lang w:eastAsia="fr-FR"/>
              </w:rPr>
              <w:t>.</w:t>
            </w:r>
          </w:p>
        </w:tc>
        <w:tc>
          <w:tcPr>
            <w:tcW w:w="3343"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hideMark/>
          </w:tcPr>
          <w:p w14:paraId="6C2839A3" w14:textId="7E76FE35" w:rsidR="00E339C7" w:rsidRPr="00455CB7" w:rsidRDefault="00E339C7" w:rsidP="007E5C0E">
            <w:pPr>
              <w:pStyle w:val="Corpsdetexte3"/>
              <w:rPr>
                <w:lang w:eastAsia="fr-FR"/>
              </w:rPr>
            </w:pPr>
            <w:r w:rsidRPr="00455CB7">
              <w:rPr>
                <w:lang w:eastAsia="fr-FR"/>
              </w:rPr>
              <w:t>Lors d</w:t>
            </w:r>
            <w:r w:rsidR="000806BF">
              <w:rPr>
                <w:lang w:eastAsia="fr-FR"/>
              </w:rPr>
              <w:t>’</w:t>
            </w:r>
            <w:r w:rsidRPr="00455CB7">
              <w:rPr>
                <w:lang w:eastAsia="fr-FR"/>
              </w:rPr>
              <w:t>un projet d</w:t>
            </w:r>
            <w:r w:rsidR="000806BF">
              <w:rPr>
                <w:lang w:eastAsia="fr-FR"/>
              </w:rPr>
              <w:t>’</w:t>
            </w:r>
            <w:r w:rsidRPr="00455CB7">
              <w:rPr>
                <w:lang w:eastAsia="fr-FR"/>
              </w:rPr>
              <w:t>école sur le système solaire (thème commun), l</w:t>
            </w:r>
            <w:r w:rsidR="000806BF">
              <w:rPr>
                <w:lang w:eastAsia="fr-FR"/>
              </w:rPr>
              <w:t>’</w:t>
            </w:r>
            <w:r w:rsidRPr="00455CB7">
              <w:rPr>
                <w:lang w:eastAsia="fr-FR"/>
              </w:rPr>
              <w:t xml:space="preserve">élève à BEP réalise des </w:t>
            </w:r>
            <w:r>
              <w:rPr>
                <w:lang w:eastAsia="fr-FR"/>
              </w:rPr>
              <w:t>tâches</w:t>
            </w:r>
            <w:r w:rsidRPr="00455CB7">
              <w:rPr>
                <w:lang w:eastAsia="fr-FR"/>
              </w:rPr>
              <w:t xml:space="preserve"> adaptées à ses capacités de compréhension et de manipulation, mais sa production finale s</w:t>
            </w:r>
            <w:r w:rsidR="000806BF">
              <w:rPr>
                <w:lang w:eastAsia="fr-FR"/>
              </w:rPr>
              <w:t>’</w:t>
            </w:r>
            <w:r w:rsidRPr="00455CB7">
              <w:rPr>
                <w:lang w:eastAsia="fr-FR"/>
              </w:rPr>
              <w:t>intègre dans le panneau collectif de la classe.</w:t>
            </w:r>
          </w:p>
        </w:tc>
      </w:tr>
    </w:tbl>
    <w:p w14:paraId="5D1CD695" w14:textId="7BF8BC99" w:rsidR="00E339C7" w:rsidRPr="00455CB7" w:rsidRDefault="00BC0859" w:rsidP="007E5C0E">
      <w:pPr>
        <w:pStyle w:val="Corpsdetexte"/>
        <w:spacing w:before="240"/>
        <w:ind w:firstLine="0"/>
        <w:rPr>
          <w:lang w:eastAsia="fr-FR"/>
        </w:rPr>
      </w:pPr>
      <w:r w:rsidRPr="00037AE3">
        <w:rPr>
          <w:noProof/>
        </w:rPr>
        <mc:AlternateContent>
          <mc:Choice Requires="wps">
            <w:drawing>
              <wp:anchor distT="45720" distB="45720" distL="46990" distR="46990" simplePos="0" relativeHeight="251658240" behindDoc="0" locked="0" layoutInCell="1" allowOverlap="0" wp14:anchorId="6DCC2455" wp14:editId="38A306DB">
                <wp:simplePos x="0" y="0"/>
                <wp:positionH relativeFrom="column">
                  <wp:posOffset>-900430</wp:posOffset>
                </wp:positionH>
                <wp:positionV relativeFrom="paragraph">
                  <wp:posOffset>770255</wp:posOffset>
                </wp:positionV>
                <wp:extent cx="4953000" cy="712470"/>
                <wp:effectExtent l="0" t="0" r="0" b="0"/>
                <wp:wrapTopAndBottom/>
                <wp:docPr id="1343272073"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0" cy="712470"/>
                        </a:xfrm>
                        <a:prstGeom prst="rect">
                          <a:avLst/>
                        </a:prstGeom>
                        <a:noFill/>
                        <a:ln w="9525">
                          <a:noFill/>
                          <a:miter lim="800000"/>
                          <a:headEnd/>
                          <a:tailEnd/>
                        </a:ln>
                      </wps:spPr>
                      <wps:txbx>
                        <w:txbxContent>
                          <w:p w14:paraId="78539514" w14:textId="4AFEFF73" w:rsidR="00ED7DC8" w:rsidRDefault="00223F3F" w:rsidP="00ED7DC8">
                            <w:pPr>
                              <w:pStyle w:val="Hervorhebung1"/>
                              <w:jc w:val="both"/>
                            </w:pPr>
                            <w:r>
                              <w:t>Contrairement aux interventions individualisées, le</w:t>
                            </w:r>
                            <w:r w:rsidR="00D24AB5">
                              <w:t xml:space="preserve"> coenseignement ambitionne </w:t>
                            </w:r>
                            <w:r w:rsidR="001B28C3">
                              <w:rPr>
                                <w:lang w:eastAsia="fr-FR"/>
                              </w:rPr>
                              <w:t>de créer</w:t>
                            </w:r>
                            <w:r w:rsidR="008432CE" w:rsidRPr="00455CB7">
                              <w:rPr>
                                <w:lang w:eastAsia="fr-FR"/>
                              </w:rPr>
                              <w:t xml:space="preserve"> les ponts didactiques et pédagogiques nécessaires pour q</w:t>
                            </w:r>
                            <w:r w:rsidR="001B28C3">
                              <w:rPr>
                                <w:lang w:eastAsia="fr-FR"/>
                              </w:rPr>
                              <w:t>ue l’élève</w:t>
                            </w:r>
                            <w:r w:rsidR="008432CE" w:rsidRPr="00455CB7">
                              <w:rPr>
                                <w:lang w:eastAsia="fr-FR"/>
                              </w:rPr>
                              <w:t xml:space="preserve"> progresse sans jamais être isolé du collectif</w:t>
                            </w:r>
                            <w:r w:rsidR="001B28C3">
                              <w:rPr>
                                <w:lang w:eastAsia="fr-FR"/>
                              </w:rPr>
                              <w:t>.</w:t>
                            </w:r>
                          </w:p>
                          <w:p w14:paraId="556A6194" w14:textId="77777777" w:rsidR="00C24492" w:rsidRDefault="00C24492" w:rsidP="00ED7DC8">
                            <w:pPr>
                              <w:pStyle w:val="Hervorhebung1"/>
                              <w:jc w:val="both"/>
                            </w:pPr>
                          </w:p>
                          <w:p w14:paraId="1029DD33" w14:textId="77777777" w:rsidR="00F04807" w:rsidRPr="0047168D" w:rsidRDefault="00F04807" w:rsidP="00ED7DC8">
                            <w:pPr>
                              <w:pStyle w:val="Hervorhebung1"/>
                              <w:jc w:val="both"/>
                            </w:pP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DCC2455" id="_x0000_t202" coordsize="21600,21600" o:spt="202" path="m,l,21600r21600,l21600,xe">
                <v:stroke joinstyle="miter"/>
                <v:path gradientshapeok="t" o:connecttype="rect"/>
              </v:shapetype>
              <v:shape id="Zone de texte 2" o:spid="_x0000_s1026" type="#_x0000_t202" alt="&quot;&quot;" style="position:absolute;left:0;text-align:left;margin-left:-70.9pt;margin-top:60.65pt;width:390pt;height:56.1pt;z-index:251658240;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UcQ+gEAAM8DAAAOAAAAZHJzL2Uyb0RvYy54bWysU9tu2zAMfR+wfxD0vtjJkqUx4hRduw4D&#10;ugvQ7QMUWY6FSaJGKbGzry8lp2mwvQ17EUhRPOQ5pNbXgzXsoDBocDWfTkrOlJPQaLer+Y/v92+u&#10;OAtRuEYYcKrmRxX49eb1q3XvKzWDDkyjkBGIC1Xva97F6KuiCLJTVoQJeOUo2AJaEcnFXdGg6And&#10;mmJWlu+KHrDxCFKFQLd3Y5BvMn7bKhm/tm1QkZmaU28xn5jPbTqLzVpUOxS+0/LUhviHLqzQjoqe&#10;oe5EFGyP+i8oqyVCgDZOJNgC2lZLlTkQm2n5B5vHTniVuZA4wZ9lCv8PVn45PPpvyOLwHgYaYCYR&#10;/APIn4E5uO2E26kbROg7JRoqPE2SFb0P1Sk1SR2qkEC2/WdoaMhiHyEDDS3apArxZIROAzieRVdD&#10;ZJIu56vF27KkkKTYcjqbL/NUClE9Z3sM8aMCy5JRc6ShZnRxeAgxdSOq5yepmIN7bUwerHGsr/lq&#10;MVvkhIuI1ZH2zmhb8yuqTvVzQiL5wTXZjkKb0aYCxp1YJ6Ij5ThsB3qY2G+hORJ/hHG/6D+Q0QH+&#10;5qyn3ap5+LUXqDgzn1zSsJzPM+WY3fliOSP+mJ1VboZtLyPCSQKreeRsNG9jXuGR7Q2p3eosxEsv&#10;p25pa7I+pw1Pa3np51cv/3DzBAAA//8DAFBLAwQUAAYACAAAACEA76JOr94AAAAMAQAADwAAAGRy&#10;cy9kb3ducmV2LnhtbEyPQUvEMBSE74L/ITzB227SVpe123QRpbBXq+A127xti8lLSdJu/ffGkx6H&#10;GWa+qY6rNWxBH0ZHErKtAIbUOT1SL+HjvdnsgYWoSCvjCCV8Y4BjfXtTqVK7K73h0saepRIKpZIw&#10;xDiVnIduQKvC1k1Iybs4b1VM0vdce3VN5dbwXIgdt2qktDCoCV8G7L7a2UrwUzNb//kkmqVVq/Gv&#10;J9EvJynv79bnA7CIa/wLwy9+Qoc6MZ3dTDowI2GTPWSJPSYnzwpgKbIr9jmws4S8KB6B1xX/f6L+&#10;AQAA//8DAFBLAQItABQABgAIAAAAIQC2gziS/gAAAOEBAAATAAAAAAAAAAAAAAAAAAAAAABbQ29u&#10;dGVudF9UeXBlc10ueG1sUEsBAi0AFAAGAAgAAAAhADj9If/WAAAAlAEAAAsAAAAAAAAAAAAAAAAA&#10;LwEAAF9yZWxzLy5yZWxzUEsBAi0AFAAGAAgAAAAhAH1lRxD6AQAAzwMAAA4AAAAAAAAAAAAAAAAA&#10;LgIAAGRycy9lMm9Eb2MueG1sUEsBAi0AFAAGAAgAAAAhAO+iTq/eAAAADAEAAA8AAAAAAAAAAAAA&#10;AAAAVAQAAGRycy9kb3ducmV2LnhtbFBLBQYAAAAABAAEAPMAAABfBQAAAAA=&#10;" o:allowoverlap="f" filled="f" stroked="f">
                <v:textbox inset="29mm,,2.5mm">
                  <w:txbxContent>
                    <w:p w14:paraId="78539514" w14:textId="4AFEFF73" w:rsidR="00ED7DC8" w:rsidRDefault="00223F3F" w:rsidP="00ED7DC8">
                      <w:pPr>
                        <w:pStyle w:val="Hervorhebung1"/>
                        <w:jc w:val="both"/>
                      </w:pPr>
                      <w:r>
                        <w:t>Contrairement aux interventions individualisées, le</w:t>
                      </w:r>
                      <w:r w:rsidR="00D24AB5">
                        <w:t xml:space="preserve"> coenseignement ambitionne </w:t>
                      </w:r>
                      <w:r w:rsidR="001B28C3">
                        <w:rPr>
                          <w:lang w:eastAsia="fr-FR"/>
                        </w:rPr>
                        <w:t>de créer</w:t>
                      </w:r>
                      <w:r w:rsidR="008432CE" w:rsidRPr="00455CB7">
                        <w:rPr>
                          <w:lang w:eastAsia="fr-FR"/>
                        </w:rPr>
                        <w:t xml:space="preserve"> les ponts didactiques et pédagogiques nécessaires pour q</w:t>
                      </w:r>
                      <w:r w:rsidR="001B28C3">
                        <w:rPr>
                          <w:lang w:eastAsia="fr-FR"/>
                        </w:rPr>
                        <w:t>ue l’élève</w:t>
                      </w:r>
                      <w:r w:rsidR="008432CE" w:rsidRPr="00455CB7">
                        <w:rPr>
                          <w:lang w:eastAsia="fr-FR"/>
                        </w:rPr>
                        <w:t xml:space="preserve"> progresse sans jamais être isolé du collectif</w:t>
                      </w:r>
                      <w:r w:rsidR="001B28C3">
                        <w:rPr>
                          <w:lang w:eastAsia="fr-FR"/>
                        </w:rPr>
                        <w:t>.</w:t>
                      </w:r>
                    </w:p>
                    <w:p w14:paraId="556A6194" w14:textId="77777777" w:rsidR="00C24492" w:rsidRDefault="00C24492" w:rsidP="00ED7DC8">
                      <w:pPr>
                        <w:pStyle w:val="Hervorhebung1"/>
                        <w:jc w:val="both"/>
                      </w:pPr>
                    </w:p>
                    <w:p w14:paraId="1029DD33" w14:textId="77777777" w:rsidR="00F04807" w:rsidRPr="0047168D" w:rsidRDefault="00F04807" w:rsidP="00ED7DC8">
                      <w:pPr>
                        <w:pStyle w:val="Hervorhebung1"/>
                        <w:jc w:val="both"/>
                      </w:pPr>
                    </w:p>
                  </w:txbxContent>
                </v:textbox>
                <w10:wrap type="topAndBottom"/>
              </v:shape>
            </w:pict>
          </mc:Fallback>
        </mc:AlternateContent>
      </w:r>
      <w:r w:rsidR="00E339C7" w:rsidRPr="00455CB7">
        <w:rPr>
          <w:lang w:eastAsia="fr-FR"/>
        </w:rPr>
        <w:t xml:space="preserve">Ainsi, pour soutenir une ou un élève « en grand décalage », il ne s’agit pas de multiplier les interventions individualisées et cloisonnées au sein de la </w:t>
      </w:r>
      <w:r w:rsidR="00E339C7">
        <w:rPr>
          <w:lang w:eastAsia="fr-FR"/>
        </w:rPr>
        <w:t>classe,</w:t>
      </w:r>
      <w:r w:rsidR="00E339C7" w:rsidRPr="00455CB7">
        <w:rPr>
          <w:lang w:eastAsia="fr-FR"/>
        </w:rPr>
        <w:t xml:space="preserve"> mais, au contraire, le coenseignement ambitionne qu’ER et ES créent ensemble les ponts (didactiques et/ou pédagogiques) nécessaires pour qu’elle ou il progresse sans jamais être isolé du collectif.</w:t>
      </w:r>
    </w:p>
    <w:p w14:paraId="3660ED05" w14:textId="3B13A6F4" w:rsidR="00E339C7" w:rsidRPr="00455CB7" w:rsidRDefault="00E339C7" w:rsidP="00C4427F">
      <w:pPr>
        <w:pStyle w:val="Corpsdetexte"/>
        <w:ind w:firstLine="0"/>
      </w:pPr>
      <w:r w:rsidRPr="00455CB7">
        <w:t>Dans cet article, nous interrogeons les pratiques d’enseignement et de collaboration avec la question suivante</w:t>
      </w:r>
      <w:r w:rsidR="001C795E">
        <w:t> </w:t>
      </w:r>
      <w:r w:rsidRPr="00455CB7">
        <w:t>: comment ES et ER coordonnent-ils leur</w:t>
      </w:r>
      <w:r>
        <w:t xml:space="preserve"> activité</w:t>
      </w:r>
      <w:r w:rsidRPr="00455CB7">
        <w:t xml:space="preserve"> </w:t>
      </w:r>
      <w:r>
        <w:t>d’</w:t>
      </w:r>
      <w:r w:rsidRPr="00455CB7">
        <w:t xml:space="preserve">enseignement pour favoriser les apprentissages </w:t>
      </w:r>
      <w:r>
        <w:t>de l’</w:t>
      </w:r>
      <w:r w:rsidRPr="00455CB7">
        <w:t>élève en grande difficulté tout en maintenant son appartenance au groupe-classe</w:t>
      </w:r>
      <w:r>
        <w:t> ?</w:t>
      </w:r>
      <w:r w:rsidRPr="00455CB7">
        <w:t xml:space="preserve"> Pour y répondre, nous décrivons et analysons </w:t>
      </w:r>
      <w:r>
        <w:t>le travail</w:t>
      </w:r>
      <w:r w:rsidRPr="00455CB7">
        <w:t xml:space="preserve"> d’enseignement et de collaboration </w:t>
      </w:r>
      <w:r>
        <w:t>déployé</w:t>
      </w:r>
      <w:r w:rsidRPr="00455CB7">
        <w:t xml:space="preserve"> à deux moments clés dans une classe primaire régulière. Ensuite, nous dégageons les principes sous-jacents de cette collaboration afin de formuler des conditions propices à l</w:t>
      </w:r>
      <w:r w:rsidR="000806BF">
        <w:t>’</w:t>
      </w:r>
      <w:r w:rsidRPr="00455CB7">
        <w:t>accompagnement de ces élèves.</w:t>
      </w:r>
    </w:p>
    <w:p w14:paraId="7864955C" w14:textId="57572AF0" w:rsidR="00964553" w:rsidRPr="001015CF" w:rsidRDefault="00964553" w:rsidP="00964553">
      <w:pPr>
        <w:pStyle w:val="Titre1"/>
      </w:pPr>
      <w:r w:rsidRPr="001015CF">
        <w:t>Méthodologie</w:t>
      </w:r>
    </w:p>
    <w:p w14:paraId="45C2EE25" w14:textId="34427CE4" w:rsidR="00964553" w:rsidRPr="00455CB7" w:rsidRDefault="00964553" w:rsidP="003A2657">
      <w:pPr>
        <w:pStyle w:val="Corpsdetexte"/>
        <w:ind w:firstLine="0"/>
      </w:pPr>
      <w:r w:rsidRPr="00455CB7">
        <w:t>Cette étude s</w:t>
      </w:r>
      <w:r w:rsidR="000806BF">
        <w:t>’</w:t>
      </w:r>
      <w:r w:rsidRPr="00455CB7">
        <w:t xml:space="preserve">appuie sur une recherche-formation menée à Genève </w:t>
      </w:r>
      <w:r>
        <w:t>durant</w:t>
      </w:r>
      <w:r w:rsidRPr="00455CB7">
        <w:t xml:space="preserve"> 13</w:t>
      </w:r>
      <w:r w:rsidR="00C73AD9">
        <w:t> </w:t>
      </w:r>
      <w:r w:rsidRPr="00455CB7">
        <w:t>mois, ayant pour but d</w:t>
      </w:r>
      <w:r w:rsidR="000806BF">
        <w:t>’</w:t>
      </w:r>
      <w:r w:rsidRPr="00455CB7">
        <w:t>accompagner des dyades ES-ER dans l</w:t>
      </w:r>
      <w:r w:rsidR="000806BF">
        <w:t>’</w:t>
      </w:r>
      <w:r w:rsidRPr="00455CB7">
        <w:t xml:space="preserve">analyse de leurs pratiques collaboratives et de les faire évoluer vers davantage de </w:t>
      </w:r>
      <w:proofErr w:type="spellStart"/>
      <w:r w:rsidRPr="00455CB7">
        <w:t>coenseignement</w:t>
      </w:r>
      <w:proofErr w:type="spellEnd"/>
      <w:r>
        <w:t xml:space="preserve"> </w:t>
      </w:r>
      <w:r w:rsidRPr="00455CB7">
        <w:t xml:space="preserve">(Delorme </w:t>
      </w:r>
      <w:r>
        <w:t>&amp;</w:t>
      </w:r>
      <w:r w:rsidRPr="00455CB7">
        <w:t xml:space="preserve"> </w:t>
      </w:r>
      <w:proofErr w:type="spellStart"/>
      <w:r w:rsidRPr="00455CB7">
        <w:t>Chanier</w:t>
      </w:r>
      <w:proofErr w:type="spellEnd"/>
      <w:r w:rsidRPr="00455CB7">
        <w:t>, 2026).</w:t>
      </w:r>
      <w:r>
        <w:t xml:space="preserve"> </w:t>
      </w:r>
      <w:r w:rsidRPr="00455CB7">
        <w:t xml:space="preserve">Pour cet article, nous nous limitons à l’étude </w:t>
      </w:r>
      <w:r>
        <w:t>du travail</w:t>
      </w:r>
      <w:r w:rsidRPr="00455CB7">
        <w:t xml:space="preserve"> de collaboration d’une seule dyade ES-ER</w:t>
      </w:r>
      <w:r>
        <w:t>,</w:t>
      </w:r>
      <w:r w:rsidRPr="00455CB7">
        <w:t xml:space="preserve"> en fin de dispositif. </w:t>
      </w:r>
      <w:r>
        <w:t>L’</w:t>
      </w:r>
      <w:r w:rsidRPr="00455CB7">
        <w:t>ES soutient Rose (prénom d</w:t>
      </w:r>
      <w:r w:rsidR="000806BF">
        <w:t>’</w:t>
      </w:r>
      <w:r w:rsidRPr="00455CB7">
        <w:t>emprunt), une élève de 7</w:t>
      </w:r>
      <w:r w:rsidR="00C73AD9">
        <w:t> </w:t>
      </w:r>
      <w:r w:rsidRPr="00455CB7">
        <w:t xml:space="preserve">ans présentant un trouble du </w:t>
      </w:r>
      <w:r w:rsidRPr="00455CB7">
        <w:lastRenderedPageBreak/>
        <w:t>développement intellectuel (</w:t>
      </w:r>
      <w:r w:rsidRPr="00740706">
        <w:t>TDI</w:t>
      </w:r>
      <w:r w:rsidRPr="00455CB7">
        <w:t xml:space="preserve">), </w:t>
      </w:r>
      <w:r>
        <w:t xml:space="preserve">scolarisée en 3PH puis en 4PH. L’ES intervient auprès de Rose </w:t>
      </w:r>
      <w:r w:rsidRPr="00455CB7">
        <w:t>à la fois en classe et au sein d</w:t>
      </w:r>
      <w:r w:rsidR="000806BF">
        <w:t>’</w:t>
      </w:r>
      <w:r w:rsidRPr="00455CB7">
        <w:t>un centre ressource spécialisé.</w:t>
      </w:r>
    </w:p>
    <w:p w14:paraId="3A82DE05" w14:textId="3F03090C" w:rsidR="00545D6A" w:rsidRDefault="00964553" w:rsidP="004D44AE">
      <w:pPr>
        <w:pStyle w:val="Corpsdetexte"/>
        <w:ind w:firstLine="0"/>
      </w:pPr>
      <w:r w:rsidRPr="00455CB7">
        <w:t xml:space="preserve">Nous nous intéressons spécifiquement à l’articulation </w:t>
      </w:r>
      <w:r>
        <w:t>du</w:t>
      </w:r>
      <w:r w:rsidRPr="00455CB7">
        <w:t xml:space="preserve"> </w:t>
      </w:r>
      <w:r w:rsidRPr="00740706">
        <w:t>soutien</w:t>
      </w:r>
      <w:r w:rsidRPr="00455CB7">
        <w:t xml:space="preserve"> </w:t>
      </w:r>
      <w:r>
        <w:t>à</w:t>
      </w:r>
      <w:r w:rsidRPr="00455CB7">
        <w:t xml:space="preserve"> </w:t>
      </w:r>
      <w:r>
        <w:t>l’</w:t>
      </w:r>
      <w:r w:rsidRPr="00455CB7">
        <w:t xml:space="preserve">activité de la classe selon les </w:t>
      </w:r>
      <w:r w:rsidRPr="00455CB7">
        <w:rPr>
          <w:i/>
          <w:iCs/>
        </w:rPr>
        <w:t xml:space="preserve">pratiques observées </w:t>
      </w:r>
      <w:r w:rsidRPr="00455CB7">
        <w:t>par captation vidéo</w:t>
      </w:r>
      <w:r w:rsidRPr="00455CB7">
        <w:rPr>
          <w:i/>
          <w:iCs/>
        </w:rPr>
        <w:t xml:space="preserve"> et commentées</w:t>
      </w:r>
      <w:r w:rsidRPr="00455CB7">
        <w:t xml:space="preserve"> en entretien (</w:t>
      </w:r>
      <w:r>
        <w:t>voir Sous-chapitre « Épisode</w:t>
      </w:r>
      <w:r w:rsidR="00C73AD9">
        <w:t> </w:t>
      </w:r>
      <w:r>
        <w:t>1 »</w:t>
      </w:r>
      <w:r w:rsidRPr="00455CB7">
        <w:t xml:space="preserve">) et selon les </w:t>
      </w:r>
      <w:r w:rsidRPr="00455CB7">
        <w:rPr>
          <w:i/>
          <w:iCs/>
        </w:rPr>
        <w:t>pratiques rapportées</w:t>
      </w:r>
      <w:r w:rsidRPr="00455CB7">
        <w:t xml:space="preserve"> par </w:t>
      </w:r>
      <w:r>
        <w:t>l’</w:t>
      </w:r>
      <w:r w:rsidRPr="00455CB7">
        <w:t xml:space="preserve">ER et </w:t>
      </w:r>
      <w:r>
        <w:t>l’</w:t>
      </w:r>
      <w:r w:rsidRPr="00455CB7">
        <w:t>ES en entretien (</w:t>
      </w:r>
      <w:r>
        <w:t>voir Sous-chapitre « Épisode</w:t>
      </w:r>
      <w:r w:rsidR="00C73AD9">
        <w:t> </w:t>
      </w:r>
      <w:r>
        <w:t>2 »</w:t>
      </w:r>
      <w:r w:rsidRPr="00455CB7">
        <w:t xml:space="preserve">). </w:t>
      </w:r>
      <w:r>
        <w:t>L</w:t>
      </w:r>
      <w:r w:rsidRPr="00455CB7">
        <w:t>es vidéos sont séquencées dans un synopsis enrichi de verbatims</w:t>
      </w:r>
      <w:r>
        <w:t> ; l</w:t>
      </w:r>
      <w:r w:rsidRPr="00455CB7">
        <w:t xml:space="preserve">es entretiens sont transcrits en intégralité. Puis, une analyse thématique permet de documenter le degré d’articulation didactique et pédagogique des activités, selon les indicateurs suivants : </w:t>
      </w:r>
      <w:r w:rsidRPr="00455CB7">
        <w:rPr>
          <w:i/>
          <w:iCs/>
        </w:rPr>
        <w:t>les savoirs en jeu, les conditions de réalisation de la tâche et la thématique travaillée</w:t>
      </w:r>
      <w:r w:rsidRPr="00455CB7">
        <w:t xml:space="preserve">, dans ses dimensions </w:t>
      </w:r>
      <w:r>
        <w:t>apparentes,</w:t>
      </w:r>
      <w:r w:rsidRPr="00455CB7">
        <w:t xml:space="preserve"> mais aussi intentionnelles (</w:t>
      </w:r>
      <w:proofErr w:type="spellStart"/>
      <w:r w:rsidRPr="00455CB7">
        <w:t>Chanier</w:t>
      </w:r>
      <w:proofErr w:type="spellEnd"/>
      <w:r w:rsidRPr="00455CB7">
        <w:t xml:space="preserve">, </w:t>
      </w:r>
      <w:r w:rsidR="004B068C">
        <w:t>Ouvrage</w:t>
      </w:r>
      <w:r w:rsidR="00664027">
        <w:t xml:space="preserve"> e</w:t>
      </w:r>
      <w:r w:rsidRPr="00455CB7">
        <w:t>n préparation</w:t>
      </w:r>
      <w:r w:rsidR="002662C7">
        <w:t>).</w:t>
      </w:r>
    </w:p>
    <w:p w14:paraId="3CD1DC51" w14:textId="1FE6F65B" w:rsidR="002662C7" w:rsidRPr="00740706" w:rsidRDefault="002662C7" w:rsidP="002662C7">
      <w:pPr>
        <w:pStyle w:val="Titre1"/>
      </w:pPr>
      <w:r>
        <w:t>C</w:t>
      </w:r>
      <w:r w:rsidRPr="00BE176A">
        <w:t>onditions mises en place et articulation</w:t>
      </w:r>
      <w:r>
        <w:t>s</w:t>
      </w:r>
      <w:r w:rsidRPr="00BE176A">
        <w:t xml:space="preserve"> dans l’activité de coenseignement</w:t>
      </w:r>
    </w:p>
    <w:p w14:paraId="79ABECBF" w14:textId="6454AB03" w:rsidR="002662C7" w:rsidRPr="00EC63FC" w:rsidRDefault="002662C7" w:rsidP="00C4427F">
      <w:pPr>
        <w:pStyle w:val="Corpsdetexte"/>
        <w:ind w:firstLine="0"/>
      </w:pPr>
      <w:r w:rsidRPr="00455CB7">
        <w:t xml:space="preserve">Tout au long de la recherche-formation, accompagnées de la chercheuse-formatrice, les deux enseignantes ont échangé et analysé leurs pratiques collaboratives, ainsi que testé plusieurs modalités de coenseignement. Dans le premier épisode, nous sommes en juin de l’année de 3PH. Dans le deuxième épisode, il s’agit des pratiques rapportées par les mêmes enseignantes au mois de novembre de la 4PH, Rose étant toujours dans la même classe. Les différents points d’articulation didactique et/ou pédagogique entre </w:t>
      </w:r>
      <w:r w:rsidRPr="00692776">
        <w:t>l’activité</w:t>
      </w:r>
      <w:r w:rsidRPr="00455CB7">
        <w:t xml:space="preserve"> de soutien et l’activité collective sont mis en évidence.</w:t>
      </w:r>
    </w:p>
    <w:p w14:paraId="53A65CDD" w14:textId="0D45E405" w:rsidR="002662C7" w:rsidRPr="004A4597" w:rsidRDefault="002662C7" w:rsidP="004A4597">
      <w:pPr>
        <w:pStyle w:val="Titre2"/>
      </w:pPr>
      <w:r w:rsidRPr="004A4597">
        <w:t>Épisode</w:t>
      </w:r>
      <w:r w:rsidR="00C73AD9">
        <w:t> </w:t>
      </w:r>
      <w:r w:rsidRPr="004A4597">
        <w:t>1 : Coenseignement « en ateliers » avec articulation complète en mathématiques</w:t>
      </w:r>
    </w:p>
    <w:p w14:paraId="30455F54" w14:textId="79AB9D63" w:rsidR="00AC4E71" w:rsidRDefault="002662C7" w:rsidP="00C4427F">
      <w:pPr>
        <w:pStyle w:val="Corpsdetexte"/>
        <w:ind w:firstLine="0"/>
      </w:pPr>
      <w:r w:rsidRPr="00455CB7">
        <w:t xml:space="preserve">Pendant la récréation, </w:t>
      </w:r>
      <w:r>
        <w:t>l’</w:t>
      </w:r>
      <w:r w:rsidRPr="00455CB7">
        <w:t xml:space="preserve">ER et </w:t>
      </w:r>
      <w:r>
        <w:t>l’</w:t>
      </w:r>
      <w:r w:rsidRPr="00455CB7">
        <w:t xml:space="preserve">ES échangent afin d’anticiper </w:t>
      </w:r>
      <w:r w:rsidRPr="00692776">
        <w:t>les ateliers</w:t>
      </w:r>
      <w:r w:rsidRPr="00455CB7">
        <w:t xml:space="preserve"> de mathématiques à venir. L’objet de cette </w:t>
      </w:r>
      <w:proofErr w:type="spellStart"/>
      <w:r w:rsidRPr="00455CB7">
        <w:t>copréparation</w:t>
      </w:r>
      <w:proofErr w:type="spellEnd"/>
      <w:r w:rsidRPr="00455CB7">
        <w:t xml:space="preserve"> est la réduction de la complexité de la tâche pour le groupe de Rose (constitué de cinq élèves en difficulté), tout en préservant le même savoir disciplinaire pour </w:t>
      </w:r>
      <w:r>
        <w:t>l’ensemble d</w:t>
      </w:r>
      <w:r w:rsidRPr="00455CB7">
        <w:t>es élèves. En classe, l</w:t>
      </w:r>
      <w:r w:rsidR="000806BF">
        <w:t>’</w:t>
      </w:r>
      <w:r w:rsidRPr="00455CB7">
        <w:t>activité s</w:t>
      </w:r>
      <w:r w:rsidR="000806BF">
        <w:t>’</w:t>
      </w:r>
      <w:r w:rsidRPr="00455CB7">
        <w:t>organise en ateliers différenciés</w:t>
      </w:r>
      <w:r>
        <w:t>. Bien que</w:t>
      </w:r>
      <w:r w:rsidRPr="00455CB7">
        <w:t xml:space="preserve"> </w:t>
      </w:r>
      <w:r>
        <w:t>l’</w:t>
      </w:r>
      <w:r w:rsidRPr="00455CB7">
        <w:t>ER pilote le groupe-classe</w:t>
      </w:r>
      <w:r>
        <w:t>, en débutant</w:t>
      </w:r>
      <w:r w:rsidRPr="00455CB7">
        <w:t xml:space="preserve"> et </w:t>
      </w:r>
      <w:r>
        <w:t xml:space="preserve">en </w:t>
      </w:r>
      <w:r w:rsidRPr="00455CB7">
        <w:t>rythm</w:t>
      </w:r>
      <w:r>
        <w:t>ant</w:t>
      </w:r>
      <w:r w:rsidRPr="00455CB7">
        <w:t xml:space="preserve"> la séance, les deux enseignantes prennent chaque groupe successivement </w:t>
      </w:r>
      <w:r w:rsidRPr="00740706">
        <w:t>selon</w:t>
      </w:r>
      <w:r w:rsidRPr="00455CB7">
        <w:t xml:space="preserve"> un tournus. Le premier groupe animé par </w:t>
      </w:r>
      <w:r>
        <w:t>l’</w:t>
      </w:r>
      <w:r w:rsidRPr="00455CB7">
        <w:t>ES est le groupe de Rose. Le groupe est assis en cercle sur un tapis, Rose est à gauche d</w:t>
      </w:r>
      <w:r>
        <w:t>e l’</w:t>
      </w:r>
      <w:r w:rsidRPr="00455CB7">
        <w:t xml:space="preserve">ES. Il s’agit d’un </w:t>
      </w:r>
      <w:r w:rsidRPr="00DE47BC">
        <w:t>jeu</w:t>
      </w:r>
      <w:r w:rsidRPr="00455CB7">
        <w:t xml:space="preserve"> de numération durant lequel les élèves sont invités à deviner des nombres en posant des questions du type « Le nombre mystère est-il plus petit ou plus grand que… ? ». Ainsi, Rose se confronte à la tâche au sein d’un groupe restreint à fort étayage, pour lequel le travail a été aménagé en amont : les nombres à deviner sont compris entre 1 et 20 (50 pour les autres groupes) et une bande numérique permet de restreindre progressivement les possibilités de réponses par le déplacement de jetons. </w:t>
      </w:r>
      <w:r>
        <w:t>L’</w:t>
      </w:r>
      <w:r w:rsidRPr="00455CB7">
        <w:t xml:space="preserve">ES </w:t>
      </w:r>
      <w:proofErr w:type="spellStart"/>
      <w:r w:rsidRPr="00455CB7">
        <w:t>sollicite</w:t>
      </w:r>
      <w:proofErr w:type="spellEnd"/>
      <w:r w:rsidRPr="00455CB7">
        <w:t xml:space="preserve"> chaque élève du groupe et soutient régulièrement le raisonnement de Rose</w:t>
      </w:r>
      <w:r>
        <w:t xml:space="preserve">, qui </w:t>
      </w:r>
      <w:r w:rsidRPr="00455CB7">
        <w:t xml:space="preserve">participe volontiers à la première partie de </w:t>
      </w:r>
      <w:r w:rsidRPr="00DE47BC">
        <w:t>l’atelier</w:t>
      </w:r>
      <w:r w:rsidRPr="00455CB7">
        <w:t>, notamment lorsqu’il s’agit d’écrire le nombre trouvé collectivement sur son ardoise.</w:t>
      </w:r>
    </w:p>
    <w:p w14:paraId="5BD2DE5F" w14:textId="77777777" w:rsidR="00AC4E71" w:rsidRDefault="002662C7" w:rsidP="00AC4E71">
      <w:pPr>
        <w:pStyle w:val="WichtigBox"/>
        <w:rPr>
          <w:b/>
          <w:bCs/>
        </w:rPr>
      </w:pPr>
      <w:r w:rsidRPr="00AC4E71">
        <w:rPr>
          <w:b/>
          <w:bCs/>
        </w:rPr>
        <w:t>Extrait des échanges entre l’ES et Rose</w:t>
      </w:r>
      <w:r w:rsidR="00AC4E71" w:rsidRPr="00AC4E71">
        <w:rPr>
          <w:b/>
          <w:bCs/>
        </w:rPr>
        <w:t xml:space="preserve"> </w:t>
      </w:r>
    </w:p>
    <w:p w14:paraId="398150FF" w14:textId="2E5707CC" w:rsidR="002662C7" w:rsidRPr="00AC4E71" w:rsidRDefault="002662C7" w:rsidP="00AC4E71">
      <w:pPr>
        <w:pStyle w:val="WichtigBox"/>
      </w:pPr>
      <w:r w:rsidRPr="00AC4E71">
        <w:t xml:space="preserve">[3’04’’ après le début de l’atelier] </w:t>
      </w:r>
    </w:p>
    <w:p w14:paraId="310D2353" w14:textId="0730FD7A" w:rsidR="002662C7" w:rsidRPr="00455CB7" w:rsidRDefault="002662C7" w:rsidP="00F53EFF">
      <w:pPr>
        <w:pStyle w:val="WichtigBox"/>
      </w:pPr>
      <w:r w:rsidRPr="00455CB7">
        <w:rPr>
          <w:b/>
          <w:bCs/>
        </w:rPr>
        <w:t>ES</w:t>
      </w:r>
      <w:r w:rsidRPr="00455CB7">
        <w:t xml:space="preserve"> : Alors, j’ai oublié une partie des consignes : </w:t>
      </w:r>
      <w:r>
        <w:t>« </w:t>
      </w:r>
      <w:r w:rsidRPr="00455CB7">
        <w:t>quand vous avez la réponse, vous l’écrivez sur l’ardoise</w:t>
      </w:r>
      <w:r>
        <w:t> »</w:t>
      </w:r>
      <w:r w:rsidRPr="00455CB7">
        <w:t xml:space="preserve">. </w:t>
      </w:r>
      <w:r w:rsidRPr="00455CB7">
        <w:rPr>
          <w:i/>
          <w:iCs/>
        </w:rPr>
        <w:t xml:space="preserve">Distribue des ardoises. </w:t>
      </w:r>
      <w:r w:rsidRPr="00455CB7">
        <w:t xml:space="preserve">Du coup, vous </w:t>
      </w:r>
      <w:r>
        <w:t>n’</w:t>
      </w:r>
      <w:r w:rsidRPr="00455CB7">
        <w:t>avez pas besoin de lever la main car vous allez écrire sur l’ardoise.</w:t>
      </w:r>
    </w:p>
    <w:p w14:paraId="6010F513" w14:textId="261766B3" w:rsidR="002662C7" w:rsidRPr="00455CB7" w:rsidRDefault="002662C7" w:rsidP="00F53EFF">
      <w:pPr>
        <w:pStyle w:val="WichtigBox"/>
      </w:pPr>
      <w:r w:rsidRPr="00455CB7">
        <w:rPr>
          <w:i/>
          <w:iCs/>
        </w:rPr>
        <w:t>S’adressant à Rose</w:t>
      </w:r>
      <w:r w:rsidRPr="00455CB7">
        <w:t xml:space="preserve"> : Tu as vu, Rose, Yasser il a demandé </w:t>
      </w:r>
      <w:r>
        <w:t>« e</w:t>
      </w:r>
      <w:r w:rsidRPr="00455CB7">
        <w:t>st-ce que c’est plus grand (</w:t>
      </w:r>
      <w:r w:rsidRPr="00455CB7">
        <w:rPr>
          <w:i/>
          <w:iCs/>
        </w:rPr>
        <w:t>fait le geste</w:t>
      </w:r>
      <w:r w:rsidRPr="00455CB7">
        <w:t>) que 19 ?</w:t>
      </w:r>
      <w:r>
        <w:t> ».</w:t>
      </w:r>
      <w:r w:rsidRPr="00455CB7">
        <w:t xml:space="preserve"> Et </w:t>
      </w:r>
      <w:r>
        <w:t>moi,</w:t>
      </w:r>
      <w:r w:rsidRPr="00455CB7">
        <w:t xml:space="preserve"> j’ai dit</w:t>
      </w:r>
      <w:r>
        <w:t> : « oui</w:t>
      </w:r>
      <w:r w:rsidRPr="00455CB7">
        <w:t>, c’est plus grand que 19</w:t>
      </w:r>
      <w:r>
        <w:t> »</w:t>
      </w:r>
      <w:r w:rsidRPr="00455CB7">
        <w:t>. Alors</w:t>
      </w:r>
      <w:r>
        <w:t>,</w:t>
      </w:r>
      <w:r w:rsidRPr="00455CB7">
        <w:t xml:space="preserve"> qu’est-ce qui est plus grand que 19 ? Plus grand (</w:t>
      </w:r>
      <w:r w:rsidRPr="00455CB7">
        <w:rPr>
          <w:i/>
          <w:iCs/>
        </w:rPr>
        <w:t>fait le geste et montre la bande numérique avec le jeton</w:t>
      </w:r>
      <w:r w:rsidRPr="00455CB7">
        <w:t>). Regarde, qu’est-ce qu’il y a après (</w:t>
      </w:r>
      <w:r w:rsidRPr="00455CB7">
        <w:rPr>
          <w:i/>
          <w:iCs/>
        </w:rPr>
        <w:t>geste</w:t>
      </w:r>
      <w:r w:rsidRPr="00455CB7">
        <w:t>) ? Parce que quand on te demande ce qui est plus grand (</w:t>
      </w:r>
      <w:r w:rsidRPr="00455CB7">
        <w:rPr>
          <w:i/>
          <w:iCs/>
        </w:rPr>
        <w:t>geste</w:t>
      </w:r>
      <w:r w:rsidRPr="00455CB7">
        <w:t>), ça veut dire que c’est après (</w:t>
      </w:r>
      <w:r w:rsidRPr="00455CB7">
        <w:rPr>
          <w:i/>
          <w:iCs/>
        </w:rPr>
        <w:t>geste</w:t>
      </w:r>
      <w:r w:rsidRPr="00455CB7">
        <w:t>).</w:t>
      </w:r>
    </w:p>
    <w:p w14:paraId="0596D683" w14:textId="0D7AB1C5" w:rsidR="002662C7" w:rsidRPr="00455CB7" w:rsidRDefault="002662C7" w:rsidP="00F53EFF">
      <w:pPr>
        <w:pStyle w:val="WichtigBox"/>
        <w:rPr>
          <w:i/>
          <w:iCs/>
        </w:rPr>
      </w:pPr>
      <w:r w:rsidRPr="00455CB7">
        <w:rPr>
          <w:i/>
          <w:iCs/>
        </w:rPr>
        <w:t>Rose montre le nombre après 19.</w:t>
      </w:r>
    </w:p>
    <w:p w14:paraId="06B015B1" w14:textId="7539144C" w:rsidR="002662C7" w:rsidRPr="00455CB7" w:rsidRDefault="002662C7" w:rsidP="00F53EFF">
      <w:pPr>
        <w:pStyle w:val="WichtigBox"/>
      </w:pPr>
      <w:r w:rsidRPr="00455CB7">
        <w:rPr>
          <w:b/>
          <w:bCs/>
        </w:rPr>
        <w:t>ES</w:t>
      </w:r>
      <w:r w:rsidRPr="00455CB7">
        <w:t xml:space="preserve"> : </w:t>
      </w:r>
      <w:r>
        <w:t>O</w:t>
      </w:r>
      <w:r w:rsidRPr="00455CB7">
        <w:t>uais, ça veut dire que c’est le…</w:t>
      </w:r>
    </w:p>
    <w:p w14:paraId="2C3CE053" w14:textId="07C2BCCF" w:rsidR="002662C7" w:rsidRPr="00455CB7" w:rsidRDefault="002662C7" w:rsidP="00F53EFF">
      <w:pPr>
        <w:pStyle w:val="WichtigBox"/>
      </w:pPr>
      <w:r w:rsidRPr="00455CB7">
        <w:rPr>
          <w:b/>
          <w:bCs/>
        </w:rPr>
        <w:t>Rose</w:t>
      </w:r>
      <w:r w:rsidRPr="00455CB7">
        <w:t> : 20</w:t>
      </w:r>
      <w:r>
        <w:t>.</w:t>
      </w:r>
    </w:p>
    <w:p w14:paraId="36768C65" w14:textId="262EA965" w:rsidR="002662C7" w:rsidRDefault="002662C7" w:rsidP="00F53EFF">
      <w:pPr>
        <w:pStyle w:val="WichtigBox"/>
      </w:pPr>
      <w:r w:rsidRPr="00455CB7">
        <w:rPr>
          <w:b/>
          <w:bCs/>
        </w:rPr>
        <w:t>ES</w:t>
      </w:r>
      <w:r w:rsidRPr="00455CB7">
        <w:t> : 20, alors tu écris (</w:t>
      </w:r>
      <w:r w:rsidRPr="00455CB7">
        <w:rPr>
          <w:i/>
          <w:iCs/>
        </w:rPr>
        <w:t>se retourne vers les autres</w:t>
      </w:r>
      <w:r w:rsidRPr="00455CB7">
        <w:t>). Vous avez tous écrit votre réponse ?</w:t>
      </w:r>
    </w:p>
    <w:p w14:paraId="7CF4DA07" w14:textId="6806893C" w:rsidR="002662C7" w:rsidRPr="00455CB7" w:rsidRDefault="002662C7" w:rsidP="00F53EFF">
      <w:pPr>
        <w:pStyle w:val="WichtigBox"/>
      </w:pPr>
      <w:r w:rsidRPr="00455CB7">
        <w:lastRenderedPageBreak/>
        <w:t xml:space="preserve">Par la suite, Rose ne parvient pas à trouver les nombres. Elle se désengage progressivement, d’abord avec le regard, puis corporellement en s’allongeant au sol sans plus porter attention à </w:t>
      </w:r>
      <w:r>
        <w:t xml:space="preserve">la </w:t>
      </w:r>
      <w:r w:rsidRPr="00DE47BC">
        <w:t>tâche</w:t>
      </w:r>
      <w:r w:rsidRPr="00455CB7">
        <w:t>.</w:t>
      </w:r>
    </w:p>
    <w:p w14:paraId="585D287E" w14:textId="7B7F46D4" w:rsidR="002662C7" w:rsidRPr="00455CB7" w:rsidRDefault="002662C7" w:rsidP="00FF7C11">
      <w:pPr>
        <w:pStyle w:val="Corpsdetexte"/>
        <w:ind w:firstLine="0"/>
      </w:pPr>
      <w:r w:rsidRPr="00455CB7">
        <w:t>Dans cet épisode, les savoirs en jeu, bien que différenciés, sont identiques pour Rose et le reste de la classe</w:t>
      </w:r>
      <w:r>
        <w:t>. L</w:t>
      </w:r>
      <w:r w:rsidRPr="00455CB7">
        <w:t xml:space="preserve">es conditions de réalisation de la tâche sont aménagées pour l’ensemble du </w:t>
      </w:r>
      <w:r>
        <w:t>groupe,</w:t>
      </w:r>
      <w:r w:rsidRPr="00455CB7">
        <w:t xml:space="preserve"> mais restent très semblables aux autres groupes et la thématique travaillée est la comparaison des nombres pour </w:t>
      </w:r>
      <w:r>
        <w:t xml:space="preserve">toutes et </w:t>
      </w:r>
      <w:r w:rsidRPr="00455CB7">
        <w:t xml:space="preserve">tous. L’articulation de </w:t>
      </w:r>
      <w:r w:rsidRPr="0091729C">
        <w:t xml:space="preserve">l’activité </w:t>
      </w:r>
      <w:r w:rsidRPr="00455CB7">
        <w:t xml:space="preserve">de Rose à celle de la classe est donc </w:t>
      </w:r>
      <w:r w:rsidRPr="0091729C">
        <w:rPr>
          <w:i/>
          <w:iCs/>
        </w:rPr>
        <w:t>didactique et pédagogique</w:t>
      </w:r>
      <w:r w:rsidRPr="00455CB7">
        <w:t xml:space="preserve">, dans sa dimension </w:t>
      </w:r>
      <w:r>
        <w:t>apparente,</w:t>
      </w:r>
      <w:r w:rsidRPr="00455CB7">
        <w:t xml:space="preserve"> mais également </w:t>
      </w:r>
      <w:r>
        <w:t>intentionnelle,</w:t>
      </w:r>
      <w:r w:rsidRPr="00455CB7">
        <w:t xml:space="preserve"> puisqu</w:t>
      </w:r>
      <w:r>
        <w:t>e l’</w:t>
      </w:r>
      <w:r w:rsidRPr="00455CB7">
        <w:t xml:space="preserve">ES et </w:t>
      </w:r>
      <w:r>
        <w:t>l’</w:t>
      </w:r>
      <w:r w:rsidRPr="00455CB7">
        <w:t>ER l’ont anticipé en amont.</w:t>
      </w:r>
    </w:p>
    <w:p w14:paraId="08E73D9F" w14:textId="0CF85653" w:rsidR="002662C7" w:rsidRPr="00455CB7" w:rsidRDefault="002662C7" w:rsidP="004F1AD8">
      <w:pPr>
        <w:pStyle w:val="Titre2"/>
      </w:pPr>
      <w:r w:rsidRPr="00455CB7">
        <w:t>Épisode</w:t>
      </w:r>
      <w:r w:rsidR="00C73AD9">
        <w:t> </w:t>
      </w:r>
      <w:r w:rsidRPr="00455CB7">
        <w:t xml:space="preserve">2 : </w:t>
      </w:r>
      <w:r>
        <w:t>C</w:t>
      </w:r>
      <w:r w:rsidRPr="00455CB7">
        <w:t xml:space="preserve">oenseignement </w:t>
      </w:r>
      <w:r>
        <w:t>« </w:t>
      </w:r>
      <w:r w:rsidRPr="00455CB7">
        <w:t>ER enseigne</w:t>
      </w:r>
      <w:r>
        <w:t>,</w:t>
      </w:r>
      <w:r w:rsidRPr="00455CB7">
        <w:t xml:space="preserve"> ES </w:t>
      </w:r>
      <w:proofErr w:type="spellStart"/>
      <w:r w:rsidRPr="00455CB7">
        <w:t>adapte</w:t>
      </w:r>
      <w:proofErr w:type="spellEnd"/>
      <w:r>
        <w:t> »</w:t>
      </w:r>
      <w:r w:rsidRPr="00455CB7">
        <w:t xml:space="preserve"> avec articulation à dominance pédagogique en français</w:t>
      </w:r>
    </w:p>
    <w:p w14:paraId="2A33BA0E" w14:textId="122FC92C" w:rsidR="002662C7" w:rsidRPr="00455CB7" w:rsidRDefault="004C2C1A" w:rsidP="00EC655C">
      <w:pPr>
        <w:pStyle w:val="Corpsdetexte"/>
        <w:ind w:firstLine="0"/>
      </w:pPr>
      <w:r w:rsidRPr="00037AE3">
        <w:rPr>
          <w:noProof/>
        </w:rPr>
        <mc:AlternateContent>
          <mc:Choice Requires="wps">
            <w:drawing>
              <wp:anchor distT="45720" distB="45720" distL="46990" distR="46990" simplePos="0" relativeHeight="251658241" behindDoc="0" locked="0" layoutInCell="1" allowOverlap="0" wp14:anchorId="1D8F7032" wp14:editId="56E1515F">
                <wp:simplePos x="0" y="0"/>
                <wp:positionH relativeFrom="column">
                  <wp:posOffset>-900430</wp:posOffset>
                </wp:positionH>
                <wp:positionV relativeFrom="paragraph">
                  <wp:posOffset>2804795</wp:posOffset>
                </wp:positionV>
                <wp:extent cx="5638800" cy="468000"/>
                <wp:effectExtent l="0" t="0" r="0" b="0"/>
                <wp:wrapTopAndBottom/>
                <wp:docPr id="2110855530"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8800" cy="468000"/>
                        </a:xfrm>
                        <a:prstGeom prst="rect">
                          <a:avLst/>
                        </a:prstGeom>
                        <a:noFill/>
                        <a:ln w="9525">
                          <a:noFill/>
                          <a:miter lim="800000"/>
                          <a:headEnd/>
                          <a:tailEnd/>
                        </a:ln>
                      </wps:spPr>
                      <wps:txbx>
                        <w:txbxContent>
                          <w:p w14:paraId="3F0C0C1F" w14:textId="3A583D37" w:rsidR="00566B45" w:rsidRPr="0047168D" w:rsidRDefault="00E36A21" w:rsidP="00566B45">
                            <w:pPr>
                              <w:pStyle w:val="Hervorhebung1"/>
                              <w:jc w:val="both"/>
                            </w:pPr>
                            <w:r>
                              <w:t>L</w:t>
                            </w:r>
                            <w:r w:rsidR="00002A95" w:rsidRPr="00455CB7">
                              <w:t xml:space="preserve">’activité de soutien </w:t>
                            </w:r>
                            <w:r w:rsidR="00EA5676">
                              <w:t xml:space="preserve">est </w:t>
                            </w:r>
                            <w:r w:rsidR="00002A95" w:rsidRPr="00455CB7">
                              <w:t xml:space="preserve">progressivement </w:t>
                            </w:r>
                            <w:r w:rsidR="00EA5676">
                              <w:t xml:space="preserve">« détachée » </w:t>
                            </w:r>
                            <w:r w:rsidR="00002A95" w:rsidRPr="00455CB7">
                              <w:t xml:space="preserve">de l’activité de la classe, jusqu’à être </w:t>
                            </w:r>
                            <w:r w:rsidR="00002A95">
                              <w:t>complètement</w:t>
                            </w:r>
                            <w:r w:rsidR="00002A95" w:rsidRPr="00455CB7">
                              <w:t xml:space="preserve"> individualisée : l’articulation didactique est ici </w:t>
                            </w:r>
                            <w:r w:rsidR="00002A95" w:rsidRPr="00873602">
                              <w:rPr>
                                <w:iCs/>
                              </w:rPr>
                              <w:t>modérée</w:t>
                            </w:r>
                            <w:r w:rsidR="00002A95" w:rsidRPr="00455CB7">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8F7032" id="_x0000_s1027" type="#_x0000_t202" alt="&quot;&quot;" style="position:absolute;left:0;text-align:left;margin-left:-70.9pt;margin-top:220.85pt;width:444pt;height:36.85pt;z-index:251658241;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t0J+wEAANYDAAAOAAAAZHJzL2Uyb0RvYy54bWysU9tu2zAMfR+wfxD0vtjJkiw14hRduw4D&#10;ugvQ7QNoWY6FyaImKbGzry8lu2mwvQ17EUhRPOQ5pLbXQ6fZUTqv0JR8Pss5k0Zgrcy+5D++37/Z&#10;cOYDmBo0Glnyk/T8evf61ba3hVxgi7qWjhGI8UVvS96GYIss86KVHfgZWmko2KDrIJDr9lntoCf0&#10;TmeLPF9nPbraOhTSe7q9G4N8l/CbRorwtWm8DEyXnHoL6XTprOKZ7bZQ7B3YVompDfiHLjpQhoqe&#10;oe4gADs49RdUp4RDj02YCewybBolZOJAbOb5H2weW7AycSFxvD3L5P8frPhyfLTfHAvDexxogImE&#10;tw8ofnpm8LYFs5c3zmHfSqip8DxKlvXWF1NqlNoXPoJU/WesachwCJiAhsZ1URXiyQidBnA6iy6H&#10;wARdrtZvN5ucQoJiyzWZaSoZFM/Z1vnwUWLHolFyR0NN6HB88CF2A8Xzk1jM4L3SOg1WG9aX/Gq1&#10;WKWEi0inAu2dVl3JY8WxJhSR5AdTp+QASo82FdBmYh2JjpTDUA1M1ZMkUYQK6xPJ4HBcM/oWZLTo&#10;fnPW04qV3P86gJOc6U8mSpkvl7EyC8ldrt4tyHHJuUo9seoyAkYQWMkDZ6N5G9Imj6RvSPRGJT1e&#10;epmapuVJMk2LHrfz0k+vXr7j7gkAAP//AwBQSwMEFAAGAAgAAAAhAB1sO5TfAAAADAEAAA8AAABk&#10;cnMvZG93bnJldi54bWxMjzFPwzAUhHck/oP1kNha25XbQhqnQqBIXUmRWN3YTSLs58h20vDvMROM&#10;pzvdfVceF2fJbEIcPErgawbEYOv1gJ2Ej3O9egISk0KtrEcj4dtEOFb3d6UqtL/hu5mb1JFcgrFQ&#10;EvqUxoLS2PbGqbj2o8HsXX1wKmUZOqqDuuVyZ+mGsR11asC80KvRvPam/WomJyGM9eTC5zOr50Yt&#10;NrydWDefpHx8WF4OQJJZ0l8YfvEzOlSZ6eIn1JFYCSsueGZPEoTgeyA5she7DZCLhC3fCqBVSf+f&#10;qH4AAAD//wMAUEsBAi0AFAAGAAgAAAAhALaDOJL+AAAA4QEAABMAAAAAAAAAAAAAAAAAAAAAAFtD&#10;b250ZW50X1R5cGVzXS54bWxQSwECLQAUAAYACAAAACEAOP0h/9YAAACUAQAACwAAAAAAAAAAAAAA&#10;AAAvAQAAX3JlbHMvLnJlbHNQSwECLQAUAAYACAAAACEAB4rdCfsBAADWAwAADgAAAAAAAAAAAAAA&#10;AAAuAgAAZHJzL2Uyb0RvYy54bWxQSwECLQAUAAYACAAAACEAHWw7lN8AAAAMAQAADwAAAAAAAAAA&#10;AAAAAABVBAAAZHJzL2Rvd25yZXYueG1sUEsFBgAAAAAEAAQA8wAAAGEFAAAAAA==&#10;" o:allowoverlap="f" filled="f" stroked="f">
                <v:textbox inset="29mm,,2.5mm">
                  <w:txbxContent>
                    <w:p w14:paraId="3F0C0C1F" w14:textId="3A583D37" w:rsidR="00566B45" w:rsidRPr="0047168D" w:rsidRDefault="00E36A21" w:rsidP="00566B45">
                      <w:pPr>
                        <w:pStyle w:val="Hervorhebung1"/>
                        <w:jc w:val="both"/>
                      </w:pPr>
                      <w:r>
                        <w:t>L</w:t>
                      </w:r>
                      <w:r w:rsidR="00002A95" w:rsidRPr="00455CB7">
                        <w:t xml:space="preserve">’activité de soutien </w:t>
                      </w:r>
                      <w:r w:rsidR="00EA5676">
                        <w:t xml:space="preserve">est </w:t>
                      </w:r>
                      <w:r w:rsidR="00002A95" w:rsidRPr="00455CB7">
                        <w:t xml:space="preserve">progressivement </w:t>
                      </w:r>
                      <w:r w:rsidR="00EA5676">
                        <w:t xml:space="preserve">« détachée » </w:t>
                      </w:r>
                      <w:r w:rsidR="00002A95" w:rsidRPr="00455CB7">
                        <w:t xml:space="preserve">de l’activité de la classe, jusqu’à être </w:t>
                      </w:r>
                      <w:r w:rsidR="00002A95">
                        <w:t>complètement</w:t>
                      </w:r>
                      <w:r w:rsidR="00002A95" w:rsidRPr="00455CB7">
                        <w:t xml:space="preserve"> individualisée : l’articulation didactique est ici </w:t>
                      </w:r>
                      <w:r w:rsidR="00002A95" w:rsidRPr="00873602">
                        <w:rPr>
                          <w:iCs/>
                        </w:rPr>
                        <w:t>modérée</w:t>
                      </w:r>
                      <w:r w:rsidR="00002A95" w:rsidRPr="00455CB7">
                        <w:t>.</w:t>
                      </w:r>
                    </w:p>
                  </w:txbxContent>
                </v:textbox>
                <w10:wrap type="topAndBottom"/>
              </v:shape>
            </w:pict>
          </mc:Fallback>
        </mc:AlternateContent>
      </w:r>
      <w:r w:rsidR="002662C7" w:rsidRPr="00455CB7">
        <w:t>L’entrée en 4PH marque un tournant</w:t>
      </w:r>
      <w:r w:rsidR="001C795E">
        <w:t> </w:t>
      </w:r>
      <w:r w:rsidR="002662C7" w:rsidRPr="00455CB7">
        <w:t xml:space="preserve">: </w:t>
      </w:r>
      <w:r w:rsidR="002662C7">
        <w:t>l’</w:t>
      </w:r>
      <w:r w:rsidR="002662C7" w:rsidRPr="00455CB7">
        <w:t xml:space="preserve">ES et </w:t>
      </w:r>
      <w:r w:rsidR="002662C7">
        <w:t>l’</w:t>
      </w:r>
      <w:r w:rsidR="002662C7" w:rsidRPr="00455CB7">
        <w:t>ER rapportent que le décalage s’accentue entre le niveau d</w:t>
      </w:r>
      <w:r w:rsidR="000806BF">
        <w:t>’</w:t>
      </w:r>
      <w:r w:rsidR="002662C7" w:rsidRPr="00455CB7">
        <w:t xml:space="preserve">acquisition de Rose et celui de la classe, exigeant des adaptations plus lourdes. Pour y faire face, </w:t>
      </w:r>
      <w:r w:rsidR="002662C7">
        <w:t>l’</w:t>
      </w:r>
      <w:r w:rsidR="002662C7" w:rsidRPr="00455CB7">
        <w:t xml:space="preserve">ES intervient désormais sur une journée complète, permettant à la dyade de </w:t>
      </w:r>
      <w:proofErr w:type="spellStart"/>
      <w:r w:rsidR="002662C7" w:rsidRPr="00455CB7">
        <w:t>copréparer</w:t>
      </w:r>
      <w:proofErr w:type="spellEnd"/>
      <w:r w:rsidR="002662C7" w:rsidRPr="00455CB7">
        <w:t xml:space="preserve"> formellement les séances à venir sur la pause de midi. Dans la discipline du français, en particulier, </w:t>
      </w:r>
      <w:r w:rsidR="002662C7">
        <w:t>l’</w:t>
      </w:r>
      <w:r w:rsidR="002662C7" w:rsidRPr="00455CB7">
        <w:t xml:space="preserve">ER rapporte mener le temps collectif en tenant compte des besoins de Rose, en essayant d’être le plus explicite possible et de réactualiser les éléments notionnels que Rose </w:t>
      </w:r>
      <w:r w:rsidR="002662C7">
        <w:t>connait</w:t>
      </w:r>
      <w:r w:rsidR="002662C7" w:rsidRPr="00455CB7">
        <w:t xml:space="preserve">. Elle se forme et utilise les gestes Makaton lors des temps collectifs avec l’intention de permettre la participation de Rose. </w:t>
      </w:r>
      <w:r w:rsidR="002662C7">
        <w:t>L’</w:t>
      </w:r>
      <w:r w:rsidR="002662C7" w:rsidRPr="00455CB7">
        <w:t xml:space="preserve">ES </w:t>
      </w:r>
      <w:proofErr w:type="spellStart"/>
      <w:r w:rsidR="002662C7" w:rsidRPr="00455CB7">
        <w:t>rapporte</w:t>
      </w:r>
      <w:proofErr w:type="spellEnd"/>
      <w:r w:rsidR="002662C7" w:rsidRPr="00455CB7">
        <w:t>, quant à elle, se tenir en retrait pour permettre à Rose la plus grande autonomie possible. Puis</w:t>
      </w:r>
      <w:r w:rsidR="002662C7">
        <w:t>,</w:t>
      </w:r>
      <w:r w:rsidR="002662C7" w:rsidRPr="00455CB7">
        <w:t xml:space="preserve"> les consignes se différencient lorsqu’il s’agit de mettre les élèves sur un travail individuel. Rose réalise alors le même type de tâche ou travaille sur une fiche </w:t>
      </w:r>
      <w:r w:rsidR="002662C7">
        <w:t>similaire,</w:t>
      </w:r>
      <w:r w:rsidR="002662C7" w:rsidRPr="00455CB7">
        <w:t xml:space="preserve"> mais avec des objectifs différenciés. C’est </w:t>
      </w:r>
      <w:r w:rsidR="002662C7">
        <w:t>principalement l’</w:t>
      </w:r>
      <w:r w:rsidR="002662C7" w:rsidRPr="00455CB7">
        <w:t xml:space="preserve">ES qui propose et guide </w:t>
      </w:r>
      <w:r w:rsidR="002662C7">
        <w:t>les tâches</w:t>
      </w:r>
      <w:r w:rsidR="002662C7" w:rsidRPr="00455CB7">
        <w:t xml:space="preserve"> de Rose. Par exemple, lors d’une séance sur le son [</w:t>
      </w:r>
      <w:r w:rsidR="002662C7" w:rsidRPr="00455CB7">
        <w:rPr>
          <w:rFonts w:cs="Calibri"/>
        </w:rPr>
        <w:t>ã</w:t>
      </w:r>
      <w:r w:rsidR="002662C7" w:rsidRPr="00455CB7">
        <w:t xml:space="preserve">], </w:t>
      </w:r>
      <w:r w:rsidR="002662C7">
        <w:t>l’</w:t>
      </w:r>
      <w:r w:rsidR="002662C7" w:rsidRPr="00455CB7">
        <w:t>ER procède à un rappel collectif du son, d’exemples de mots contenant le son [</w:t>
      </w:r>
      <w:r w:rsidR="002662C7" w:rsidRPr="00455CB7">
        <w:rPr>
          <w:rFonts w:cs="Calibri"/>
        </w:rPr>
        <w:t>ã</w:t>
      </w:r>
      <w:r w:rsidR="002662C7" w:rsidRPr="00455CB7">
        <w:t xml:space="preserve">] et le repérage des di- ou trigrammes contenant la lettre </w:t>
      </w:r>
      <w:r w:rsidR="002662C7">
        <w:t>« </w:t>
      </w:r>
      <w:r w:rsidR="002662C7" w:rsidRPr="00455CB7">
        <w:t>a</w:t>
      </w:r>
      <w:r w:rsidR="002662C7">
        <w:t> »</w:t>
      </w:r>
      <w:r w:rsidR="002662C7" w:rsidRPr="00455CB7">
        <w:t xml:space="preserve">. Puis le groupe-classe est invité à effectuer un exercice issu des </w:t>
      </w:r>
      <w:r w:rsidR="002662C7">
        <w:t>M</w:t>
      </w:r>
      <w:r w:rsidR="002662C7" w:rsidRPr="00455CB7">
        <w:t>oyens d’enseignement</w:t>
      </w:r>
      <w:r w:rsidR="002662C7">
        <w:t xml:space="preserve"> romands (MER)</w:t>
      </w:r>
      <w:r w:rsidR="002662C7" w:rsidRPr="00455CB7">
        <w:t xml:space="preserve">, avec comme objectifs la reconnaissance des graphèmes complexes contenant la lettre </w:t>
      </w:r>
      <w:r w:rsidR="002662C7">
        <w:t>« </w:t>
      </w:r>
      <w:r w:rsidR="002662C7" w:rsidRPr="00455CB7">
        <w:t>a</w:t>
      </w:r>
      <w:r w:rsidR="002662C7">
        <w:t> »</w:t>
      </w:r>
      <w:r w:rsidR="002662C7" w:rsidRPr="00455CB7">
        <w:t xml:space="preserve"> et l’identification des différentes graphies du son [</w:t>
      </w:r>
      <w:r w:rsidR="002662C7" w:rsidRPr="00455CB7">
        <w:rPr>
          <w:rFonts w:cs="Calibri"/>
        </w:rPr>
        <w:t>ã</w:t>
      </w:r>
      <w:r w:rsidR="002662C7" w:rsidRPr="00455CB7">
        <w:t xml:space="preserve">]. De son côté, </w:t>
      </w:r>
      <w:r w:rsidR="002662C7">
        <w:t xml:space="preserve">supervisée par l’ES, </w:t>
      </w:r>
      <w:r w:rsidR="002662C7" w:rsidRPr="00455CB7">
        <w:t xml:space="preserve">Rose </w:t>
      </w:r>
      <w:r w:rsidR="002662C7">
        <w:t>exerce</w:t>
      </w:r>
      <w:r w:rsidR="002662C7" w:rsidRPr="00455CB7">
        <w:t xml:space="preserve"> </w:t>
      </w:r>
      <w:r w:rsidR="002662C7">
        <w:t xml:space="preserve">la lecture </w:t>
      </w:r>
      <w:r w:rsidR="002662C7" w:rsidRPr="00455CB7">
        <w:t>sur une fiche adaptée à ses besoins, visant le décodage du digramme AN.</w:t>
      </w:r>
    </w:p>
    <w:p w14:paraId="1D7574E5" w14:textId="60F9839C" w:rsidR="002662C7" w:rsidRPr="00455CB7" w:rsidRDefault="002662C7" w:rsidP="00EC655C">
      <w:pPr>
        <w:pStyle w:val="Corpsdetexte"/>
        <w:ind w:firstLine="0"/>
      </w:pPr>
      <w:r w:rsidRPr="00455CB7">
        <w:t xml:space="preserve">Dans cet épisode, l’activité de soutien est progressivement « détachée » de l’activité de la classe, jusqu’à être </w:t>
      </w:r>
      <w:r>
        <w:t>complètement</w:t>
      </w:r>
      <w:r w:rsidRPr="00455CB7">
        <w:t xml:space="preserve"> individualisée : l’articulation didactique est ici </w:t>
      </w:r>
      <w:r w:rsidRPr="00873602">
        <w:rPr>
          <w:i/>
          <w:iCs/>
        </w:rPr>
        <w:t>modérée</w:t>
      </w:r>
      <w:r w:rsidRPr="00455CB7">
        <w:t xml:space="preserve">. Toutefois, les </w:t>
      </w:r>
      <w:r>
        <w:t>tâches des élèves</w:t>
      </w:r>
      <w:r w:rsidRPr="00455CB7">
        <w:t xml:space="preserve"> </w:t>
      </w:r>
      <w:r>
        <w:t>sont effectuées</w:t>
      </w:r>
      <w:r w:rsidRPr="00455CB7">
        <w:t xml:space="preserve"> en même temps, dans le même lieu (la classe) et concernent la même thématique disciplinaire</w:t>
      </w:r>
      <w:r w:rsidRPr="00DE1192">
        <w:t xml:space="preserve">. Même si les conditions sociales de réalisation de la tâche ne sont pas </w:t>
      </w:r>
      <w:r>
        <w:t>complètement</w:t>
      </w:r>
      <w:r w:rsidRPr="00DE1192">
        <w:t xml:space="preserve"> identiques, l’articulation est à </w:t>
      </w:r>
      <w:r w:rsidRPr="00DE1192">
        <w:rPr>
          <w:i/>
          <w:iCs/>
        </w:rPr>
        <w:t>dominance pédagogique</w:t>
      </w:r>
      <w:r w:rsidRPr="00DE1192">
        <w:t xml:space="preserve"> par les dimensions </w:t>
      </w:r>
      <w:r>
        <w:t>spatio-temporelles</w:t>
      </w:r>
      <w:r w:rsidRPr="00DE1192">
        <w:t xml:space="preserve"> et thématiques.</w:t>
      </w:r>
    </w:p>
    <w:p w14:paraId="3E122572" w14:textId="6A9F8CED" w:rsidR="002662C7" w:rsidRPr="00455CB7" w:rsidRDefault="002662C7" w:rsidP="002662C7">
      <w:pPr>
        <w:pStyle w:val="Titre1"/>
      </w:pPr>
      <w:r w:rsidRPr="00455CB7">
        <w:t>Discussion conclusive</w:t>
      </w:r>
    </w:p>
    <w:p w14:paraId="59335F5A" w14:textId="3544378E" w:rsidR="002662C7" w:rsidRPr="00455CB7" w:rsidRDefault="002662C7" w:rsidP="00EC655C">
      <w:pPr>
        <w:pStyle w:val="Corpsdetexte"/>
        <w:ind w:firstLine="0"/>
      </w:pPr>
      <w:r w:rsidRPr="00455CB7">
        <w:t>Lors du premier épisode, les enseignantes ont anticipé ensemble les difficultés et les aménagements pour un groupe d’élèves à BEP</w:t>
      </w:r>
      <w:r>
        <w:t xml:space="preserve"> et elles</w:t>
      </w:r>
      <w:r w:rsidRPr="00455CB7">
        <w:t xml:space="preserve"> ont coenseigné avec une intention </w:t>
      </w:r>
      <w:r w:rsidRPr="00273429">
        <w:t>d</w:t>
      </w:r>
      <w:r w:rsidR="000806BF">
        <w:t>’</w:t>
      </w:r>
      <w:r w:rsidRPr="00273429">
        <w:t>articulation complète, didactique et pédagogique.</w:t>
      </w:r>
      <w:r w:rsidRPr="00455CB7">
        <w:t xml:space="preserve"> Cependant, nous constatons que si cette séance est suffisamment étayée pour les élèves du groupe, pour Rose, en revanche, la compétence en jeu reste difficilement accessible. Elle nécessite un guidage très important et Rose semble fonctionner davantage par mimétisme que par compréhension à ce moment-là. Toutefois, </w:t>
      </w:r>
      <w:r>
        <w:t>l’</w:t>
      </w:r>
      <w:r w:rsidRPr="00455CB7">
        <w:t xml:space="preserve">ES poursuit </w:t>
      </w:r>
      <w:r w:rsidRPr="00DE1192">
        <w:t>l’atelier</w:t>
      </w:r>
      <w:r w:rsidRPr="00455CB7">
        <w:t xml:space="preserve"> avec le groupe et exprime son intention de reprendre la tâche de manière individuelle ultérieurement.</w:t>
      </w:r>
    </w:p>
    <w:p w14:paraId="22DDF0D7" w14:textId="0C23C48D" w:rsidR="002662C7" w:rsidRPr="00455CB7" w:rsidRDefault="002662C7" w:rsidP="009D7A85">
      <w:pPr>
        <w:pStyle w:val="Corpsdetexte"/>
      </w:pPr>
      <w:r w:rsidRPr="00455CB7">
        <w:t>Dans le deuxième épisode, l’articulation didactique s’affaiblit en raison de savoirs devenus trop éloignés et c</w:t>
      </w:r>
      <w:r w:rsidR="000806BF">
        <w:t>’</w:t>
      </w:r>
      <w:r w:rsidRPr="00455CB7">
        <w:t>est une autre forme d’articulation qui prend le relai</w:t>
      </w:r>
      <w:r w:rsidR="001C795E">
        <w:t> </w:t>
      </w:r>
      <w:r w:rsidRPr="00455CB7">
        <w:t xml:space="preserve">: </w:t>
      </w:r>
      <w:r>
        <w:t>l’</w:t>
      </w:r>
      <w:r w:rsidRPr="00455CB7">
        <w:t xml:space="preserve">ER et </w:t>
      </w:r>
      <w:r>
        <w:t>l’</w:t>
      </w:r>
      <w:r w:rsidRPr="00455CB7">
        <w:t xml:space="preserve">ES se concertent en amont pour planifier les </w:t>
      </w:r>
      <w:r>
        <w:t>tâches</w:t>
      </w:r>
      <w:r w:rsidRPr="00455CB7">
        <w:t xml:space="preserve"> et adapter celles de Rose. L’articulation est alors davantage pédagogique que didactique. C’est par la synchronicité de la thématique disciplinaire que </w:t>
      </w:r>
      <w:r w:rsidRPr="00B46397">
        <w:t xml:space="preserve">l’activité spécifique de Rose est toujours minimalement coordonnée à celle de la classe. </w:t>
      </w:r>
      <w:r w:rsidRPr="00B46397">
        <w:lastRenderedPageBreak/>
        <w:t>Par ce choix</w:t>
      </w:r>
      <w:r w:rsidRPr="00455CB7">
        <w:t xml:space="preserve"> conscient, la dyade donne la priorité aux apprentissages </w:t>
      </w:r>
      <w:r>
        <w:t xml:space="preserve">spécifiques </w:t>
      </w:r>
      <w:r w:rsidRPr="00455CB7">
        <w:t>de l</w:t>
      </w:r>
      <w:r w:rsidR="000806BF">
        <w:t>’</w:t>
      </w:r>
      <w:r w:rsidRPr="00455CB7">
        <w:t>élève, quitte à s</w:t>
      </w:r>
      <w:r w:rsidR="000806BF">
        <w:t>’</w:t>
      </w:r>
      <w:r w:rsidRPr="00455CB7">
        <w:t>éloigner parfois du rythme d</w:t>
      </w:r>
      <w:r w:rsidR="000806BF">
        <w:t>’</w:t>
      </w:r>
      <w:r w:rsidRPr="00455CB7">
        <w:t>avancement du collectif, mais veille également à son appartenance au groupe.</w:t>
      </w:r>
      <w:r w:rsidRPr="00455CB7">
        <w:rPr>
          <w:b/>
          <w:bCs/>
        </w:rPr>
        <w:t xml:space="preserve"> </w:t>
      </w:r>
      <w:r w:rsidRPr="00455CB7">
        <w:t xml:space="preserve">Dans ce travail conjoint ajusté aux besoins de Rose, l’articulation est cette fois à </w:t>
      </w:r>
      <w:r w:rsidRPr="00B46397">
        <w:t>dominance pédagogique</w:t>
      </w:r>
      <w:r w:rsidRPr="00455CB7">
        <w:rPr>
          <w:i/>
          <w:iCs/>
        </w:rPr>
        <w:t xml:space="preserve"> </w:t>
      </w:r>
      <w:r w:rsidRPr="00455CB7">
        <w:t>(par la thématique travaillée).</w:t>
      </w:r>
    </w:p>
    <w:p w14:paraId="376D2639" w14:textId="242B63F5" w:rsidR="002662C7" w:rsidRPr="00455CB7" w:rsidRDefault="002662C7" w:rsidP="004D44AE">
      <w:pPr>
        <w:pStyle w:val="Corpsdetexte"/>
        <w:ind w:firstLine="0"/>
      </w:pPr>
      <w:r w:rsidRPr="00455CB7">
        <w:t>Notre étude de cas montre combien l’articulation didactique peut être difficile à préserver lorsque le décalage dans les savoirs est important. Néanmoins</w:t>
      </w:r>
      <w:r>
        <w:t>,</w:t>
      </w:r>
      <w:r w:rsidRPr="00455CB7">
        <w:t xml:space="preserve"> il émerge de nos épisodes un processus qui prend la forme d’une </w:t>
      </w:r>
      <w:r w:rsidRPr="00455CB7">
        <w:rPr>
          <w:i/>
          <w:iCs/>
        </w:rPr>
        <w:t>boucle d’articulation didactique</w:t>
      </w:r>
      <w:r w:rsidRPr="00455CB7">
        <w:t xml:space="preserve"> faisant naviguer l</w:t>
      </w:r>
      <w:r w:rsidR="000806BF">
        <w:t>’</w:t>
      </w:r>
      <w:r w:rsidRPr="00455CB7">
        <w:t>élève entre différents espaces spécifiques et collectifs. Tout commence au sein du système didactique principal (</w:t>
      </w:r>
      <w:proofErr w:type="spellStart"/>
      <w:r w:rsidRPr="00455CB7">
        <w:t>Assude</w:t>
      </w:r>
      <w:proofErr w:type="spellEnd"/>
      <w:r w:rsidRPr="00455CB7">
        <w:t xml:space="preserve"> </w:t>
      </w:r>
      <w:r>
        <w:t>&amp;</w:t>
      </w:r>
      <w:r w:rsidRPr="00455CB7">
        <w:t xml:space="preserve"> </w:t>
      </w:r>
      <w:r>
        <w:t>Millon-Fauré</w:t>
      </w:r>
      <w:r w:rsidRPr="00455CB7">
        <w:t>, 2021), la classe, qui sert d</w:t>
      </w:r>
      <w:r w:rsidR="000806BF">
        <w:t>’</w:t>
      </w:r>
      <w:r w:rsidRPr="00455CB7">
        <w:t>amorce essentielle pour susciter l</w:t>
      </w:r>
      <w:r w:rsidR="000806BF">
        <w:t>’</w:t>
      </w:r>
      <w:r w:rsidRPr="00455CB7">
        <w:t xml:space="preserve">intérêt de Rose pour un objet de savoir </w:t>
      </w:r>
      <w:proofErr w:type="gramStart"/>
      <w:r w:rsidRPr="00455CB7">
        <w:t>partagé</w:t>
      </w:r>
      <w:proofErr w:type="gramEnd"/>
      <w:r w:rsidRPr="00455CB7">
        <w:t xml:space="preserve"> (ici, la comparaison des nombres ou le son [ã]). </w:t>
      </w:r>
      <w:r>
        <w:t>Ensuite, l</w:t>
      </w:r>
      <w:r w:rsidR="000806BF">
        <w:t>’</w:t>
      </w:r>
      <w:r w:rsidRPr="00455CB7">
        <w:t>action se déplace vers les systèmes didactiques auxiliaires (soutien individuel et centre ressource), où s’organisent le renforcement individualisé et les adaptations nécessaires pour garantir l</w:t>
      </w:r>
      <w:r w:rsidR="000806BF">
        <w:t>’</w:t>
      </w:r>
      <w:r w:rsidRPr="00455CB7">
        <w:t xml:space="preserve">accessibilité des contenus. Grâce à la régulation </w:t>
      </w:r>
      <w:r>
        <w:t>proactive</w:t>
      </w:r>
      <w:r w:rsidRPr="00455CB7">
        <w:t xml:space="preserve"> de l’ES, le retour au système principal permet à l</w:t>
      </w:r>
      <w:r w:rsidR="000806BF">
        <w:t>’</w:t>
      </w:r>
      <w:r w:rsidRPr="00455CB7">
        <w:t>élève de réintégrer la nouvelle activité collective de manière active. Cette circularité, si elle est structurante, exige néanmoins un temps d’enseignement long pour chaque objet de savoir. Ce constat rappelle la nécessité de prioriser et de cibler finement les compétences clés à travailler (Tambone</w:t>
      </w:r>
      <w:r>
        <w:t xml:space="preserve">, </w:t>
      </w:r>
      <w:r w:rsidRPr="00455CB7">
        <w:t>2014).</w:t>
      </w:r>
    </w:p>
    <w:p w14:paraId="7160226F" w14:textId="7CEC5674" w:rsidR="002662C7" w:rsidRPr="00455CB7" w:rsidRDefault="00344C67" w:rsidP="009D7A85">
      <w:pPr>
        <w:pStyle w:val="Corpsdetexte"/>
      </w:pPr>
      <w:r w:rsidRPr="00037AE3">
        <w:rPr>
          <w:noProof/>
        </w:rPr>
        <mc:AlternateContent>
          <mc:Choice Requires="wps">
            <w:drawing>
              <wp:anchor distT="45720" distB="45720" distL="46990" distR="46990" simplePos="0" relativeHeight="251658242" behindDoc="0" locked="0" layoutInCell="1" allowOverlap="0" wp14:anchorId="112A36E0" wp14:editId="1E01442C">
                <wp:simplePos x="0" y="0"/>
                <wp:positionH relativeFrom="column">
                  <wp:posOffset>-900430</wp:posOffset>
                </wp:positionH>
                <wp:positionV relativeFrom="paragraph">
                  <wp:posOffset>2009140</wp:posOffset>
                </wp:positionV>
                <wp:extent cx="5616000" cy="476250"/>
                <wp:effectExtent l="0" t="0" r="0" b="0"/>
                <wp:wrapTopAndBottom/>
                <wp:docPr id="1372600134"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6000" cy="476250"/>
                        </a:xfrm>
                        <a:prstGeom prst="rect">
                          <a:avLst/>
                        </a:prstGeom>
                        <a:noFill/>
                        <a:ln w="9525">
                          <a:noFill/>
                          <a:miter lim="800000"/>
                          <a:headEnd/>
                          <a:tailEnd/>
                        </a:ln>
                      </wps:spPr>
                      <wps:txbx>
                        <w:txbxContent>
                          <w:p w14:paraId="689A7EBC" w14:textId="5F93BC47" w:rsidR="00566B45" w:rsidRPr="0047168D" w:rsidRDefault="008352F5" w:rsidP="00566B45">
                            <w:pPr>
                              <w:pStyle w:val="Hervorhebung1"/>
                              <w:jc w:val="both"/>
                            </w:pPr>
                            <w:r>
                              <w:t>S</w:t>
                            </w:r>
                            <w:r w:rsidRPr="00455CB7">
                              <w:t xml:space="preserve">colariser un élève présentant un décalage important dans les savoirs disciplinaires exige une articulation minutieuse de </w:t>
                            </w:r>
                            <w:r>
                              <w:t>l’</w:t>
                            </w:r>
                            <w:r w:rsidRPr="00455CB7">
                              <w:t xml:space="preserve">activité individuelle </w:t>
                            </w:r>
                            <w:r>
                              <w:t>à l’activité</w:t>
                            </w:r>
                            <w:r w:rsidRPr="00455CB7">
                              <w:t xml:space="preserve"> collective.</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2A36E0" id="_x0000_s1028" type="#_x0000_t202" alt="&quot;&quot;" style="position:absolute;left:0;text-align:left;margin-left:-70.9pt;margin-top:158.2pt;width:442.2pt;height:37.5pt;z-index:251658242;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PVb/gEAANYDAAAOAAAAZHJzL2Uyb0RvYy54bWysU8Fu2zAMvQ/YPwi6L3aMJG2NKEXXrsOA&#10;rhvQ9QMUWY6FSaImKbGzrx8lu2mw3YpdBFIUH/keqfX1YDQ5SB8UWEbns5ISaQU0yu4Yff5x/+GS&#10;khC5bbgGKxk9ykCvN+/frXtXywo60I30BEFsqHvHaBejq4siiE4aHmbgpMVgC97wiK7fFY3nPaIb&#10;XVRluSp68I3zIGQIeHs3Bukm47etFPFb2wYZiWYUe4v59PncprPYrHm989x1Skxt8Dd0YbiyWPQE&#10;dccjJ3uv/oEySngI0MaZAFNA2yohMwdkMy//YvPUcSczFxQnuJNM4f/BisfDk/vuSRw+woADzCSC&#10;ewDxMxALtx23O3njPfSd5A0WnifJit6FekpNUoc6JJBt/xUaHDLfR8hAQ+tNUgV5EkTHARxPossh&#10;EoGXy9V8VZYYEhhbXKyqZZ5KweuXbOdD/CzBkGQw6nGoGZ0fHkJM3fD65UkqZuFeaZ0Hqy3pGb1a&#10;VsuccBYxKuLeaWUYvcTqWD8nJJKfbJPtyJUebSyg7cQ6ER0px2E7ENUwWqXcJMIWmiPK4GFcM/wW&#10;aHTgf1PS44oxGn7tuZeU6C82SVkuFpl5zO5ieVGhDD47V7knsj2PcCsQjNFIyWjexrzJI+kbFL1V&#10;WY/XXqamcXmyTNOip+089/Or1++4+QMAAP//AwBQSwMEFAAGAAgAAAAhAEBQtMXfAAAADAEAAA8A&#10;AABkcnMvZG93bnJldi54bWxMj81OwzAQhO9IvIO1SNxaxyUKNI1TIVCkXglIXLfxkkT1T2Q7aXh7&#10;zAmOOzua+aY6rkazhXwYnZUgthkwsp1To+0lfLw3mydgIaJVqJ0lCd8U4Fjf3lRYKne1b7S0sWcp&#10;xIYSJQwxTiXnoRvIYNi6iWz6fTlvMKbT91x5vKZwo/kuywpucLSpYcCJXgbqLu1sJPipmY3/3GfN&#10;0uKq/esp65eTlPd36/MBWKQ1/pnhFz+hQ52Yzm62KjAtYSNykdijhAdR5MCS5THfFcDOSdmLHHhd&#10;8f8j6h8AAAD//wMAUEsBAi0AFAAGAAgAAAAhALaDOJL+AAAA4QEAABMAAAAAAAAAAAAAAAAAAAAA&#10;AFtDb250ZW50X1R5cGVzXS54bWxQSwECLQAUAAYACAAAACEAOP0h/9YAAACUAQAACwAAAAAAAAAA&#10;AAAAAAAvAQAAX3JlbHMvLnJlbHNQSwECLQAUAAYACAAAACEAqhj1W/4BAADWAwAADgAAAAAAAAAA&#10;AAAAAAAuAgAAZHJzL2Uyb0RvYy54bWxQSwECLQAUAAYACAAAACEAQFC0xd8AAAAMAQAADwAAAAAA&#10;AAAAAAAAAABYBAAAZHJzL2Rvd25yZXYueG1sUEsFBgAAAAAEAAQA8wAAAGQFAAAAAA==&#10;" o:allowoverlap="f" filled="f" stroked="f">
                <v:textbox inset="29mm,,2.5mm">
                  <w:txbxContent>
                    <w:p w14:paraId="689A7EBC" w14:textId="5F93BC47" w:rsidR="00566B45" w:rsidRPr="0047168D" w:rsidRDefault="008352F5" w:rsidP="00566B45">
                      <w:pPr>
                        <w:pStyle w:val="Hervorhebung1"/>
                        <w:jc w:val="both"/>
                      </w:pPr>
                      <w:r>
                        <w:t>S</w:t>
                      </w:r>
                      <w:r w:rsidRPr="00455CB7">
                        <w:t xml:space="preserve">colariser un élève présentant un décalage important dans les savoirs disciplinaires exige une articulation minutieuse de </w:t>
                      </w:r>
                      <w:r>
                        <w:t>l’</w:t>
                      </w:r>
                      <w:r w:rsidRPr="00455CB7">
                        <w:t xml:space="preserve">activité individuelle </w:t>
                      </w:r>
                      <w:r>
                        <w:t>à l’activité</w:t>
                      </w:r>
                      <w:r w:rsidRPr="00455CB7">
                        <w:t xml:space="preserve"> collective.</w:t>
                      </w:r>
                    </w:p>
                  </w:txbxContent>
                </v:textbox>
                <w10:wrap type="topAndBottom"/>
              </v:shape>
            </w:pict>
          </mc:Fallback>
        </mc:AlternateContent>
      </w:r>
      <w:r w:rsidR="002662C7" w:rsidRPr="00455CB7">
        <w:t>Nos observations en 4PH révèlent une configuration à dominance pédagogique, où le maintien d</w:t>
      </w:r>
      <w:r w:rsidR="000806BF">
        <w:t>’</w:t>
      </w:r>
      <w:r w:rsidR="002662C7" w:rsidRPr="00455CB7">
        <w:t>une synchronicité de la thématique disciplinaire travaillée l</w:t>
      </w:r>
      <w:r w:rsidR="000806BF">
        <w:t>’</w:t>
      </w:r>
      <w:r w:rsidR="002662C7" w:rsidRPr="00455CB7">
        <w:t xml:space="preserve">emporte parfois sur la proximité des savoirs didactiques. Ces résultats nous amènent à interroger le </w:t>
      </w:r>
      <w:r w:rsidR="002662C7" w:rsidRPr="00455CB7">
        <w:rPr>
          <w:i/>
          <w:iCs/>
        </w:rPr>
        <w:t>degré d’articulation optimal</w:t>
      </w:r>
      <w:r w:rsidR="002662C7" w:rsidRPr="00455CB7">
        <w:t xml:space="preserve"> en contexte de coenseignement</w:t>
      </w:r>
      <w:r w:rsidR="002662C7">
        <w:t>. De</w:t>
      </w:r>
      <w:r w:rsidR="002662C7" w:rsidRPr="00455CB7">
        <w:t xml:space="preserve"> manière générale, cette étude montre que</w:t>
      </w:r>
      <w:r w:rsidR="00CC01DF">
        <w:t>,</w:t>
      </w:r>
      <w:r w:rsidR="002662C7" w:rsidRPr="00455CB7">
        <w:t xml:space="preserve"> pour maximiser les apprentissages</w:t>
      </w:r>
      <w:r w:rsidR="002662C7">
        <w:t>,</w:t>
      </w:r>
      <w:r w:rsidR="002662C7" w:rsidRPr="00455CB7">
        <w:t xml:space="preserve"> tout en préservant le sentiment d’appartenance et la régulation </w:t>
      </w:r>
      <w:r w:rsidR="002662C7">
        <w:t>socioaffective</w:t>
      </w:r>
      <w:r w:rsidR="002662C7" w:rsidRPr="00455CB7">
        <w:t xml:space="preserve"> de l</w:t>
      </w:r>
      <w:r w:rsidR="000806BF">
        <w:t>’</w:t>
      </w:r>
      <w:r w:rsidR="002662C7" w:rsidRPr="00455CB7">
        <w:t xml:space="preserve">élève, les </w:t>
      </w:r>
      <w:r w:rsidR="002662C7">
        <w:t xml:space="preserve">professionnelles et </w:t>
      </w:r>
      <w:r w:rsidR="002662C7" w:rsidRPr="00455CB7">
        <w:t>professionnels gagnent à s</w:t>
      </w:r>
      <w:r w:rsidR="000806BF">
        <w:t>’</w:t>
      </w:r>
      <w:r w:rsidR="002662C7" w:rsidRPr="00455CB7">
        <w:t>affranchir d</w:t>
      </w:r>
      <w:r w:rsidR="000806BF">
        <w:t>’</w:t>
      </w:r>
      <w:r w:rsidR="002662C7" w:rsidRPr="00455CB7">
        <w:t>une vision purement didactique de la scolarisation inclusive. Selon les principes posés par Pelgrims (2011), cela implique de concevoir toute forme d</w:t>
      </w:r>
      <w:r w:rsidR="000806BF">
        <w:t>’</w:t>
      </w:r>
      <w:r w:rsidR="002662C7" w:rsidRPr="00455CB7">
        <w:t xml:space="preserve">articulation qui fait sens pour l’élève, </w:t>
      </w:r>
      <w:r w:rsidR="002662C7">
        <w:t xml:space="preserve">qu’elle soit </w:t>
      </w:r>
      <w:r w:rsidR="002662C7" w:rsidRPr="00455CB7">
        <w:t>didactique et/ou pédagogique. Dans le cas d’élèves à fort décalage dans les savoirs disciplinaires, il s’agit de donner un autre sens à l’articulation, ce qui confirme l’utilité d’une thématique ou d</w:t>
      </w:r>
      <w:r w:rsidR="000806BF">
        <w:t>’</w:t>
      </w:r>
      <w:r w:rsidR="002662C7" w:rsidRPr="00455CB7">
        <w:t>un projet commun qui sert de fil conducteur et de passerelle entre le travail de l</w:t>
      </w:r>
      <w:r w:rsidR="000806BF">
        <w:t>’</w:t>
      </w:r>
      <w:r w:rsidR="002662C7" w:rsidRPr="00455CB7">
        <w:t>élève à BEP et la dynamique collective de la classe (Pelgrims et al., 2026).</w:t>
      </w:r>
    </w:p>
    <w:p w14:paraId="1015F257" w14:textId="152D10DB" w:rsidR="002662C7" w:rsidRPr="00455CB7" w:rsidRDefault="002662C7" w:rsidP="00344C67">
      <w:pPr>
        <w:pStyle w:val="Corpsdetexte"/>
        <w:ind w:firstLine="0"/>
      </w:pPr>
      <w:r w:rsidRPr="00455CB7">
        <w:t xml:space="preserve">En conclusion, scolariser un élève présentant un décalage important dans les savoirs disciplinaires exige une articulation minutieuse de </w:t>
      </w:r>
      <w:r>
        <w:t>l’</w:t>
      </w:r>
      <w:r w:rsidRPr="00455CB7">
        <w:t xml:space="preserve">activité individuelle </w:t>
      </w:r>
      <w:r>
        <w:t>à l’activité</w:t>
      </w:r>
      <w:r w:rsidRPr="00455CB7">
        <w:t xml:space="preserve"> collective. Celle-ci devant être cousue sur mesure, elle demande une </w:t>
      </w:r>
      <w:proofErr w:type="spellStart"/>
      <w:r w:rsidRPr="00455CB7">
        <w:t>copréparation</w:t>
      </w:r>
      <w:proofErr w:type="spellEnd"/>
      <w:r w:rsidRPr="00455CB7">
        <w:t xml:space="preserve"> formelle des séances par </w:t>
      </w:r>
      <w:r>
        <w:t>l’</w:t>
      </w:r>
      <w:r w:rsidRPr="00455CB7">
        <w:t xml:space="preserve">ES et </w:t>
      </w:r>
      <w:r>
        <w:t>l’</w:t>
      </w:r>
      <w:r w:rsidRPr="00455CB7">
        <w:t>ER</w:t>
      </w:r>
      <w:r w:rsidRPr="00382F62">
        <w:t>, sur le plan des aspects didactiques</w:t>
      </w:r>
      <w:r>
        <w:t xml:space="preserve"> et</w:t>
      </w:r>
      <w:r w:rsidRPr="00382F62">
        <w:t xml:space="preserve"> aussi sur le plan des aspects pédagogiques.</w:t>
      </w:r>
    </w:p>
    <w:p w14:paraId="34FEAA61" w14:textId="28E830EC" w:rsidR="002662C7" w:rsidRPr="00455CB7" w:rsidRDefault="002662C7" w:rsidP="00974857">
      <w:pPr>
        <w:pStyle w:val="Corpsdetexte"/>
      </w:pPr>
      <w:r>
        <w:t>À partir de là</w:t>
      </w:r>
      <w:r w:rsidRPr="00455CB7">
        <w:t>,</w:t>
      </w:r>
      <w:r>
        <w:t xml:space="preserve"> et à la suite des autrices précédemment citées et ayant exploré les questions d’articulation didactique et </w:t>
      </w:r>
      <w:r w:rsidRPr="005F709D">
        <w:t>pédagogique</w:t>
      </w:r>
      <w:r>
        <w:t>,</w:t>
      </w:r>
      <w:r w:rsidRPr="00455CB7">
        <w:t xml:space="preserve"> nous pouvons suggérer pour les</w:t>
      </w:r>
      <w:r>
        <w:t xml:space="preserve"> équipes </w:t>
      </w:r>
      <w:r w:rsidRPr="00455CB7">
        <w:t>professionnel</w:t>
      </w:r>
      <w:r>
        <w:t>le</w:t>
      </w:r>
      <w:r w:rsidRPr="00455CB7">
        <w:t>s du terrain quatre conditions clés pouvant soutenir durablement les apprentissages de ces élèves</w:t>
      </w:r>
      <w:r>
        <w:t>.</w:t>
      </w:r>
    </w:p>
    <w:p w14:paraId="28DB1C9D" w14:textId="165E09B4" w:rsidR="002662C7" w:rsidRPr="00455CB7" w:rsidRDefault="002662C7" w:rsidP="00880D66">
      <w:pPr>
        <w:pStyle w:val="Liste"/>
        <w:spacing w:after="60"/>
        <w:contextualSpacing w:val="0"/>
      </w:pPr>
      <w:r w:rsidRPr="00455CB7">
        <w:rPr>
          <w:i/>
          <w:iCs/>
        </w:rPr>
        <w:t>Institutionnaliser et soutenir un coenseignement orienté vers l’articulation</w:t>
      </w:r>
      <w:r w:rsidR="001C795E">
        <w:t> </w:t>
      </w:r>
      <w:r w:rsidRPr="00455CB7">
        <w:t xml:space="preserve">: permettre </w:t>
      </w:r>
      <w:r>
        <w:t>un travail</w:t>
      </w:r>
      <w:r w:rsidRPr="00455CB7">
        <w:t xml:space="preserve"> conjoint intégrant des temps dédiés à la collaboration en l</w:t>
      </w:r>
      <w:r w:rsidR="000806BF">
        <w:t>’</w:t>
      </w:r>
      <w:r w:rsidRPr="00455CB7">
        <w:t>absence d</w:t>
      </w:r>
      <w:r>
        <w:t xml:space="preserve">es </w:t>
      </w:r>
      <w:r w:rsidRPr="00455CB7">
        <w:t>élèves pour coplanifier</w:t>
      </w:r>
      <w:r>
        <w:t xml:space="preserve"> et</w:t>
      </w:r>
      <w:r w:rsidRPr="00455CB7">
        <w:t xml:space="preserve"> aussi accompagner professionnellement les dyades pour développer leurs pratiques réflexives et de coenseignement.</w:t>
      </w:r>
    </w:p>
    <w:p w14:paraId="78E5708C" w14:textId="11AA8B87" w:rsidR="002662C7" w:rsidRPr="00455CB7" w:rsidRDefault="002662C7" w:rsidP="00880D66">
      <w:pPr>
        <w:pStyle w:val="Liste"/>
        <w:spacing w:after="60"/>
        <w:contextualSpacing w:val="0"/>
      </w:pPr>
      <w:r w:rsidRPr="00455CB7">
        <w:rPr>
          <w:i/>
          <w:iCs/>
        </w:rPr>
        <w:t>Cibler les priorités didactiques</w:t>
      </w:r>
      <w:r w:rsidR="001C795E">
        <w:t> </w:t>
      </w:r>
      <w:r w:rsidRPr="00455CB7">
        <w:t>: désigner conjointement des objets d’apprentissage prioritaires pour l’élève afin de respecter son rythme d</w:t>
      </w:r>
      <w:r w:rsidR="000806BF">
        <w:t>’</w:t>
      </w:r>
      <w:r w:rsidRPr="00455CB7">
        <w:t>acquisition et éviter la surcharge.</w:t>
      </w:r>
    </w:p>
    <w:p w14:paraId="151BAFEF" w14:textId="57390A3E" w:rsidR="002662C7" w:rsidRPr="00455CB7" w:rsidRDefault="002662C7" w:rsidP="00880D66">
      <w:pPr>
        <w:pStyle w:val="Liste"/>
        <w:spacing w:after="60"/>
        <w:contextualSpacing w:val="0"/>
      </w:pPr>
      <w:r w:rsidRPr="00455CB7">
        <w:rPr>
          <w:i/>
          <w:iCs/>
        </w:rPr>
        <w:t>Anticiper la place de l</w:t>
      </w:r>
      <w:r w:rsidR="000806BF">
        <w:rPr>
          <w:i/>
          <w:iCs/>
        </w:rPr>
        <w:t>’</w:t>
      </w:r>
      <w:r w:rsidRPr="00455CB7">
        <w:rPr>
          <w:i/>
          <w:iCs/>
        </w:rPr>
        <w:t>élève dans le collectif</w:t>
      </w:r>
      <w:r w:rsidR="001C795E">
        <w:t> </w:t>
      </w:r>
      <w:r w:rsidRPr="00455CB7">
        <w:t xml:space="preserve">: penser en amont la configuration des séances </w:t>
      </w:r>
      <w:r>
        <w:t>afin de</w:t>
      </w:r>
      <w:r w:rsidRPr="00455CB7">
        <w:t xml:space="preserve"> lever </w:t>
      </w:r>
      <w:r>
        <w:t xml:space="preserve">d’une part </w:t>
      </w:r>
      <w:r w:rsidRPr="00455CB7">
        <w:t xml:space="preserve">les obstacles et garantir </w:t>
      </w:r>
      <w:r>
        <w:t xml:space="preserve">ainsi </w:t>
      </w:r>
      <w:r w:rsidRPr="00455CB7">
        <w:t xml:space="preserve">une plus </w:t>
      </w:r>
      <w:r w:rsidRPr="005F709D">
        <w:t>grande accessibilité aux savoirs</w:t>
      </w:r>
      <w:r>
        <w:t xml:space="preserve"> et d’autre part, maximiser la participation sociale</w:t>
      </w:r>
      <w:r w:rsidRPr="00455CB7">
        <w:t xml:space="preserve"> au sein même du groupe-classe.</w:t>
      </w:r>
    </w:p>
    <w:p w14:paraId="62392E14" w14:textId="4B8DCE35" w:rsidR="002662C7" w:rsidRPr="00455CB7" w:rsidRDefault="002662C7" w:rsidP="00974857">
      <w:pPr>
        <w:pStyle w:val="Liste"/>
      </w:pPr>
      <w:r w:rsidRPr="00455CB7">
        <w:rPr>
          <w:i/>
          <w:iCs/>
        </w:rPr>
        <w:t>Viser une articulation optimale</w:t>
      </w:r>
      <w:r w:rsidR="001C795E">
        <w:t> </w:t>
      </w:r>
      <w:r w:rsidRPr="00455CB7">
        <w:t xml:space="preserve">: accepter de </w:t>
      </w:r>
      <w:r>
        <w:t>« </w:t>
      </w:r>
      <w:r w:rsidRPr="00455CB7">
        <w:t>désarticuler</w:t>
      </w:r>
      <w:r>
        <w:t> »</w:t>
      </w:r>
      <w:r w:rsidRPr="00455CB7">
        <w:t xml:space="preserve"> parfois les contenus (adapter les tâches ou cibler des objectifs individualisés) pour mieux réarticuler l’activité de l</w:t>
      </w:r>
      <w:r w:rsidR="000806BF">
        <w:t>’</w:t>
      </w:r>
      <w:r w:rsidRPr="00455CB7">
        <w:t xml:space="preserve">élève en décalage au projet collectif, un équilibre </w:t>
      </w:r>
      <w:r w:rsidR="00974857">
        <w:t>s</w:t>
      </w:r>
      <w:r w:rsidRPr="00455CB7">
        <w:t xml:space="preserve">ubtil à </w:t>
      </w:r>
      <w:r>
        <w:t>coconstruire</w:t>
      </w:r>
      <w:r w:rsidRPr="00455CB7">
        <w:t xml:space="preserve"> au quotidien.</w:t>
      </w:r>
    </w:p>
    <w:p w14:paraId="517CF52B" w14:textId="7F879CBB" w:rsidR="006E260B" w:rsidRPr="00153133" w:rsidRDefault="00037AE3" w:rsidP="00855097">
      <w:pPr>
        <w:pStyle w:val="Titre1"/>
      </w:pPr>
      <w:r>
        <w:lastRenderedPageBreak/>
        <w:t>Autrices</w:t>
      </w:r>
    </w:p>
    <w:tbl>
      <w:tblPr>
        <w:tblStyle w:val="Grilledutableau"/>
        <w:tblW w:w="382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3403"/>
      </w:tblGrid>
      <w:tr w:rsidR="00A17C37" w:rsidRPr="00153133" w14:paraId="24EBF2CF" w14:textId="77777777" w:rsidTr="00216F12">
        <w:tc>
          <w:tcPr>
            <w:tcW w:w="2551" w:type="pct"/>
            <w:vAlign w:val="center"/>
          </w:tcPr>
          <w:p w14:paraId="41D649D6" w14:textId="2D4EDE03" w:rsidR="00A17C37" w:rsidRPr="00153133" w:rsidRDefault="007E40CF" w:rsidP="00DE5A13">
            <w:pPr>
              <w:pStyle w:val="Corpsdetexte3"/>
            </w:pPr>
            <w:r>
              <w:rPr>
                <w:noProof/>
              </w:rPr>
              <w:drawing>
                <wp:inline distT="0" distB="0" distL="0" distR="0" wp14:anchorId="0CA68FAA" wp14:editId="0B9D8A51">
                  <wp:extent cx="1076325" cy="1076325"/>
                  <wp:effectExtent l="0" t="0" r="9525" b="9525"/>
                  <wp:docPr id="753201453" name="Imag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201453" name="Image 5">
                            <a:extLst>
                              <a:ext uri="{C183D7F6-B498-43B3-948B-1728B52AA6E4}">
                                <adec:decorative xmlns:adec="http://schemas.microsoft.com/office/drawing/2017/decorative" val="1"/>
                              </a:ext>
                            </a:extLs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inline>
              </w:drawing>
            </w:r>
          </w:p>
        </w:tc>
        <w:tc>
          <w:tcPr>
            <w:tcW w:w="2449" w:type="pct"/>
            <w:vAlign w:val="center"/>
          </w:tcPr>
          <w:p w14:paraId="54DB8111" w14:textId="32E64899" w:rsidR="00A17C37" w:rsidRPr="00153133" w:rsidRDefault="00C77091" w:rsidP="00DE5A13">
            <w:pPr>
              <w:pStyle w:val="Corpsdetexte3"/>
              <w:rPr>
                <w:noProof/>
              </w:rPr>
            </w:pPr>
            <w:r>
              <w:rPr>
                <w:noProof/>
              </w:rPr>
              <w:drawing>
                <wp:inline distT="0" distB="0" distL="0" distR="0" wp14:anchorId="477BE8AD" wp14:editId="779A1F8B">
                  <wp:extent cx="1091682" cy="1091682"/>
                  <wp:effectExtent l="0" t="0" r="0" b="0"/>
                  <wp:docPr id="691192257" name="Imag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192257" name="Image 4">
                            <a:extLst>
                              <a:ext uri="{C183D7F6-B498-43B3-948B-1728B52AA6E4}">
                                <adec:decorative xmlns:adec="http://schemas.microsoft.com/office/drawing/2017/decorative" val="1"/>
                              </a:ext>
                            </a:extLst>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05843" cy="1105843"/>
                          </a:xfrm>
                          <a:prstGeom prst="rect">
                            <a:avLst/>
                          </a:prstGeom>
                          <a:noFill/>
                          <a:ln>
                            <a:noFill/>
                          </a:ln>
                        </pic:spPr>
                      </pic:pic>
                    </a:graphicData>
                  </a:graphic>
                </wp:inline>
              </w:drawing>
            </w:r>
          </w:p>
        </w:tc>
      </w:tr>
      <w:tr w:rsidR="00A17C37" w:rsidRPr="00153133" w14:paraId="508E5501" w14:textId="77777777" w:rsidTr="00216F12">
        <w:trPr>
          <w:trHeight w:val="960"/>
        </w:trPr>
        <w:tc>
          <w:tcPr>
            <w:tcW w:w="2551" w:type="pct"/>
          </w:tcPr>
          <w:p w14:paraId="6A50D1B5" w14:textId="4294A76E" w:rsidR="00A17C37" w:rsidRPr="00153133" w:rsidRDefault="00A17C37" w:rsidP="00533DA1">
            <w:pPr>
              <w:pStyle w:val="Corpsdetexte3"/>
            </w:pPr>
            <w:r>
              <w:t>Caroline</w:t>
            </w:r>
            <w:r w:rsidR="00C73AD9">
              <w:t> </w:t>
            </w:r>
            <w:r>
              <w:t>Chanier</w:t>
            </w:r>
            <w:r w:rsidRPr="00153133">
              <w:br/>
            </w:r>
            <w:r>
              <w:t>Collaboratrice scientifique doctorante</w:t>
            </w:r>
          </w:p>
          <w:p w14:paraId="39204086" w14:textId="3CD50884" w:rsidR="00A17C37" w:rsidRDefault="00A17C37" w:rsidP="00533DA1">
            <w:pPr>
              <w:pStyle w:val="Corpsdetexte3"/>
            </w:pPr>
            <w:r>
              <w:t>Université de Genève, FPSE</w:t>
            </w:r>
          </w:p>
          <w:p w14:paraId="4C87CB6A" w14:textId="44F2CF5A" w:rsidR="00A17C37" w:rsidRPr="00153133" w:rsidRDefault="00A17C37" w:rsidP="00533DA1">
            <w:pPr>
              <w:pStyle w:val="Corpsdetexte3"/>
            </w:pPr>
            <w:r>
              <w:t>Équipe PACES</w:t>
            </w:r>
          </w:p>
          <w:p w14:paraId="25581A5D" w14:textId="1767066E" w:rsidR="00A17C37" w:rsidRPr="00153133" w:rsidRDefault="00A17C37" w:rsidP="00533DA1">
            <w:pPr>
              <w:pStyle w:val="Corpsdetexte3"/>
            </w:pPr>
            <w:hyperlink r:id="rId16" w:history="1">
              <w:r w:rsidRPr="00EC0D98">
                <w:rPr>
                  <w:rStyle w:val="Lienhypertexte"/>
                </w:rPr>
                <w:t>caroline.chanier@unige.ch</w:t>
              </w:r>
            </w:hyperlink>
            <w:r>
              <w:t xml:space="preserve"> </w:t>
            </w:r>
          </w:p>
        </w:tc>
        <w:tc>
          <w:tcPr>
            <w:tcW w:w="2449" w:type="pct"/>
          </w:tcPr>
          <w:p w14:paraId="3D553585" w14:textId="77777777" w:rsidR="00216F12" w:rsidRDefault="00216F12" w:rsidP="00216F12">
            <w:pPr>
              <w:pStyle w:val="Corpsdetexte3"/>
            </w:pPr>
            <w:r>
              <w:t>Dre Coralie Delorme</w:t>
            </w:r>
          </w:p>
          <w:p w14:paraId="08F2FEF8" w14:textId="11BDCD6C" w:rsidR="00216F12" w:rsidRPr="00153133" w:rsidRDefault="00216F12" w:rsidP="00216F12">
            <w:pPr>
              <w:pStyle w:val="Corpsdetexte3"/>
            </w:pPr>
            <w:r>
              <w:t>Ma</w:t>
            </w:r>
            <w:r w:rsidR="00CC01DF">
              <w:t>i</w:t>
            </w:r>
            <w:r>
              <w:t>tre d’enseignement et de recherche</w:t>
            </w:r>
            <w:r w:rsidRPr="00153133">
              <w:br/>
            </w:r>
            <w:r>
              <w:t>Université de Genève, FPSE</w:t>
            </w:r>
          </w:p>
          <w:p w14:paraId="6D2C26CA" w14:textId="77777777" w:rsidR="00216F12" w:rsidRPr="005E6D2E" w:rsidRDefault="00216F12" w:rsidP="00216F12">
            <w:pPr>
              <w:pStyle w:val="Corpsdetexte3"/>
            </w:pPr>
            <w:r w:rsidRPr="005E6D2E">
              <w:t>Équipe PACES</w:t>
            </w:r>
          </w:p>
          <w:p w14:paraId="11ACC5A8" w14:textId="085B58C1" w:rsidR="00A17C37" w:rsidRPr="00153133" w:rsidRDefault="00216F12" w:rsidP="00037AE3">
            <w:pPr>
              <w:pStyle w:val="Corpsdetexte3"/>
            </w:pPr>
            <w:hyperlink r:id="rId17" w:history="1">
              <w:r w:rsidRPr="00EC0D98">
                <w:rPr>
                  <w:rStyle w:val="Lienhypertexte"/>
                </w:rPr>
                <w:t>coraline.delorme@unige.ch</w:t>
              </w:r>
            </w:hyperlink>
            <w:r>
              <w:t xml:space="preserve"> </w:t>
            </w:r>
          </w:p>
        </w:tc>
      </w:tr>
    </w:tbl>
    <w:p w14:paraId="216B142C" w14:textId="77777777" w:rsidR="00870508" w:rsidRPr="00153133" w:rsidRDefault="00870508" w:rsidP="00855097">
      <w:pPr>
        <w:pStyle w:val="Titre1"/>
      </w:pPr>
      <w:r w:rsidRPr="00153133">
        <w:t>Références</w:t>
      </w:r>
    </w:p>
    <w:p w14:paraId="7404C534" w14:textId="1097EB1C" w:rsidR="004734D6" w:rsidRPr="009B2C13" w:rsidRDefault="004734D6" w:rsidP="0007352D">
      <w:pPr>
        <w:pStyle w:val="Bibliographie"/>
      </w:pPr>
      <w:r w:rsidRPr="009B2C13">
        <w:t>Accord intercantonal sur la collaboration dans le domaine de la pédagogie spécialisée (A-CDPS) du 25</w:t>
      </w:r>
      <w:r w:rsidR="00C73AD9" w:rsidRPr="009B2C13">
        <w:t> </w:t>
      </w:r>
      <w:r w:rsidRPr="009B2C13">
        <w:t>octobre</w:t>
      </w:r>
      <w:r w:rsidR="00C73AD9" w:rsidRPr="009B2C13">
        <w:t> </w:t>
      </w:r>
      <w:r w:rsidRPr="009B2C13">
        <w:t>2007, RS</w:t>
      </w:r>
      <w:r w:rsidR="00C73AD9" w:rsidRPr="009B2C13">
        <w:t> </w:t>
      </w:r>
      <w:r w:rsidRPr="009B2C13">
        <w:t>417.91 (État le 31</w:t>
      </w:r>
      <w:r w:rsidR="00C73AD9" w:rsidRPr="009B2C13">
        <w:t> </w:t>
      </w:r>
      <w:r w:rsidRPr="009B2C13">
        <w:t>octobre</w:t>
      </w:r>
      <w:r w:rsidR="00C73AD9" w:rsidRPr="009B2C13">
        <w:t> </w:t>
      </w:r>
      <w:r w:rsidRPr="009B2C13">
        <w:t xml:space="preserve">2024). </w:t>
      </w:r>
      <w:hyperlink r:id="rId18" w:history="1">
        <w:r w:rsidRPr="009B2C13">
          <w:rPr>
            <w:rStyle w:val="Lienhypertexte"/>
            <w:rFonts w:asciiTheme="minorHAnsi" w:hAnsiTheme="minorHAnsi" w:cs="Calibri"/>
          </w:rPr>
          <w:t>https://www.lexfind.ch/tolv/247389/fr</w:t>
        </w:r>
      </w:hyperlink>
      <w:r w:rsidRPr="009B2C13">
        <w:t xml:space="preserve"> </w:t>
      </w:r>
    </w:p>
    <w:p w14:paraId="760E3EDE" w14:textId="36C84935" w:rsidR="004734D6" w:rsidRPr="009B2C13" w:rsidRDefault="004734D6" w:rsidP="0007352D">
      <w:pPr>
        <w:pStyle w:val="Bibliographie"/>
      </w:pPr>
      <w:proofErr w:type="spellStart"/>
      <w:r w:rsidRPr="009B2C13">
        <w:t>Assude</w:t>
      </w:r>
      <w:proofErr w:type="spellEnd"/>
      <w:r w:rsidRPr="009B2C13">
        <w:t xml:space="preserve">, T., &amp; Millon-Fauré, K. (2021). Mise en œuvre d’un dispositif d’aide « préventif » : quelles fonctions et transformations ? In G. Pelgrims, T. </w:t>
      </w:r>
      <w:proofErr w:type="spellStart"/>
      <w:r w:rsidRPr="009B2C13">
        <w:t>Assude</w:t>
      </w:r>
      <w:proofErr w:type="spellEnd"/>
      <w:r w:rsidRPr="009B2C13">
        <w:t>, &amp; J.-M. Perez (</w:t>
      </w:r>
      <w:proofErr w:type="spellStart"/>
      <w:r w:rsidRPr="009B2C13">
        <w:t>Éds</w:t>
      </w:r>
      <w:proofErr w:type="spellEnd"/>
      <w:r w:rsidRPr="009B2C13">
        <w:t xml:space="preserve">), </w:t>
      </w:r>
      <w:r w:rsidRPr="009B2C13">
        <w:rPr>
          <w:i/>
        </w:rPr>
        <w:t>Transitions et transformations sur les chemins de l’éducation inclusive</w:t>
      </w:r>
      <w:r w:rsidRPr="009B2C13">
        <w:t xml:space="preserve"> (pp. 151-167). Éditions SZH/CSPS. </w:t>
      </w:r>
      <w:hyperlink r:id="rId19" w:history="1">
        <w:r w:rsidRPr="009B2C13">
          <w:rPr>
            <w:rStyle w:val="Lienhypertexte"/>
            <w:rFonts w:asciiTheme="minorHAnsi" w:hAnsiTheme="minorHAnsi" w:cs="Calibri"/>
          </w:rPr>
          <w:t>https://shop.szh.ch/fr/livres-edition-szhcsps/169-transitions-et-transformations-sur-les-chemins-de-l-education-inclusive.html</w:t>
        </w:r>
      </w:hyperlink>
      <w:r w:rsidRPr="009B2C13">
        <w:t xml:space="preserve"> </w:t>
      </w:r>
    </w:p>
    <w:p w14:paraId="1B8EC8E8" w14:textId="2FD5C82C" w:rsidR="004734D6" w:rsidRPr="009B2C13" w:rsidRDefault="004734D6" w:rsidP="0007352D">
      <w:pPr>
        <w:pStyle w:val="Bibliographie"/>
        <w:rPr>
          <w:rFonts w:eastAsia="Calibri"/>
        </w:rPr>
      </w:pPr>
      <w:proofErr w:type="spellStart"/>
      <w:r w:rsidRPr="009B2C13">
        <w:rPr>
          <w:rFonts w:eastAsia="Calibri"/>
        </w:rPr>
        <w:t>Chanier</w:t>
      </w:r>
      <w:proofErr w:type="spellEnd"/>
      <w:r w:rsidRPr="009B2C13">
        <w:rPr>
          <w:rFonts w:eastAsia="Calibri"/>
        </w:rPr>
        <w:t xml:space="preserve">, C. </w:t>
      </w:r>
      <w:r w:rsidR="007B74A1" w:rsidRPr="009B2C13">
        <w:rPr>
          <w:rFonts w:eastAsia="Calibri"/>
        </w:rPr>
        <w:t>[</w:t>
      </w:r>
      <w:r w:rsidR="004B068C" w:rsidRPr="009B2C13">
        <w:t>Ouvrage</w:t>
      </w:r>
      <w:r w:rsidR="004B068C" w:rsidRPr="009B2C13">
        <w:rPr>
          <w:rFonts w:eastAsia="Calibri"/>
        </w:rPr>
        <w:t xml:space="preserve"> </w:t>
      </w:r>
      <w:r w:rsidR="007B74A1" w:rsidRPr="009B2C13">
        <w:rPr>
          <w:rFonts w:eastAsia="Calibri"/>
        </w:rPr>
        <w:t>e</w:t>
      </w:r>
      <w:r w:rsidRPr="009B2C13">
        <w:rPr>
          <w:rFonts w:eastAsia="Calibri"/>
        </w:rPr>
        <w:t>n préparation</w:t>
      </w:r>
      <w:r w:rsidR="007B74A1" w:rsidRPr="009B2C13">
        <w:rPr>
          <w:rFonts w:eastAsia="Calibri"/>
        </w:rPr>
        <w:t>].</w:t>
      </w:r>
      <w:r w:rsidRPr="009B2C13">
        <w:rPr>
          <w:rFonts w:eastAsia="Calibri"/>
        </w:rPr>
        <w:t xml:space="preserve"> </w:t>
      </w:r>
      <w:r w:rsidRPr="009B2C13">
        <w:rPr>
          <w:rFonts w:eastAsia="Calibri"/>
          <w:i/>
          <w:iCs/>
        </w:rPr>
        <w:t>Scolariser en classe ordinaire une élève avec un fort décalage dans les compétences disciplinaires</w:t>
      </w:r>
      <w:r w:rsidR="001C795E" w:rsidRPr="009B2C13">
        <w:rPr>
          <w:rFonts w:eastAsia="Calibri"/>
          <w:i/>
          <w:iCs/>
        </w:rPr>
        <w:t> </w:t>
      </w:r>
      <w:r w:rsidRPr="009B2C13">
        <w:rPr>
          <w:rFonts w:eastAsia="Calibri"/>
          <w:i/>
          <w:iCs/>
        </w:rPr>
        <w:t>: une étude de cas documentant l’évolution de la collaboration entre l’enseignante titulaire et l’enseignante spécialisée</w:t>
      </w:r>
      <w:r w:rsidRPr="009B2C13">
        <w:rPr>
          <w:rFonts w:eastAsia="Calibri"/>
        </w:rPr>
        <w:t xml:space="preserve"> (Titre provisoire) [Article de la thèse de doctorat]. Manuscrit en préparation pour soumission dans une revue scientifique.</w:t>
      </w:r>
    </w:p>
    <w:p w14:paraId="4FBE224E" w14:textId="2E778CA4" w:rsidR="004734D6" w:rsidRPr="009B2C13" w:rsidRDefault="004734D6" w:rsidP="0007352D">
      <w:pPr>
        <w:pStyle w:val="Bibliographie"/>
      </w:pPr>
      <w:r w:rsidRPr="00FE0B35">
        <w:t xml:space="preserve">Cook, L., &amp; Friend, M. (1995). </w:t>
      </w:r>
      <w:r w:rsidRPr="009B2C13">
        <w:rPr>
          <w:lang w:val="en-GB"/>
        </w:rPr>
        <w:t xml:space="preserve">Co-Teaching: Guidelines for Creating Effective Practices. </w:t>
      </w:r>
      <w:r w:rsidRPr="009B2C13">
        <w:rPr>
          <w:i/>
        </w:rPr>
        <w:t xml:space="preserve">Focus on </w:t>
      </w:r>
      <w:proofErr w:type="spellStart"/>
      <w:r w:rsidRPr="009B2C13">
        <w:rPr>
          <w:i/>
        </w:rPr>
        <w:t>Exceptional</w:t>
      </w:r>
      <w:proofErr w:type="spellEnd"/>
      <w:r w:rsidRPr="009B2C13">
        <w:rPr>
          <w:i/>
        </w:rPr>
        <w:t xml:space="preserve"> </w:t>
      </w:r>
      <w:proofErr w:type="spellStart"/>
      <w:r w:rsidRPr="009B2C13">
        <w:rPr>
          <w:i/>
        </w:rPr>
        <w:t>Children</w:t>
      </w:r>
      <w:proofErr w:type="spellEnd"/>
      <w:r w:rsidRPr="009B2C13">
        <w:t xml:space="preserve">, </w:t>
      </w:r>
      <w:r w:rsidRPr="009B2C13">
        <w:rPr>
          <w:i/>
          <w:iCs/>
        </w:rPr>
        <w:t>28</w:t>
      </w:r>
      <w:r w:rsidRPr="009B2C13">
        <w:t xml:space="preserve">(3), 1-16. </w:t>
      </w:r>
      <w:hyperlink r:id="rId20" w:history="1">
        <w:r w:rsidRPr="009B2C13">
          <w:rPr>
            <w:rStyle w:val="Lienhypertexte"/>
            <w:rFonts w:cs="Calibri"/>
          </w:rPr>
          <w:t>https://doi.org/10.17161/foec.v28i3.6852</w:t>
        </w:r>
      </w:hyperlink>
      <w:r w:rsidRPr="009B2C13">
        <w:t xml:space="preserve"> </w:t>
      </w:r>
    </w:p>
    <w:p w14:paraId="4C36E2C0" w14:textId="4647999D" w:rsidR="004734D6" w:rsidRPr="009B2C13" w:rsidRDefault="004734D6" w:rsidP="0007352D">
      <w:pPr>
        <w:pStyle w:val="Bibliographie"/>
        <w:rPr>
          <w:lang w:eastAsia="fr-CH"/>
        </w:rPr>
      </w:pPr>
      <w:r w:rsidRPr="009B2C13">
        <w:rPr>
          <w:rFonts w:eastAsia="Calibri"/>
        </w:rPr>
        <w:t xml:space="preserve">Delorme, C., &amp; </w:t>
      </w:r>
      <w:proofErr w:type="spellStart"/>
      <w:r w:rsidRPr="009B2C13">
        <w:rPr>
          <w:rFonts w:eastAsia="Calibri"/>
        </w:rPr>
        <w:t>Chanier</w:t>
      </w:r>
      <w:proofErr w:type="spellEnd"/>
      <w:r w:rsidRPr="009B2C13">
        <w:rPr>
          <w:rFonts w:eastAsia="Calibri"/>
        </w:rPr>
        <w:t>, C. (2026). Consentir et participer à un dispositif de recherche-formation visant le coenseignement à l’école primaire : ce qu’en disent les dyades d’enseignants. In C.</w:t>
      </w:r>
      <w:r w:rsidR="003D7ADE">
        <w:rPr>
          <w:rFonts w:eastAsia="Calibri"/>
        </w:rPr>
        <w:t> </w:t>
      </w:r>
      <w:r w:rsidRPr="009B2C13">
        <w:rPr>
          <w:rFonts w:eastAsia="Calibri"/>
        </w:rPr>
        <w:t>Delorme &amp; K.</w:t>
      </w:r>
      <w:r w:rsidR="003D7ADE">
        <w:rPr>
          <w:rFonts w:eastAsia="Calibri"/>
        </w:rPr>
        <w:t> </w:t>
      </w:r>
      <w:r w:rsidRPr="009B2C13">
        <w:rPr>
          <w:rFonts w:eastAsia="Calibri"/>
        </w:rPr>
        <w:t>Millon-Fauré (</w:t>
      </w:r>
      <w:proofErr w:type="spellStart"/>
      <w:r w:rsidRPr="009B2C13">
        <w:rPr>
          <w:rFonts w:eastAsia="Calibri"/>
        </w:rPr>
        <w:t>Éds</w:t>
      </w:r>
      <w:proofErr w:type="spellEnd"/>
      <w:r w:rsidRPr="009B2C13">
        <w:rPr>
          <w:rFonts w:eastAsia="Calibri"/>
        </w:rPr>
        <w:t xml:space="preserve">), </w:t>
      </w:r>
      <w:r w:rsidRPr="009B2C13">
        <w:rPr>
          <w:rFonts w:eastAsia="Calibri"/>
          <w:i/>
        </w:rPr>
        <w:t>Articuler la recherche, l’action et la formation pour des pratiques d’enseignement et de collaboration plus inclusives</w:t>
      </w:r>
      <w:r w:rsidRPr="009B2C13">
        <w:rPr>
          <w:rFonts w:eastAsia="Calibri"/>
        </w:rPr>
        <w:t xml:space="preserve"> (pp. 47-66). </w:t>
      </w:r>
      <w:r w:rsidR="00B31455" w:rsidRPr="009B2C13">
        <w:rPr>
          <w:lang w:eastAsia="fr-CH"/>
        </w:rPr>
        <w:t xml:space="preserve">L’Esperluette – Éducation et formation, Éditions </w:t>
      </w:r>
      <w:proofErr w:type="spellStart"/>
      <w:r w:rsidR="00B31455" w:rsidRPr="009B2C13">
        <w:rPr>
          <w:lang w:eastAsia="fr-CH"/>
        </w:rPr>
        <w:t>Cépaduès</w:t>
      </w:r>
      <w:proofErr w:type="spellEnd"/>
      <w:r w:rsidR="00B31455">
        <w:rPr>
          <w:rFonts w:eastAsia="Calibri"/>
        </w:rPr>
        <w:t xml:space="preserve">. </w:t>
      </w:r>
      <w:hyperlink r:id="rId21" w:history="1">
        <w:r w:rsidRPr="009B2C13">
          <w:rPr>
            <w:rStyle w:val="Lienhypertexte"/>
            <w:rFonts w:eastAsia="Calibri" w:cs="Calibri"/>
          </w:rPr>
          <w:t>https://www.cepadues.com/livres/sciences/information-communication/1867-articuler-la-recherche-9782383952671.html</w:t>
        </w:r>
      </w:hyperlink>
      <w:r w:rsidRPr="009B2C13">
        <w:rPr>
          <w:rFonts w:eastAsia="Calibri"/>
        </w:rPr>
        <w:t xml:space="preserve"> </w:t>
      </w:r>
    </w:p>
    <w:p w14:paraId="70A5C679" w14:textId="77777777" w:rsidR="004734D6" w:rsidRPr="009B2C13" w:rsidRDefault="004734D6" w:rsidP="0007352D">
      <w:pPr>
        <w:pStyle w:val="Bibliographie"/>
      </w:pPr>
      <w:r w:rsidRPr="009B2C13">
        <w:t xml:space="preserve">Pelgrims, G. (2011). Que nous révèlent les perceptions des élèves sur les pratiques d’intégration scolaire. </w:t>
      </w:r>
      <w:r w:rsidRPr="009B2C13">
        <w:rPr>
          <w:i/>
        </w:rPr>
        <w:t>Pages Romandes : Revue d’information sur le handicap mental et la pédagogie spécialisée</w:t>
      </w:r>
      <w:r w:rsidRPr="009B2C13">
        <w:t xml:space="preserve">, (3), 8-9. </w:t>
      </w:r>
      <w:hyperlink r:id="rId22" w:history="1">
        <w:r w:rsidRPr="009B2C13">
          <w:rPr>
            <w:rStyle w:val="Lienhypertexte"/>
            <w:rFonts w:cs="Calibri"/>
          </w:rPr>
          <w:t>https://archive-ouverte.unige.ch/unige:17444</w:t>
        </w:r>
      </w:hyperlink>
      <w:r w:rsidRPr="009B2C13">
        <w:t xml:space="preserve"> </w:t>
      </w:r>
    </w:p>
    <w:p w14:paraId="22BC1149" w14:textId="77777777" w:rsidR="004734D6" w:rsidRPr="009B2C13" w:rsidRDefault="004734D6" w:rsidP="0007352D">
      <w:pPr>
        <w:pStyle w:val="Bibliographie"/>
      </w:pPr>
      <w:r w:rsidRPr="009B2C13">
        <w:t xml:space="preserve">Pelgrims, G. (2016). De l’intégration scolaire à l’école inclusive : accès aux structures scolaires ou au rôle d’élève et aux savoirs ? </w:t>
      </w:r>
      <w:r w:rsidRPr="009B2C13">
        <w:rPr>
          <w:i/>
        </w:rPr>
        <w:t>Revue suisse de pédagogie spécialisée</w:t>
      </w:r>
      <w:r w:rsidRPr="009B2C13">
        <w:t xml:space="preserve">, </w:t>
      </w:r>
      <w:r w:rsidRPr="009B2C13">
        <w:rPr>
          <w:i/>
          <w:iCs/>
        </w:rPr>
        <w:t>6</w:t>
      </w:r>
      <w:r w:rsidRPr="009B2C13">
        <w:t xml:space="preserve">(3), 20-29. </w:t>
      </w:r>
      <w:hyperlink r:id="rId23" w:history="1">
        <w:r w:rsidRPr="009B2C13">
          <w:rPr>
            <w:rStyle w:val="Lienhypertexte"/>
            <w:rFonts w:cs="Calibri"/>
          </w:rPr>
          <w:t>https://www.szh.ch/bausteine.net/f/51497/Pelgrims_160320.pdf?fd=3</w:t>
        </w:r>
      </w:hyperlink>
      <w:r w:rsidRPr="009B2C13">
        <w:t xml:space="preserve"> </w:t>
      </w:r>
    </w:p>
    <w:p w14:paraId="23EFE4C7" w14:textId="64E007E5" w:rsidR="004734D6" w:rsidRPr="009B2C13" w:rsidRDefault="004734D6" w:rsidP="0007352D">
      <w:pPr>
        <w:pStyle w:val="Bibliographie"/>
        <w:rPr>
          <w:lang w:eastAsia="fr-CH"/>
        </w:rPr>
      </w:pPr>
      <w:r w:rsidRPr="009B2C13">
        <w:rPr>
          <w:lang w:eastAsia="fr-CH"/>
        </w:rPr>
        <w:t>Pelgrims, G., Delorme, C., Bacquelé, V., Chlostova Muñoz, M., Emery, R., &amp; Nguyen, A. (2026). Susciter des pratiques de collaboration plus inclusives entre enseignants spécialisés et réguliers au collège au fil d’un dispositif de formation-recherche. In C.</w:t>
      </w:r>
      <w:r w:rsidR="003D7ADE">
        <w:rPr>
          <w:lang w:eastAsia="fr-CH"/>
        </w:rPr>
        <w:t> </w:t>
      </w:r>
      <w:r w:rsidRPr="009B2C13">
        <w:rPr>
          <w:lang w:eastAsia="fr-CH"/>
        </w:rPr>
        <w:t>Delorme &amp; K.</w:t>
      </w:r>
      <w:r w:rsidR="003D7ADE">
        <w:rPr>
          <w:lang w:eastAsia="fr-CH"/>
        </w:rPr>
        <w:t> </w:t>
      </w:r>
      <w:r w:rsidRPr="009B2C13">
        <w:rPr>
          <w:lang w:eastAsia="fr-CH"/>
        </w:rPr>
        <w:t>Millon-Fauré (</w:t>
      </w:r>
      <w:proofErr w:type="spellStart"/>
      <w:r w:rsidRPr="009B2C13">
        <w:rPr>
          <w:lang w:eastAsia="fr-CH"/>
        </w:rPr>
        <w:t>Éds</w:t>
      </w:r>
      <w:proofErr w:type="spellEnd"/>
      <w:r w:rsidRPr="009B2C13">
        <w:rPr>
          <w:lang w:eastAsia="fr-CH"/>
        </w:rPr>
        <w:t xml:space="preserve">), </w:t>
      </w:r>
      <w:r w:rsidRPr="009B2C13">
        <w:rPr>
          <w:i/>
          <w:lang w:eastAsia="fr-CH"/>
        </w:rPr>
        <w:t>Articuler la recherche, l’action et la formation pour des pratiques d’enseignement et de collaboration plus inclusives</w:t>
      </w:r>
      <w:r w:rsidRPr="009B2C13">
        <w:rPr>
          <w:lang w:eastAsia="fr-CH"/>
        </w:rPr>
        <w:t xml:space="preserve"> (pp. 67-92). L’Esperluette – Éducation et formation, </w:t>
      </w:r>
      <w:r w:rsidR="00B31455" w:rsidRPr="009B2C13">
        <w:rPr>
          <w:lang w:eastAsia="fr-CH"/>
        </w:rPr>
        <w:t>É</w:t>
      </w:r>
      <w:r w:rsidRPr="009B2C13">
        <w:rPr>
          <w:lang w:eastAsia="fr-CH"/>
        </w:rPr>
        <w:t xml:space="preserve">ditions </w:t>
      </w:r>
      <w:proofErr w:type="spellStart"/>
      <w:r w:rsidRPr="009B2C13">
        <w:rPr>
          <w:lang w:eastAsia="fr-CH"/>
        </w:rPr>
        <w:t>Cépaduès</w:t>
      </w:r>
      <w:proofErr w:type="spellEnd"/>
      <w:r w:rsidRPr="009B2C13">
        <w:rPr>
          <w:lang w:eastAsia="fr-CH"/>
        </w:rPr>
        <w:t xml:space="preserve">. </w:t>
      </w:r>
      <w:hyperlink r:id="rId24" w:history="1">
        <w:r w:rsidR="00B31455" w:rsidRPr="000F5598">
          <w:rPr>
            <w:rStyle w:val="Lienhypertexte"/>
            <w:rFonts w:cs="Calibri"/>
            <w:lang w:eastAsia="fr-CH"/>
          </w:rPr>
          <w:t>https://www.cepadues.com/livres/sciences/information-communication/1867-articuler-la-recherche-9782383952671.html</w:t>
        </w:r>
      </w:hyperlink>
      <w:r w:rsidRPr="009B2C13">
        <w:rPr>
          <w:lang w:eastAsia="fr-CH"/>
        </w:rPr>
        <w:t xml:space="preserve"> </w:t>
      </w:r>
    </w:p>
    <w:p w14:paraId="53E090D3" w14:textId="0A53A699" w:rsidR="00870508" w:rsidRPr="009B2C13" w:rsidRDefault="004734D6" w:rsidP="000529FB">
      <w:pPr>
        <w:pStyle w:val="Bibliographie"/>
        <w:rPr>
          <w:rFonts w:ascii="Calibri" w:hAnsi="Calibri"/>
          <w:lang w:eastAsia="fr-CH"/>
        </w:rPr>
      </w:pPr>
      <w:r w:rsidRPr="009B2C13">
        <w:rPr>
          <w:lang w:eastAsia="fr-CH"/>
        </w:rPr>
        <w:lastRenderedPageBreak/>
        <w:t xml:space="preserve">Tambone, J. (2014). Enseigner dans un dispositif auxiliaire : le cas du regroupement d’adaptation et de sa relation avec la classe d’origine de l’élève. </w:t>
      </w:r>
      <w:r w:rsidRPr="009B2C13">
        <w:rPr>
          <w:i/>
          <w:lang w:eastAsia="fr-CH"/>
        </w:rPr>
        <w:t>Les Sciences de l’éducation - Pour l’Ère nouvelle</w:t>
      </w:r>
      <w:r w:rsidRPr="009B2C13">
        <w:rPr>
          <w:lang w:eastAsia="fr-CH"/>
        </w:rPr>
        <w:t xml:space="preserve">, </w:t>
      </w:r>
      <w:r w:rsidRPr="009B2C13">
        <w:rPr>
          <w:i/>
          <w:iCs/>
          <w:lang w:eastAsia="fr-CH"/>
        </w:rPr>
        <w:t>47</w:t>
      </w:r>
      <w:r w:rsidRPr="009B2C13">
        <w:rPr>
          <w:lang w:eastAsia="fr-CH"/>
        </w:rPr>
        <w:t xml:space="preserve">(2), 51-71. </w:t>
      </w:r>
      <w:hyperlink r:id="rId25" w:history="1">
        <w:r w:rsidRPr="009B2C13">
          <w:rPr>
            <w:rStyle w:val="Lienhypertexte"/>
            <w:rFonts w:cs="Calibri"/>
            <w:lang w:eastAsia="fr-CH"/>
          </w:rPr>
          <w:t>https://doi.org/10.3917/lsdle.472.0051</w:t>
        </w:r>
      </w:hyperlink>
      <w:r w:rsidRPr="009B2C13">
        <w:rPr>
          <w:rStyle w:val="Lienhypertexte"/>
          <w:rFonts w:cs="Calibri"/>
          <w:lang w:eastAsia="fr-CH"/>
        </w:rPr>
        <w:t xml:space="preserve"> </w:t>
      </w:r>
    </w:p>
    <w:sectPr w:rsidR="00870508" w:rsidRPr="009B2C13" w:rsidSect="00E55D97">
      <w:headerReference w:type="even" r:id="rId26"/>
      <w:headerReference w:type="default" r:id="rId27"/>
      <w:footerReference w:type="even" r:id="rId28"/>
      <w:footerReference w:type="default" r:id="rId29"/>
      <w:headerReference w:type="first" r:id="rId30"/>
      <w:footerReference w:type="first" r:id="rId31"/>
      <w:pgSz w:w="11907" w:h="16840" w:code="9"/>
      <w:pgMar w:top="1418" w:right="1418" w:bottom="1134" w:left="1418" w:header="720" w:footer="567" w:gutter="0"/>
      <w:pgNumType w:start="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1C0DCB" w14:textId="77777777" w:rsidR="007F6F53" w:rsidRDefault="007F6F53">
      <w:pPr>
        <w:spacing w:line="240" w:lineRule="auto"/>
      </w:pPr>
      <w:r>
        <w:separator/>
      </w:r>
    </w:p>
  </w:endnote>
  <w:endnote w:type="continuationSeparator" w:id="0">
    <w:p w14:paraId="5A148E06" w14:textId="77777777" w:rsidR="007F6F53" w:rsidRDefault="007F6F5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CC8647A5-AA13-4126-AECD-7A964F193135}"/>
    <w:embedBold r:id="rId2" w:fontKey="{3A887D64-6BF6-448E-B72C-18B708EAC335}"/>
    <w:embedItalic r:id="rId3" w:fontKey="{4F549698-6120-4AB3-8BB9-9D65A58757ED}"/>
    <w:embedBoldItalic r:id="rId4" w:fontKey="{D9721D89-9A9E-4D88-8793-80C3C2BCDC8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5" w:fontKey="{33FB06CB-4932-4E83-ACC3-E9B87A6DE19D}"/>
    <w:embedItalic r:id="rId6" w:fontKey="{B5A1B74D-28CF-4BBE-9890-678359FC2118}"/>
    <w:embedBoldItalic r:id="rId7" w:fontKey="{0C877606-DF0C-4A07-BBD0-DE4AF58C351F}"/>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92BC4" w14:textId="77777777" w:rsidR="00D124F2" w:rsidRDefault="00D124F2">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D7AB3" w14:textId="77777777" w:rsidR="004B3A29" w:rsidRPr="007B448B" w:rsidRDefault="006E210A" w:rsidP="001D3BFB">
    <w:pPr>
      <w:pStyle w:val="Pieddepage"/>
      <w:rPr>
        <w:szCs w:val="22"/>
      </w:rPr>
    </w:pPr>
    <w:r>
      <w:rPr>
        <w:noProof/>
      </w:rPr>
      <w:drawing>
        <wp:anchor distT="0" distB="0" distL="114300" distR="114300" simplePos="0" relativeHeight="251658240" behindDoc="1" locked="0" layoutInCell="1" allowOverlap="1" wp14:anchorId="5577B4BD" wp14:editId="6C5DA268">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F917C" w14:textId="77777777" w:rsidR="00D124F2" w:rsidRDefault="00D124F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DB2D9F" w14:textId="77777777" w:rsidR="007F6F53" w:rsidRPr="00777A2F" w:rsidRDefault="007F6F53"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13E81382" w14:textId="77777777" w:rsidR="007F6F53" w:rsidRDefault="007F6F53">
      <w:r>
        <w:continuationSeparator/>
      </w:r>
    </w:p>
  </w:footnote>
  <w:footnote w:type="continuationNotice" w:id="1">
    <w:p w14:paraId="613AE871" w14:textId="77777777" w:rsidR="007F6F53" w:rsidRDefault="007F6F5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5CB4C" w14:textId="77777777" w:rsidR="00D124F2" w:rsidRDefault="00D124F2">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319D6" w14:textId="78DA0EB7" w:rsidR="007B448B" w:rsidRPr="007B448B" w:rsidRDefault="00307EC7" w:rsidP="007B448B">
    <w:pPr>
      <w:pStyle w:val="Themenschwerpunkt"/>
      <w:rPr>
        <w:lang w:val="fr-CH"/>
      </w:rPr>
    </w:pPr>
    <w:r>
      <mc:AlternateContent>
        <mc:Choice Requires="wps">
          <w:drawing>
            <wp:anchor distT="0" distB="0" distL="114299" distR="114299" simplePos="0" relativeHeight="251658241" behindDoc="0" locked="0" layoutInCell="1" allowOverlap="1" wp14:anchorId="1D874B6F" wp14:editId="6A6590FA">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7D8B64BE" id="Connecteur droit 3" o:spid="_x0000_s1026" alt="&quot;&quot;" style="position:absolute;flip:x;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8C483F">
      <w:rPr>
        <w:lang w:val="fr-CH"/>
      </w:rPr>
      <w:t>Adaptation</w:t>
    </w:r>
    <w:r w:rsidR="00D124F2">
      <w:rPr>
        <w:lang w:val="fr-CH"/>
      </w:rPr>
      <w:t>s</w:t>
    </w:r>
    <w:r w:rsidR="008C483F">
      <w:rPr>
        <w:lang w:val="fr-CH"/>
      </w:rPr>
      <w:t xml:space="preserve"> du PER</w:t>
    </w:r>
    <w:r w:rsidR="007B448B">
      <w:rPr>
        <w:lang w:val="fr-CH"/>
      </w:rPr>
      <w:tab/>
    </w:r>
    <w:r w:rsidR="007B448B">
      <w:rPr>
        <w:lang w:val="fr-CH"/>
      </w:rPr>
      <w:tab/>
    </w:r>
    <w:r w:rsidR="007B448B" w:rsidRPr="00ED473A">
      <w:rPr>
        <w:b w:val="0"/>
        <w:bCs/>
        <w:lang w:val="fr-CH"/>
      </w:rPr>
      <w:t xml:space="preserve">Revue </w:t>
    </w:r>
    <w:r w:rsidR="009E4ACD">
      <w:rPr>
        <w:b w:val="0"/>
        <w:bCs/>
        <w:lang w:val="fr-CH"/>
      </w:rPr>
      <w:t>s</w:t>
    </w:r>
    <w:r w:rsidR="007B448B" w:rsidRPr="00ED473A">
      <w:rPr>
        <w:b w:val="0"/>
        <w:bCs/>
        <w:lang w:val="fr-CH"/>
      </w:rPr>
      <w:t xml:space="preserve">uisse de </w:t>
    </w:r>
    <w:r w:rsidR="009E4ACD">
      <w:rPr>
        <w:b w:val="0"/>
        <w:bCs/>
        <w:lang w:val="fr-CH"/>
      </w:rPr>
      <w:t>p</w:t>
    </w:r>
    <w:r w:rsidR="007B448B" w:rsidRPr="00ED473A">
      <w:rPr>
        <w:b w:val="0"/>
        <w:bCs/>
        <w:lang w:val="fr-CH"/>
      </w:rPr>
      <w:t xml:space="preserve">édagogie </w:t>
    </w:r>
    <w:r w:rsidR="009E4ACD">
      <w:rPr>
        <w:b w:val="0"/>
        <w:bCs/>
        <w:lang w:val="fr-CH"/>
      </w:rPr>
      <w:t>s</w:t>
    </w:r>
    <w:r w:rsidR="007B448B" w:rsidRPr="00ED473A">
      <w:rPr>
        <w:b w:val="0"/>
        <w:bCs/>
        <w:lang w:val="fr-CH"/>
      </w:rPr>
      <w:t xml:space="preserve">pécialisée, Vol. </w:t>
    </w:r>
    <w:r w:rsidR="00037AE3">
      <w:rPr>
        <w:b w:val="0"/>
        <w:bCs/>
        <w:lang w:val="fr-CH"/>
      </w:rPr>
      <w:t>1</w:t>
    </w:r>
    <w:r w:rsidR="009E4ACD">
      <w:rPr>
        <w:b w:val="0"/>
        <w:bCs/>
        <w:lang w:val="fr-CH"/>
      </w:rPr>
      <w:t>6</w:t>
    </w:r>
    <w:r w:rsidR="007B448B" w:rsidRPr="00ED473A">
      <w:rPr>
        <w:b w:val="0"/>
        <w:bCs/>
        <w:lang w:val="fr-CH"/>
      </w:rPr>
      <w:t xml:space="preserve">, </w:t>
    </w:r>
    <w:r w:rsidR="00037AE3">
      <w:rPr>
        <w:b w:val="0"/>
        <w:bCs/>
        <w:lang w:val="fr-CH"/>
      </w:rPr>
      <w:t>0</w:t>
    </w:r>
    <w:r w:rsidR="008C483F">
      <w:rPr>
        <w:b w:val="0"/>
        <w:bCs/>
        <w:lang w:val="fr-CH"/>
      </w:rPr>
      <w:t>3</w:t>
    </w:r>
    <w:r w:rsidR="007B448B" w:rsidRPr="00ED473A">
      <w:rPr>
        <w:b w:val="0"/>
        <w:bCs/>
        <w:lang w:val="fr-CH"/>
      </w:rPr>
      <w:t>/</w:t>
    </w:r>
    <w:r w:rsidR="00037AE3">
      <w:rPr>
        <w:b w:val="0"/>
        <w:bCs/>
        <w:lang w:val="fr-CH"/>
      </w:rPr>
      <w:t>202</w:t>
    </w:r>
    <w:r w:rsidR="009E4ACD">
      <w:rPr>
        <w:b w:val="0"/>
        <w:bCs/>
        <w:lang w:val="fr-CH"/>
      </w:rPr>
      <w:t>6</w:t>
    </w:r>
  </w:p>
  <w:p w14:paraId="3A03078D" w14:textId="77777777" w:rsidR="004B3A29" w:rsidRPr="00ED473A" w:rsidRDefault="00B7489C" w:rsidP="007B448B">
    <w:pPr>
      <w:pStyle w:val="Themenschwerpunkt"/>
      <w:rPr>
        <w:b w:val="0"/>
        <w:bCs/>
        <w:lang w:val="fr-CH"/>
      </w:rPr>
    </w:pPr>
    <w:r w:rsidRPr="006555BD">
      <w:rPr>
        <w:b w:val="0"/>
        <w:bCs/>
        <w:lang w:val="fr-CH"/>
      </w:rPr>
      <w:t xml:space="preserve">| </w:t>
    </w:r>
    <w:r w:rsidR="0022028B">
      <w:rPr>
        <w:b w:val="0"/>
        <w:bCs/>
        <w:lang w:val="fr-CH"/>
      </w:rPr>
      <w:t>ARTICLE</w:t>
    </w:r>
    <w:r w:rsidR="00B71621" w:rsidRPr="006555BD">
      <w:rPr>
        <w:b w:val="0"/>
        <w:bCs/>
        <w:lang w:val="fr-CH"/>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B5B52" w14:textId="77777777" w:rsidR="00D124F2" w:rsidRDefault="00D124F2">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0E03AB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B462E6"/>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6116DEBA"/>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65F83CFE"/>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6C64DB6C"/>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5C7A4B04"/>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079C3922"/>
    <w:styleLink w:val="Style2"/>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cleSection"/>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Titre4"/>
      <w:lvlText w:val=""/>
      <w:lvlJc w:val="right"/>
      <w:pPr>
        <w:ind w:left="0" w:firstLine="0"/>
      </w:pPr>
      <w:rPr>
        <w:rFonts w:ascii="Open Sans SemiCondensed" w:hAnsi="Open Sans SemiCondensed" w:hint="default"/>
      </w:rPr>
    </w:lvl>
    <w:lvl w:ilvl="4">
      <w:start w:val="1"/>
      <w:numFmt w:val="none"/>
      <w:pStyle w:val="Titre5"/>
      <w:lvlText w:val=""/>
      <w:lvlJc w:val="left"/>
      <w:pPr>
        <w:ind w:left="0" w:firstLine="0"/>
      </w:pPr>
      <w:rPr>
        <w:rFonts w:ascii="Open Sans SemiCondensed" w:hAnsi="Open Sans SemiCondensed" w:hint="default"/>
      </w:rPr>
    </w:lvl>
    <w:lvl w:ilvl="5">
      <w:start w:val="1"/>
      <w:numFmt w:val="none"/>
      <w:pStyle w:val="Titre6"/>
      <w:lvlText w:val=""/>
      <w:lvlJc w:val="left"/>
      <w:pPr>
        <w:ind w:left="0" w:firstLine="0"/>
      </w:pPr>
      <w:rPr>
        <w:rFonts w:ascii="Open Sans SemiCondensed" w:hAnsi="Open Sans SemiCondensed" w:hint="default"/>
      </w:rPr>
    </w:lvl>
    <w:lvl w:ilvl="6">
      <w:start w:val="1"/>
      <w:numFmt w:val="none"/>
      <w:pStyle w:val="Titre7"/>
      <w:lvlText w:val=""/>
      <w:lvlJc w:val="right"/>
      <w:pPr>
        <w:ind w:left="0" w:firstLine="0"/>
      </w:pPr>
      <w:rPr>
        <w:rFonts w:ascii="Open Sans SemiCondensed" w:hAnsi="Open Sans SemiCondensed" w:hint="default"/>
      </w:rPr>
    </w:lvl>
    <w:lvl w:ilvl="7">
      <w:start w:val="1"/>
      <w:numFmt w:val="none"/>
      <w:pStyle w:val="Titre8"/>
      <w:lvlText w:val=""/>
      <w:lvlJc w:val="left"/>
      <w:pPr>
        <w:ind w:left="0" w:firstLine="0"/>
      </w:pPr>
      <w:rPr>
        <w:rFonts w:ascii="Open Sans SemiCondensed" w:hAnsi="Open Sans SemiCondensed" w:hint="default"/>
      </w:rPr>
    </w:lvl>
    <w:lvl w:ilvl="8">
      <w:start w:val="1"/>
      <w:numFmt w:val="none"/>
      <w:pStyle w:val="Titre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492B3CF3"/>
    <w:multiLevelType w:val="multilevel"/>
    <w:tmpl w:val="D16CDD2E"/>
    <w:lvl w:ilvl="0">
      <w:start w:val="1"/>
      <w:numFmt w:val="decimal"/>
      <w:pStyle w:val="Listenumros"/>
      <w:lvlText w:val="%1."/>
      <w:lvlJc w:val="left"/>
      <w:pPr>
        <w:ind w:left="360" w:hanging="360"/>
      </w:pPr>
    </w:lvl>
    <w:lvl w:ilvl="1">
      <w:start w:val="1"/>
      <w:numFmt w:val="decimal"/>
      <w:pStyle w:val="Listenumros2"/>
      <w:lvlText w:val="%1.%2."/>
      <w:lvlJc w:val="left"/>
      <w:pPr>
        <w:ind w:left="792" w:hanging="432"/>
      </w:pPr>
    </w:lvl>
    <w:lvl w:ilvl="2">
      <w:start w:val="1"/>
      <w:numFmt w:val="decimal"/>
      <w:pStyle w:val="Listenumros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16487952">
    <w:abstractNumId w:val="8"/>
  </w:num>
  <w:num w:numId="2" w16cid:durableId="379716589">
    <w:abstractNumId w:val="9"/>
  </w:num>
  <w:num w:numId="3" w16cid:durableId="1479614155">
    <w:abstractNumId w:val="7"/>
  </w:num>
  <w:num w:numId="4" w16cid:durableId="1811746633">
    <w:abstractNumId w:val="6"/>
  </w:num>
  <w:num w:numId="5" w16cid:durableId="766773515">
    <w:abstractNumId w:val="5"/>
  </w:num>
  <w:num w:numId="6" w16cid:durableId="186023508">
    <w:abstractNumId w:val="4"/>
  </w:num>
  <w:num w:numId="7" w16cid:durableId="762411567">
    <w:abstractNumId w:val="3"/>
  </w:num>
  <w:num w:numId="8" w16cid:durableId="1053194292">
    <w:abstractNumId w:val="2"/>
  </w:num>
  <w:num w:numId="9" w16cid:durableId="169369078">
    <w:abstractNumId w:val="1"/>
  </w:num>
  <w:num w:numId="10" w16cid:durableId="400451079">
    <w:abstractNumId w:val="0"/>
  </w:num>
  <w:num w:numId="11" w16cid:durableId="1502550987">
    <w:abstractNumId w:val="1"/>
  </w:num>
  <w:num w:numId="12" w16cid:durableId="841505271">
    <w:abstractNumId w:val="0"/>
  </w:num>
  <w:num w:numId="13" w16cid:durableId="954823299">
    <w:abstractNumId w:val="1"/>
  </w:num>
  <w:num w:numId="14" w16cid:durableId="1526022241">
    <w:abstractNumId w:val="0"/>
  </w:num>
  <w:num w:numId="15" w16cid:durableId="888145737">
    <w:abstractNumId w:val="1"/>
  </w:num>
  <w:num w:numId="16" w16cid:durableId="1598097866">
    <w:abstractNumId w:val="0"/>
  </w:num>
  <w:num w:numId="17" w16cid:durableId="977804752">
    <w:abstractNumId w:val="1"/>
  </w:num>
  <w:num w:numId="18" w16cid:durableId="911625753">
    <w:abstractNumId w:val="0"/>
  </w:num>
  <w:num w:numId="19" w16cid:durableId="1758792019">
    <w:abstractNumId w:val="1"/>
  </w:num>
  <w:num w:numId="20" w16cid:durableId="340670619">
    <w:abstractNumId w:val="0"/>
  </w:num>
  <w:num w:numId="21" w16cid:durableId="1931771007">
    <w:abstractNumId w:val="1"/>
  </w:num>
  <w:num w:numId="22" w16cid:durableId="974410142">
    <w:abstractNumId w:val="0"/>
  </w:num>
  <w:num w:numId="23" w16cid:durableId="1284917698">
    <w:abstractNumId w:val="1"/>
  </w:num>
  <w:num w:numId="24" w16cid:durableId="42026348">
    <w:abstractNumId w:val="0"/>
  </w:num>
  <w:num w:numId="25" w16cid:durableId="560678689">
    <w:abstractNumId w:val="1"/>
  </w:num>
  <w:num w:numId="26" w16cid:durableId="2136673075">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83F"/>
    <w:rsid w:val="00002A95"/>
    <w:rsid w:val="00016BFF"/>
    <w:rsid w:val="00023B19"/>
    <w:rsid w:val="00024143"/>
    <w:rsid w:val="000273E2"/>
    <w:rsid w:val="000302CB"/>
    <w:rsid w:val="0003314D"/>
    <w:rsid w:val="0003345B"/>
    <w:rsid w:val="000352CE"/>
    <w:rsid w:val="00037AE3"/>
    <w:rsid w:val="00046BAC"/>
    <w:rsid w:val="00051882"/>
    <w:rsid w:val="000519CB"/>
    <w:rsid w:val="000529FB"/>
    <w:rsid w:val="00053353"/>
    <w:rsid w:val="0007314F"/>
    <w:rsid w:val="0007352D"/>
    <w:rsid w:val="000759D7"/>
    <w:rsid w:val="000806BF"/>
    <w:rsid w:val="00096F04"/>
    <w:rsid w:val="000B0D2F"/>
    <w:rsid w:val="000B5BB8"/>
    <w:rsid w:val="000E18F4"/>
    <w:rsid w:val="000E37A7"/>
    <w:rsid w:val="000E4BB2"/>
    <w:rsid w:val="000E65CD"/>
    <w:rsid w:val="000E6A66"/>
    <w:rsid w:val="000F0956"/>
    <w:rsid w:val="000F4B54"/>
    <w:rsid w:val="000F5288"/>
    <w:rsid w:val="0010334E"/>
    <w:rsid w:val="001114E2"/>
    <w:rsid w:val="001150A5"/>
    <w:rsid w:val="00115EF5"/>
    <w:rsid w:val="001161D6"/>
    <w:rsid w:val="00120CBF"/>
    <w:rsid w:val="00124429"/>
    <w:rsid w:val="001511C6"/>
    <w:rsid w:val="00151BCA"/>
    <w:rsid w:val="00152B21"/>
    <w:rsid w:val="00153133"/>
    <w:rsid w:val="00157D7E"/>
    <w:rsid w:val="00167858"/>
    <w:rsid w:val="0018485A"/>
    <w:rsid w:val="001A2EEC"/>
    <w:rsid w:val="001A317D"/>
    <w:rsid w:val="001A5319"/>
    <w:rsid w:val="001A5D1B"/>
    <w:rsid w:val="001B05BD"/>
    <w:rsid w:val="001B16E8"/>
    <w:rsid w:val="001B25F3"/>
    <w:rsid w:val="001B28C3"/>
    <w:rsid w:val="001B65F0"/>
    <w:rsid w:val="001B7781"/>
    <w:rsid w:val="001C1929"/>
    <w:rsid w:val="001C795E"/>
    <w:rsid w:val="001D11B2"/>
    <w:rsid w:val="001D3BFB"/>
    <w:rsid w:val="001D4146"/>
    <w:rsid w:val="001D421A"/>
    <w:rsid w:val="001E3BE9"/>
    <w:rsid w:val="001E4F5C"/>
    <w:rsid w:val="001F314A"/>
    <w:rsid w:val="00202A19"/>
    <w:rsid w:val="00203B28"/>
    <w:rsid w:val="0020467E"/>
    <w:rsid w:val="002129C3"/>
    <w:rsid w:val="00216F12"/>
    <w:rsid w:val="0022028B"/>
    <w:rsid w:val="00223F3F"/>
    <w:rsid w:val="00235A6C"/>
    <w:rsid w:val="002443A6"/>
    <w:rsid w:val="002654C5"/>
    <w:rsid w:val="002662C7"/>
    <w:rsid w:val="00276B2C"/>
    <w:rsid w:val="00284EA0"/>
    <w:rsid w:val="002862AA"/>
    <w:rsid w:val="00297C01"/>
    <w:rsid w:val="002C0EC4"/>
    <w:rsid w:val="002C237B"/>
    <w:rsid w:val="002C5235"/>
    <w:rsid w:val="002D71C5"/>
    <w:rsid w:val="002E13B6"/>
    <w:rsid w:val="002E5374"/>
    <w:rsid w:val="002F3DFB"/>
    <w:rsid w:val="0030447C"/>
    <w:rsid w:val="00307EC7"/>
    <w:rsid w:val="00322024"/>
    <w:rsid w:val="003222A6"/>
    <w:rsid w:val="00327EB5"/>
    <w:rsid w:val="0033786F"/>
    <w:rsid w:val="00344C67"/>
    <w:rsid w:val="00365730"/>
    <w:rsid w:val="003819B7"/>
    <w:rsid w:val="00382314"/>
    <w:rsid w:val="00383074"/>
    <w:rsid w:val="00386CFF"/>
    <w:rsid w:val="003962D0"/>
    <w:rsid w:val="003A0EA7"/>
    <w:rsid w:val="003A2657"/>
    <w:rsid w:val="003A2717"/>
    <w:rsid w:val="003A4659"/>
    <w:rsid w:val="003B4C81"/>
    <w:rsid w:val="003C0DD6"/>
    <w:rsid w:val="003C5E84"/>
    <w:rsid w:val="003C7EA7"/>
    <w:rsid w:val="003D221C"/>
    <w:rsid w:val="003D502F"/>
    <w:rsid w:val="003D75CD"/>
    <w:rsid w:val="003D7ADE"/>
    <w:rsid w:val="003E022D"/>
    <w:rsid w:val="003E0578"/>
    <w:rsid w:val="003F4293"/>
    <w:rsid w:val="003F5B1B"/>
    <w:rsid w:val="003F6A6B"/>
    <w:rsid w:val="003F6BE6"/>
    <w:rsid w:val="003F78C2"/>
    <w:rsid w:val="00400EE6"/>
    <w:rsid w:val="00401236"/>
    <w:rsid w:val="00401D4C"/>
    <w:rsid w:val="004027D5"/>
    <w:rsid w:val="00404F18"/>
    <w:rsid w:val="004108D3"/>
    <w:rsid w:val="00414332"/>
    <w:rsid w:val="00421D05"/>
    <w:rsid w:val="0042486F"/>
    <w:rsid w:val="00426606"/>
    <w:rsid w:val="0042788F"/>
    <w:rsid w:val="004349A7"/>
    <w:rsid w:val="0044179A"/>
    <w:rsid w:val="00441F45"/>
    <w:rsid w:val="0045144F"/>
    <w:rsid w:val="00454057"/>
    <w:rsid w:val="00454BCF"/>
    <w:rsid w:val="00463FCA"/>
    <w:rsid w:val="00467E46"/>
    <w:rsid w:val="0047156B"/>
    <w:rsid w:val="0047168D"/>
    <w:rsid w:val="004734D6"/>
    <w:rsid w:val="00480399"/>
    <w:rsid w:val="00486270"/>
    <w:rsid w:val="004A192F"/>
    <w:rsid w:val="004A2854"/>
    <w:rsid w:val="004A34AB"/>
    <w:rsid w:val="004A4597"/>
    <w:rsid w:val="004B068C"/>
    <w:rsid w:val="004B1834"/>
    <w:rsid w:val="004B29F8"/>
    <w:rsid w:val="004B3001"/>
    <w:rsid w:val="004B36C0"/>
    <w:rsid w:val="004B3A29"/>
    <w:rsid w:val="004C13EB"/>
    <w:rsid w:val="004C2C1A"/>
    <w:rsid w:val="004C4A76"/>
    <w:rsid w:val="004C5B69"/>
    <w:rsid w:val="004D1756"/>
    <w:rsid w:val="004D44AE"/>
    <w:rsid w:val="004D542D"/>
    <w:rsid w:val="004D58AC"/>
    <w:rsid w:val="004E232F"/>
    <w:rsid w:val="004E307D"/>
    <w:rsid w:val="004F02E1"/>
    <w:rsid w:val="004F1AD8"/>
    <w:rsid w:val="004F4641"/>
    <w:rsid w:val="004F5C23"/>
    <w:rsid w:val="005055D5"/>
    <w:rsid w:val="00521066"/>
    <w:rsid w:val="00521559"/>
    <w:rsid w:val="00530E98"/>
    <w:rsid w:val="00533DA1"/>
    <w:rsid w:val="00536B8C"/>
    <w:rsid w:val="00545D6A"/>
    <w:rsid w:val="00546490"/>
    <w:rsid w:val="0055001D"/>
    <w:rsid w:val="0055561F"/>
    <w:rsid w:val="0056578A"/>
    <w:rsid w:val="0056595B"/>
    <w:rsid w:val="00566B45"/>
    <w:rsid w:val="00571C0D"/>
    <w:rsid w:val="00572C4C"/>
    <w:rsid w:val="00575FD1"/>
    <w:rsid w:val="0057605E"/>
    <w:rsid w:val="00576E09"/>
    <w:rsid w:val="00577261"/>
    <w:rsid w:val="00581DB2"/>
    <w:rsid w:val="005836D3"/>
    <w:rsid w:val="00585ED0"/>
    <w:rsid w:val="00592F81"/>
    <w:rsid w:val="00594747"/>
    <w:rsid w:val="00594844"/>
    <w:rsid w:val="005962F0"/>
    <w:rsid w:val="005A646E"/>
    <w:rsid w:val="005A6F41"/>
    <w:rsid w:val="005A7AE7"/>
    <w:rsid w:val="005C5C76"/>
    <w:rsid w:val="005D15B8"/>
    <w:rsid w:val="005E150A"/>
    <w:rsid w:val="005E48D3"/>
    <w:rsid w:val="005E7DD5"/>
    <w:rsid w:val="0060388A"/>
    <w:rsid w:val="006111D5"/>
    <w:rsid w:val="006111F5"/>
    <w:rsid w:val="00623E11"/>
    <w:rsid w:val="006411DE"/>
    <w:rsid w:val="006448C5"/>
    <w:rsid w:val="00645DC5"/>
    <w:rsid w:val="006555BD"/>
    <w:rsid w:val="006619A5"/>
    <w:rsid w:val="00664027"/>
    <w:rsid w:val="006644A2"/>
    <w:rsid w:val="006676E2"/>
    <w:rsid w:val="00682B8C"/>
    <w:rsid w:val="00685EB4"/>
    <w:rsid w:val="00694B9D"/>
    <w:rsid w:val="006A2BB4"/>
    <w:rsid w:val="006A4C05"/>
    <w:rsid w:val="006A7E90"/>
    <w:rsid w:val="006B5540"/>
    <w:rsid w:val="006C2B84"/>
    <w:rsid w:val="006C3DFC"/>
    <w:rsid w:val="006D258C"/>
    <w:rsid w:val="006D5D28"/>
    <w:rsid w:val="006E210A"/>
    <w:rsid w:val="006E260B"/>
    <w:rsid w:val="00702BE5"/>
    <w:rsid w:val="007142DC"/>
    <w:rsid w:val="007155B8"/>
    <w:rsid w:val="007206B0"/>
    <w:rsid w:val="007373E7"/>
    <w:rsid w:val="007424F5"/>
    <w:rsid w:val="007434C1"/>
    <w:rsid w:val="0074442C"/>
    <w:rsid w:val="007457CC"/>
    <w:rsid w:val="00745F82"/>
    <w:rsid w:val="00756D14"/>
    <w:rsid w:val="00777A2F"/>
    <w:rsid w:val="00787B6E"/>
    <w:rsid w:val="00793E80"/>
    <w:rsid w:val="007A3489"/>
    <w:rsid w:val="007A75E1"/>
    <w:rsid w:val="007B0FF9"/>
    <w:rsid w:val="007B448B"/>
    <w:rsid w:val="007B4F54"/>
    <w:rsid w:val="007B5701"/>
    <w:rsid w:val="007B62B5"/>
    <w:rsid w:val="007B6DCF"/>
    <w:rsid w:val="007B74A1"/>
    <w:rsid w:val="007B755F"/>
    <w:rsid w:val="007C5AB3"/>
    <w:rsid w:val="007C7474"/>
    <w:rsid w:val="007D0B6D"/>
    <w:rsid w:val="007D24CE"/>
    <w:rsid w:val="007E0C7A"/>
    <w:rsid w:val="007E1A80"/>
    <w:rsid w:val="007E40CF"/>
    <w:rsid w:val="007E5C0E"/>
    <w:rsid w:val="007E78D0"/>
    <w:rsid w:val="007F2417"/>
    <w:rsid w:val="007F43B0"/>
    <w:rsid w:val="007F44CD"/>
    <w:rsid w:val="007F5E1D"/>
    <w:rsid w:val="007F6F53"/>
    <w:rsid w:val="00812E94"/>
    <w:rsid w:val="008152E5"/>
    <w:rsid w:val="00822118"/>
    <w:rsid w:val="00825846"/>
    <w:rsid w:val="00830654"/>
    <w:rsid w:val="00830A17"/>
    <w:rsid w:val="008351F7"/>
    <w:rsid w:val="008352F5"/>
    <w:rsid w:val="008432CE"/>
    <w:rsid w:val="00844F70"/>
    <w:rsid w:val="00853805"/>
    <w:rsid w:val="00855097"/>
    <w:rsid w:val="00863C53"/>
    <w:rsid w:val="00870508"/>
    <w:rsid w:val="008715FF"/>
    <w:rsid w:val="0088085E"/>
    <w:rsid w:val="00880D66"/>
    <w:rsid w:val="00882B9B"/>
    <w:rsid w:val="008854C8"/>
    <w:rsid w:val="00891E7D"/>
    <w:rsid w:val="008924D4"/>
    <w:rsid w:val="008934B9"/>
    <w:rsid w:val="008A0E9B"/>
    <w:rsid w:val="008A2229"/>
    <w:rsid w:val="008A58B7"/>
    <w:rsid w:val="008C14C1"/>
    <w:rsid w:val="008C483F"/>
    <w:rsid w:val="008C6CED"/>
    <w:rsid w:val="008C6EDB"/>
    <w:rsid w:val="008D1807"/>
    <w:rsid w:val="008D2634"/>
    <w:rsid w:val="008D5616"/>
    <w:rsid w:val="008D5D95"/>
    <w:rsid w:val="008F2E4E"/>
    <w:rsid w:val="009113C7"/>
    <w:rsid w:val="00911AD9"/>
    <w:rsid w:val="00912E02"/>
    <w:rsid w:val="00920846"/>
    <w:rsid w:val="00920A21"/>
    <w:rsid w:val="00943B46"/>
    <w:rsid w:val="00944DCE"/>
    <w:rsid w:val="009515D7"/>
    <w:rsid w:val="009552F9"/>
    <w:rsid w:val="00964244"/>
    <w:rsid w:val="00964553"/>
    <w:rsid w:val="009660DC"/>
    <w:rsid w:val="009669D4"/>
    <w:rsid w:val="00967D5F"/>
    <w:rsid w:val="00974857"/>
    <w:rsid w:val="00985126"/>
    <w:rsid w:val="009876BE"/>
    <w:rsid w:val="009A7FF6"/>
    <w:rsid w:val="009B2C13"/>
    <w:rsid w:val="009C1810"/>
    <w:rsid w:val="009C3A95"/>
    <w:rsid w:val="009C6886"/>
    <w:rsid w:val="009D0CF3"/>
    <w:rsid w:val="009D4CCF"/>
    <w:rsid w:val="009D7A85"/>
    <w:rsid w:val="009E340F"/>
    <w:rsid w:val="009E4ACD"/>
    <w:rsid w:val="009E5005"/>
    <w:rsid w:val="009F4CD6"/>
    <w:rsid w:val="009F6A07"/>
    <w:rsid w:val="00A10362"/>
    <w:rsid w:val="00A113F2"/>
    <w:rsid w:val="00A11404"/>
    <w:rsid w:val="00A17C37"/>
    <w:rsid w:val="00A369F3"/>
    <w:rsid w:val="00A36C3E"/>
    <w:rsid w:val="00A37E53"/>
    <w:rsid w:val="00A41C64"/>
    <w:rsid w:val="00A42F8A"/>
    <w:rsid w:val="00A44F4E"/>
    <w:rsid w:val="00A50A1E"/>
    <w:rsid w:val="00A543D6"/>
    <w:rsid w:val="00A55E72"/>
    <w:rsid w:val="00A60EAB"/>
    <w:rsid w:val="00A61330"/>
    <w:rsid w:val="00A661C3"/>
    <w:rsid w:val="00A70628"/>
    <w:rsid w:val="00A74D7C"/>
    <w:rsid w:val="00A94520"/>
    <w:rsid w:val="00AA2F41"/>
    <w:rsid w:val="00AA3192"/>
    <w:rsid w:val="00AA7D4C"/>
    <w:rsid w:val="00AB7501"/>
    <w:rsid w:val="00AC20F1"/>
    <w:rsid w:val="00AC4B2B"/>
    <w:rsid w:val="00AC4E71"/>
    <w:rsid w:val="00AD1145"/>
    <w:rsid w:val="00AD44AF"/>
    <w:rsid w:val="00AE583E"/>
    <w:rsid w:val="00AE5D15"/>
    <w:rsid w:val="00AE631D"/>
    <w:rsid w:val="00AE6EFA"/>
    <w:rsid w:val="00AF05B3"/>
    <w:rsid w:val="00AF16EB"/>
    <w:rsid w:val="00AF5229"/>
    <w:rsid w:val="00B04CA4"/>
    <w:rsid w:val="00B06A74"/>
    <w:rsid w:val="00B1382C"/>
    <w:rsid w:val="00B23FEC"/>
    <w:rsid w:val="00B31455"/>
    <w:rsid w:val="00B31C9E"/>
    <w:rsid w:val="00B50E21"/>
    <w:rsid w:val="00B527EA"/>
    <w:rsid w:val="00B5328F"/>
    <w:rsid w:val="00B54CDF"/>
    <w:rsid w:val="00B54E5C"/>
    <w:rsid w:val="00B61379"/>
    <w:rsid w:val="00B71621"/>
    <w:rsid w:val="00B7489C"/>
    <w:rsid w:val="00B74F64"/>
    <w:rsid w:val="00B7596B"/>
    <w:rsid w:val="00B77C81"/>
    <w:rsid w:val="00B8194C"/>
    <w:rsid w:val="00B8435C"/>
    <w:rsid w:val="00BA6A06"/>
    <w:rsid w:val="00BB1DF6"/>
    <w:rsid w:val="00BB3270"/>
    <w:rsid w:val="00BB39E4"/>
    <w:rsid w:val="00BB3F27"/>
    <w:rsid w:val="00BB56FB"/>
    <w:rsid w:val="00BC0859"/>
    <w:rsid w:val="00BC32F4"/>
    <w:rsid w:val="00BC744B"/>
    <w:rsid w:val="00BC7EB3"/>
    <w:rsid w:val="00BD4FAD"/>
    <w:rsid w:val="00BD74F7"/>
    <w:rsid w:val="00BF1494"/>
    <w:rsid w:val="00C03F94"/>
    <w:rsid w:val="00C201F8"/>
    <w:rsid w:val="00C24492"/>
    <w:rsid w:val="00C24833"/>
    <w:rsid w:val="00C350DC"/>
    <w:rsid w:val="00C40DA0"/>
    <w:rsid w:val="00C430A8"/>
    <w:rsid w:val="00C43705"/>
    <w:rsid w:val="00C4427F"/>
    <w:rsid w:val="00C44432"/>
    <w:rsid w:val="00C50710"/>
    <w:rsid w:val="00C52246"/>
    <w:rsid w:val="00C604D1"/>
    <w:rsid w:val="00C63ADB"/>
    <w:rsid w:val="00C73AD9"/>
    <w:rsid w:val="00C77091"/>
    <w:rsid w:val="00C77A77"/>
    <w:rsid w:val="00C814E1"/>
    <w:rsid w:val="00C85052"/>
    <w:rsid w:val="00C873A6"/>
    <w:rsid w:val="00C90953"/>
    <w:rsid w:val="00C9392D"/>
    <w:rsid w:val="00CA0162"/>
    <w:rsid w:val="00CB556E"/>
    <w:rsid w:val="00CB7621"/>
    <w:rsid w:val="00CC01DF"/>
    <w:rsid w:val="00CC1689"/>
    <w:rsid w:val="00CD31DF"/>
    <w:rsid w:val="00CD4400"/>
    <w:rsid w:val="00CE4DDD"/>
    <w:rsid w:val="00CE5EE5"/>
    <w:rsid w:val="00CE743D"/>
    <w:rsid w:val="00CF2E07"/>
    <w:rsid w:val="00CF4C21"/>
    <w:rsid w:val="00CF788D"/>
    <w:rsid w:val="00D02DE1"/>
    <w:rsid w:val="00D124F2"/>
    <w:rsid w:val="00D177DD"/>
    <w:rsid w:val="00D17F8E"/>
    <w:rsid w:val="00D24AB5"/>
    <w:rsid w:val="00D30491"/>
    <w:rsid w:val="00D33603"/>
    <w:rsid w:val="00D45554"/>
    <w:rsid w:val="00D55316"/>
    <w:rsid w:val="00D614DC"/>
    <w:rsid w:val="00D65100"/>
    <w:rsid w:val="00D75711"/>
    <w:rsid w:val="00D75B90"/>
    <w:rsid w:val="00D9463F"/>
    <w:rsid w:val="00D95641"/>
    <w:rsid w:val="00D969AF"/>
    <w:rsid w:val="00DA3CEB"/>
    <w:rsid w:val="00DB085C"/>
    <w:rsid w:val="00DB1F8B"/>
    <w:rsid w:val="00DB5151"/>
    <w:rsid w:val="00DB5625"/>
    <w:rsid w:val="00DC06F6"/>
    <w:rsid w:val="00DC0AB5"/>
    <w:rsid w:val="00DC399A"/>
    <w:rsid w:val="00DC5AC5"/>
    <w:rsid w:val="00DE5A13"/>
    <w:rsid w:val="00DE6B7F"/>
    <w:rsid w:val="00DF11B1"/>
    <w:rsid w:val="00DF1B7C"/>
    <w:rsid w:val="00DF2EAA"/>
    <w:rsid w:val="00DF5157"/>
    <w:rsid w:val="00E02159"/>
    <w:rsid w:val="00E03695"/>
    <w:rsid w:val="00E1438C"/>
    <w:rsid w:val="00E23124"/>
    <w:rsid w:val="00E2679B"/>
    <w:rsid w:val="00E269BA"/>
    <w:rsid w:val="00E26F3D"/>
    <w:rsid w:val="00E27B50"/>
    <w:rsid w:val="00E31225"/>
    <w:rsid w:val="00E336C9"/>
    <w:rsid w:val="00E339C7"/>
    <w:rsid w:val="00E36A21"/>
    <w:rsid w:val="00E42E44"/>
    <w:rsid w:val="00E50782"/>
    <w:rsid w:val="00E54DD0"/>
    <w:rsid w:val="00E55D63"/>
    <w:rsid w:val="00E55D97"/>
    <w:rsid w:val="00E6236B"/>
    <w:rsid w:val="00E64CA2"/>
    <w:rsid w:val="00E668C1"/>
    <w:rsid w:val="00E6716E"/>
    <w:rsid w:val="00E7126B"/>
    <w:rsid w:val="00E71BA3"/>
    <w:rsid w:val="00E750B6"/>
    <w:rsid w:val="00E75320"/>
    <w:rsid w:val="00E756C7"/>
    <w:rsid w:val="00E7780E"/>
    <w:rsid w:val="00E85F52"/>
    <w:rsid w:val="00E8625B"/>
    <w:rsid w:val="00E9142E"/>
    <w:rsid w:val="00E96E69"/>
    <w:rsid w:val="00EA4676"/>
    <w:rsid w:val="00EA484D"/>
    <w:rsid w:val="00EA5676"/>
    <w:rsid w:val="00EA6CA1"/>
    <w:rsid w:val="00EB5590"/>
    <w:rsid w:val="00EC0A4F"/>
    <w:rsid w:val="00EC63FC"/>
    <w:rsid w:val="00EC655C"/>
    <w:rsid w:val="00ED473A"/>
    <w:rsid w:val="00ED7DC8"/>
    <w:rsid w:val="00EE011B"/>
    <w:rsid w:val="00EE7B38"/>
    <w:rsid w:val="00EF4C1D"/>
    <w:rsid w:val="00EF7CFB"/>
    <w:rsid w:val="00F010F7"/>
    <w:rsid w:val="00F0259C"/>
    <w:rsid w:val="00F04807"/>
    <w:rsid w:val="00F0629C"/>
    <w:rsid w:val="00F1657B"/>
    <w:rsid w:val="00F41E25"/>
    <w:rsid w:val="00F47AD4"/>
    <w:rsid w:val="00F53EFF"/>
    <w:rsid w:val="00F619A7"/>
    <w:rsid w:val="00F718C3"/>
    <w:rsid w:val="00F75A5B"/>
    <w:rsid w:val="00F767F6"/>
    <w:rsid w:val="00F76CB2"/>
    <w:rsid w:val="00F8052D"/>
    <w:rsid w:val="00F82EE7"/>
    <w:rsid w:val="00F83A13"/>
    <w:rsid w:val="00F90367"/>
    <w:rsid w:val="00F92EDF"/>
    <w:rsid w:val="00F95C6F"/>
    <w:rsid w:val="00FB2499"/>
    <w:rsid w:val="00FB2600"/>
    <w:rsid w:val="00FB2DAA"/>
    <w:rsid w:val="00FB48D2"/>
    <w:rsid w:val="00FB7742"/>
    <w:rsid w:val="00FC49F3"/>
    <w:rsid w:val="00FC7953"/>
    <w:rsid w:val="00FD5708"/>
    <w:rsid w:val="00FE0B35"/>
    <w:rsid w:val="00FE57F9"/>
    <w:rsid w:val="00FF286B"/>
    <w:rsid w:val="00FF2E2B"/>
    <w:rsid w:val="00FF7C11"/>
  </w:rsids>
  <m:mathPr>
    <m:mathFont m:val="Cambria Math"/>
    <m:brkBin m:val="before"/>
    <m:brkBinSub m:val="--"/>
    <m:smallFrac m:val="0"/>
    <m:dispDef/>
    <m:lMargin m:val="0"/>
    <m:rMargin m:val="0"/>
    <m:defJc m:val="centerGroup"/>
    <m:wrapRight/>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5AC599"/>
  <w15:docId w15:val="{6E1A51C6-9C03-4126-A667-3C1449AB8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153133"/>
    <w:pPr>
      <w:spacing w:after="0" w:line="276" w:lineRule="auto"/>
    </w:pPr>
    <w:rPr>
      <w:lang w:val="fr-CH"/>
    </w:rPr>
  </w:style>
  <w:style w:type="paragraph" w:styleId="Titre1">
    <w:name w:val="heading 1"/>
    <w:basedOn w:val="Normal"/>
    <w:next w:val="Corpsdetexte"/>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Titre2">
    <w:name w:val="heading 2"/>
    <w:basedOn w:val="Normal"/>
    <w:next w:val="Corpsdetexte"/>
    <w:uiPriority w:val="9"/>
    <w:qFormat/>
    <w:rsid w:val="00855097"/>
    <w:pPr>
      <w:keepNext/>
      <w:keepLines/>
      <w:spacing w:before="240" w:after="60"/>
      <w:outlineLvl w:val="1"/>
    </w:pPr>
    <w:rPr>
      <w:rFonts w:eastAsiaTheme="majorEastAsia" w:cs="Open Sans SemiCondensed"/>
      <w:b/>
      <w:bCs/>
      <w:szCs w:val="24"/>
    </w:rPr>
  </w:style>
  <w:style w:type="paragraph" w:styleId="Titre3">
    <w:name w:val="heading 3"/>
    <w:basedOn w:val="Normal"/>
    <w:next w:val="Corpsdetexte"/>
    <w:uiPriority w:val="9"/>
    <w:qFormat/>
    <w:rsid w:val="009E5005"/>
    <w:pPr>
      <w:keepNext/>
      <w:keepLines/>
      <w:spacing w:before="120" w:after="60"/>
      <w:outlineLvl w:val="2"/>
    </w:pPr>
    <w:rPr>
      <w:rFonts w:eastAsiaTheme="majorEastAsia" w:cs="Open Sans SemiCondensed"/>
      <w:bCs/>
      <w:i/>
    </w:rPr>
  </w:style>
  <w:style w:type="paragraph" w:styleId="Titre4">
    <w:name w:val="heading 4"/>
    <w:basedOn w:val="Normal"/>
    <w:next w:val="Corpsdetexte"/>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Titre5">
    <w:name w:val="heading 5"/>
    <w:basedOn w:val="Normal"/>
    <w:next w:val="Corpsdetexte"/>
    <w:uiPriority w:val="9"/>
    <w:unhideWhenUsed/>
    <w:rsid w:val="00153133"/>
    <w:pPr>
      <w:keepNext/>
      <w:keepLines/>
      <w:numPr>
        <w:ilvl w:val="4"/>
        <w:numId w:val="3"/>
      </w:numPr>
      <w:spacing w:before="200"/>
      <w:outlineLvl w:val="4"/>
    </w:pPr>
    <w:rPr>
      <w:rFonts w:eastAsiaTheme="majorEastAsia" w:cstheme="majorBidi"/>
      <w:iCs/>
      <w:sz w:val="24"/>
    </w:rPr>
  </w:style>
  <w:style w:type="paragraph" w:styleId="Titre6">
    <w:name w:val="heading 6"/>
    <w:basedOn w:val="Normal"/>
    <w:next w:val="Corpsdetexte"/>
    <w:uiPriority w:val="9"/>
    <w:unhideWhenUsed/>
    <w:rsid w:val="00153133"/>
    <w:pPr>
      <w:keepNext/>
      <w:keepLines/>
      <w:numPr>
        <w:ilvl w:val="5"/>
        <w:numId w:val="3"/>
      </w:numPr>
      <w:spacing w:before="200"/>
      <w:outlineLvl w:val="5"/>
    </w:pPr>
    <w:rPr>
      <w:rFonts w:eastAsiaTheme="majorEastAsia" w:cstheme="majorBidi"/>
      <w:sz w:val="24"/>
    </w:rPr>
  </w:style>
  <w:style w:type="paragraph" w:styleId="Titre7">
    <w:name w:val="heading 7"/>
    <w:basedOn w:val="Normal"/>
    <w:next w:val="Corpsdetexte"/>
    <w:uiPriority w:val="9"/>
    <w:unhideWhenUsed/>
    <w:rsid w:val="00153133"/>
    <w:pPr>
      <w:keepNext/>
      <w:keepLines/>
      <w:numPr>
        <w:ilvl w:val="6"/>
        <w:numId w:val="3"/>
      </w:numPr>
      <w:spacing w:before="200"/>
      <w:outlineLvl w:val="6"/>
    </w:pPr>
    <w:rPr>
      <w:rFonts w:eastAsiaTheme="majorEastAsia" w:cstheme="majorBidi"/>
      <w:sz w:val="24"/>
    </w:rPr>
  </w:style>
  <w:style w:type="paragraph" w:styleId="Titre8">
    <w:name w:val="heading 8"/>
    <w:basedOn w:val="Normal"/>
    <w:next w:val="Corpsdetexte"/>
    <w:uiPriority w:val="9"/>
    <w:unhideWhenUsed/>
    <w:rsid w:val="00153133"/>
    <w:pPr>
      <w:keepNext/>
      <w:keepLines/>
      <w:numPr>
        <w:ilvl w:val="7"/>
        <w:numId w:val="3"/>
      </w:numPr>
      <w:spacing w:before="200"/>
      <w:outlineLvl w:val="7"/>
    </w:pPr>
    <w:rPr>
      <w:rFonts w:eastAsiaTheme="majorEastAsia" w:cstheme="majorBidi"/>
      <w:sz w:val="24"/>
    </w:rPr>
  </w:style>
  <w:style w:type="paragraph" w:styleId="Titre9">
    <w:name w:val="heading 9"/>
    <w:basedOn w:val="Normal"/>
    <w:next w:val="Corpsdetexte"/>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qFormat/>
    <w:rsid w:val="007F5E1D"/>
    <w:pPr>
      <w:spacing w:before="60" w:after="60"/>
      <w:ind w:firstLine="170"/>
      <w:jc w:val="both"/>
    </w:pPr>
  </w:style>
  <w:style w:type="paragraph" w:customStyle="1" w:styleId="FirstParagraph">
    <w:name w:val="First Paragraph"/>
    <w:basedOn w:val="Corpsdetexte"/>
    <w:next w:val="Corpsdetexte"/>
  </w:style>
  <w:style w:type="paragraph" w:customStyle="1" w:styleId="Compact">
    <w:name w:val="Compact"/>
    <w:basedOn w:val="Corpsdetexte2"/>
    <w:pPr>
      <w:spacing w:before="36" w:after="36"/>
    </w:pPr>
  </w:style>
  <w:style w:type="paragraph" w:styleId="Titre">
    <w:name w:val="Title"/>
    <w:basedOn w:val="Normal"/>
    <w:next w:val="Corpsdetexte"/>
    <w:qFormat/>
    <w:rsid w:val="003D502F"/>
    <w:pPr>
      <w:keepNext/>
      <w:keepLines/>
      <w:spacing w:line="240" w:lineRule="auto"/>
    </w:pPr>
    <w:rPr>
      <w:rFonts w:eastAsiaTheme="majorEastAsia" w:cstheme="majorBidi"/>
      <w:b/>
      <w:bCs/>
      <w:color w:val="D31932" w:themeColor="accent1"/>
      <w:spacing w:val="20"/>
      <w:sz w:val="28"/>
      <w:szCs w:val="28"/>
    </w:rPr>
  </w:style>
  <w:style w:type="paragraph" w:styleId="Sous-titre">
    <w:name w:val="Subtitle"/>
    <w:basedOn w:val="Titre"/>
    <w:next w:val="Corpsdetexte"/>
    <w:link w:val="Sous-titreCar"/>
    <w:qFormat/>
    <w:rsid w:val="00EF7CFB"/>
    <w:pPr>
      <w:spacing w:before="120" w:after="120"/>
    </w:pPr>
    <w:rPr>
      <w:b w:val="0"/>
      <w:color w:val="auto"/>
      <w:sz w:val="24"/>
      <w:szCs w:val="30"/>
    </w:rPr>
  </w:style>
  <w:style w:type="paragraph" w:customStyle="1" w:styleId="Author">
    <w:name w:val="Author"/>
    <w:basedOn w:val="Normal"/>
    <w:next w:val="Corpsdetexte"/>
    <w:qFormat/>
    <w:rsid w:val="000352CE"/>
    <w:pPr>
      <w:keepNext/>
      <w:keepLines/>
      <w:spacing w:after="240"/>
    </w:pPr>
    <w:rPr>
      <w:szCs w:val="18"/>
    </w:rPr>
  </w:style>
  <w:style w:type="paragraph" w:styleId="Date">
    <w:name w:val="Date"/>
    <w:next w:val="Corpsdetexte"/>
    <w:pPr>
      <w:keepNext/>
      <w:keepLines/>
      <w:jc w:val="center"/>
    </w:pPr>
  </w:style>
  <w:style w:type="paragraph" w:customStyle="1" w:styleId="Abstract">
    <w:name w:val="Abstract"/>
    <w:basedOn w:val="Normal"/>
    <w:next w:val="Corpsdetexte"/>
    <w:qFormat/>
    <w:rsid w:val="00855097"/>
    <w:pPr>
      <w:keepNext/>
      <w:keepLines/>
      <w:spacing w:after="240"/>
      <w:jc w:val="both"/>
    </w:pPr>
    <w:rPr>
      <w:i/>
    </w:rPr>
  </w:style>
  <w:style w:type="paragraph" w:styleId="Bibliographie">
    <w:name w:val="Bibliography"/>
    <w:basedOn w:val="Normal"/>
    <w:qFormat/>
    <w:rsid w:val="00CF788D"/>
    <w:pPr>
      <w:ind w:left="567" w:hanging="567"/>
    </w:pPr>
  </w:style>
  <w:style w:type="paragraph" w:styleId="Normalcentr">
    <w:name w:val="Block Text"/>
    <w:basedOn w:val="Corpsdetexte"/>
    <w:next w:val="Corpsdetexte"/>
    <w:uiPriority w:val="9"/>
    <w:unhideWhenUsed/>
    <w:pPr>
      <w:spacing w:before="100" w:after="100"/>
      <w:ind w:left="480" w:right="480"/>
    </w:pPr>
  </w:style>
  <w:style w:type="paragraph" w:styleId="Notedebasdepage">
    <w:name w:val="footnote text"/>
    <w:basedOn w:val="Normal"/>
    <w:link w:val="NotedebasdepageCar"/>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pPr>
    <w:rPr>
      <w:b/>
    </w:rPr>
  </w:style>
  <w:style w:type="paragraph" w:customStyle="1" w:styleId="Definition">
    <w:name w:val="Definition"/>
    <w:basedOn w:val="Normal"/>
  </w:style>
  <w:style w:type="paragraph" w:customStyle="1" w:styleId="LegendeAbbildung">
    <w:name w:val="Legende Abbildung"/>
    <w:basedOn w:val="LegendeTabelle"/>
    <w:qFormat/>
    <w:rsid w:val="0047168D"/>
  </w:style>
  <w:style w:type="paragraph" w:customStyle="1" w:styleId="NotizTabelle">
    <w:name w:val="Notiz Tabelle"/>
    <w:basedOn w:val="Normal"/>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Normal"/>
  </w:style>
  <w:style w:type="character" w:customStyle="1" w:styleId="VerbatimChar">
    <w:name w:val="Verbatim Char"/>
    <w:basedOn w:val="Policepardfaut"/>
    <w:rsid w:val="006676E2"/>
    <w:rPr>
      <w:rFonts w:ascii="Open Sans SemiCondensed" w:hAnsi="Open Sans SemiCondensed"/>
      <w:b w:val="0"/>
      <w:bCs/>
      <w:i/>
      <w:iCs/>
      <w:color w:val="C00000"/>
      <w:sz w:val="22"/>
    </w:rPr>
  </w:style>
  <w:style w:type="character" w:customStyle="1" w:styleId="SectionNumber">
    <w:name w:val="Section Number"/>
    <w:basedOn w:val="Policepardfaut"/>
    <w:rsid w:val="006676E2"/>
    <w:rPr>
      <w:rFonts w:ascii="Open Sans SemiCondensed" w:hAnsi="Open Sans SemiCondensed"/>
      <w:b w:val="0"/>
      <w:bCs/>
      <w:i/>
      <w:iCs/>
      <w:color w:val="C00000"/>
      <w:sz w:val="20"/>
    </w:rPr>
  </w:style>
  <w:style w:type="character" w:styleId="Appelnotedebasdep">
    <w:name w:val="footnote reference"/>
    <w:basedOn w:val="Policepardfaut"/>
    <w:uiPriority w:val="99"/>
    <w:rsid w:val="00EF7CFB"/>
    <w:rPr>
      <w:rFonts w:ascii="Open Sans SemiCondensed" w:hAnsi="Open Sans SemiCondensed"/>
      <w:b w:val="0"/>
      <w:bCs/>
      <w:i w:val="0"/>
      <w:iCs/>
      <w:color w:val="auto"/>
      <w:sz w:val="20"/>
      <w:vertAlign w:val="superscript"/>
    </w:rPr>
  </w:style>
  <w:style w:type="character" w:styleId="Lienhypertexte">
    <w:name w:val="Hyperlink"/>
    <w:basedOn w:val="NotedebasdepageCar"/>
    <w:rsid w:val="003D502F"/>
    <w:rPr>
      <w:rFonts w:ascii="Open Sans SemiCondensed" w:hAnsi="Open Sans SemiCondensed"/>
      <w:b w:val="0"/>
      <w:bCs/>
      <w:i w:val="0"/>
      <w:iCs/>
      <w:color w:val="D31932" w:themeColor="accent1"/>
      <w:spacing w:val="-4"/>
      <w:sz w:val="20"/>
    </w:rPr>
  </w:style>
  <w:style w:type="paragraph" w:styleId="En-ttedetabledesmatires">
    <w:name w:val="TOC Heading"/>
    <w:basedOn w:val="Titre1"/>
    <w:next w:val="Corpsdetexte"/>
    <w:uiPriority w:val="39"/>
    <w:unhideWhenUsed/>
    <w:rsid w:val="00024143"/>
    <w:pPr>
      <w:spacing w:line="259" w:lineRule="auto"/>
      <w:outlineLvl w:val="9"/>
    </w:pPr>
    <w:rPr>
      <w:bCs w:val="0"/>
      <w:color w:val="auto"/>
    </w:rPr>
  </w:style>
  <w:style w:type="paragraph" w:styleId="En-tte">
    <w:name w:val="header"/>
    <w:basedOn w:val="Normal"/>
    <w:link w:val="En-tteCar"/>
    <w:unhideWhenUsed/>
    <w:rsid w:val="004B3A29"/>
    <w:pPr>
      <w:tabs>
        <w:tab w:val="center" w:pos="4513"/>
        <w:tab w:val="right" w:pos="9026"/>
      </w:tabs>
    </w:pPr>
  </w:style>
  <w:style w:type="character" w:customStyle="1" w:styleId="CorpsdetexteCar">
    <w:name w:val="Corps de texte Car"/>
    <w:basedOn w:val="Policepardfaut"/>
    <w:link w:val="Corpsdetexte"/>
    <w:rsid w:val="007F5E1D"/>
  </w:style>
  <w:style w:type="character" w:customStyle="1" w:styleId="En-tteCar">
    <w:name w:val="En-tête Car"/>
    <w:basedOn w:val="Policepardfaut"/>
    <w:link w:val="En-tte"/>
    <w:rsid w:val="004B3A29"/>
    <w:rPr>
      <w:rFonts w:ascii="Open Sans SemiCondensed" w:hAnsi="Open Sans SemiCondensed"/>
      <w:sz w:val="20"/>
    </w:rPr>
  </w:style>
  <w:style w:type="paragraph" w:styleId="Pieddepage">
    <w:name w:val="footer"/>
    <w:basedOn w:val="Normal"/>
    <w:link w:val="PieddepageCar"/>
    <w:unhideWhenUsed/>
    <w:rsid w:val="007B448B"/>
    <w:pPr>
      <w:tabs>
        <w:tab w:val="center" w:pos="4513"/>
        <w:tab w:val="right" w:pos="9026"/>
      </w:tabs>
    </w:pPr>
    <w:rPr>
      <w:sz w:val="18"/>
    </w:rPr>
  </w:style>
  <w:style w:type="character" w:customStyle="1" w:styleId="PieddepageCar">
    <w:name w:val="Pied de page Car"/>
    <w:basedOn w:val="Policepardfaut"/>
    <w:link w:val="Pieddepage"/>
    <w:rsid w:val="007B448B"/>
    <w:rPr>
      <w:rFonts w:ascii="Open Sans SemiCondensed" w:hAnsi="Open Sans SemiCondensed"/>
      <w:spacing w:val="-4"/>
      <w:sz w:val="18"/>
    </w:rPr>
  </w:style>
  <w:style w:type="paragraph" w:customStyle="1" w:styleId="Themenschwerpunkt">
    <w:name w:val="Themenschwerpunkt"/>
    <w:basedOn w:val="En-tt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En-tteCar"/>
    <w:link w:val="Themenschwerpunkt"/>
    <w:rsid w:val="00CC1689"/>
    <w:rPr>
      <w:rFonts w:ascii="Open Sans SemiCondensed" w:hAnsi="Open Sans SemiCondensed"/>
      <w:b/>
      <w:noProof/>
      <w:spacing w:val="0"/>
      <w:sz w:val="14"/>
      <w:szCs w:val="22"/>
      <w:lang w:val="de-DE"/>
    </w:rPr>
  </w:style>
  <w:style w:type="paragraph" w:styleId="Corpsdetexte2">
    <w:name w:val="Body Text 2"/>
    <w:basedOn w:val="Corpsdetexte"/>
    <w:link w:val="Corpsdetexte2Car"/>
    <w:rsid w:val="007F5E1D"/>
    <w:pPr>
      <w:ind w:firstLine="0"/>
    </w:pPr>
  </w:style>
  <w:style w:type="character" w:customStyle="1" w:styleId="Corpsdetexte2Car">
    <w:name w:val="Corps de texte 2 Car"/>
    <w:basedOn w:val="Policepardfaut"/>
    <w:link w:val="Corpsdetexte2"/>
    <w:rsid w:val="007F5E1D"/>
  </w:style>
  <w:style w:type="paragraph" w:styleId="Corpsdetexte3">
    <w:name w:val="Body Text 3"/>
    <w:basedOn w:val="Corpsdetexte"/>
    <w:link w:val="Corpsdetexte3Car"/>
    <w:rsid w:val="00C24833"/>
    <w:pPr>
      <w:spacing w:before="0" w:after="0"/>
      <w:ind w:firstLine="0"/>
      <w:jc w:val="left"/>
    </w:pPr>
  </w:style>
  <w:style w:type="character" w:customStyle="1" w:styleId="Corpsdetexte3Car">
    <w:name w:val="Corps de texte 3 Car"/>
    <w:basedOn w:val="Policepardfaut"/>
    <w:link w:val="Corpsdetexte3"/>
    <w:rsid w:val="00C24833"/>
    <w:rPr>
      <w:lang w:val="de-CH"/>
    </w:rPr>
  </w:style>
  <w:style w:type="paragraph" w:customStyle="1" w:styleId="LegendeTabelle">
    <w:name w:val="Legende Tabelle"/>
    <w:basedOn w:val="Normal"/>
    <w:qFormat/>
    <w:rsid w:val="003D502F"/>
    <w:pPr>
      <w:keepNext/>
      <w:spacing w:before="120" w:after="120" w:line="240" w:lineRule="auto"/>
    </w:pPr>
    <w:rPr>
      <w:bCs/>
      <w:i/>
      <w:iCs/>
      <w:color w:val="D31932" w:themeColor="accent1"/>
    </w:rPr>
  </w:style>
  <w:style w:type="paragraph" w:styleId="Liste">
    <w:name w:val="List"/>
    <w:basedOn w:val="Normal"/>
    <w:unhideWhenUsed/>
    <w:qFormat/>
    <w:rsid w:val="00ED473A"/>
    <w:pPr>
      <w:numPr>
        <w:numId w:val="1"/>
      </w:numPr>
      <w:ind w:left="454" w:hanging="284"/>
      <w:contextualSpacing/>
    </w:pPr>
  </w:style>
  <w:style w:type="paragraph" w:styleId="Liste2">
    <w:name w:val="List 2"/>
    <w:basedOn w:val="Normal"/>
    <w:unhideWhenUsed/>
    <w:rsid w:val="00ED473A"/>
    <w:pPr>
      <w:numPr>
        <w:ilvl w:val="1"/>
        <w:numId w:val="1"/>
      </w:numPr>
      <w:ind w:left="794" w:hanging="284"/>
      <w:contextualSpacing/>
    </w:pPr>
  </w:style>
  <w:style w:type="paragraph" w:styleId="Liste3">
    <w:name w:val="List 3"/>
    <w:basedOn w:val="Normal"/>
    <w:unhideWhenUsed/>
    <w:rsid w:val="00ED473A"/>
    <w:pPr>
      <w:numPr>
        <w:ilvl w:val="2"/>
        <w:numId w:val="1"/>
      </w:numPr>
      <w:ind w:left="1135" w:hanging="284"/>
      <w:contextualSpacing/>
    </w:pPr>
  </w:style>
  <w:style w:type="paragraph" w:styleId="Index1">
    <w:name w:val="index 1"/>
    <w:basedOn w:val="Normal"/>
    <w:next w:val="Normal"/>
    <w:autoRedefine/>
    <w:rsid w:val="00571C0D"/>
    <w:pPr>
      <w:spacing w:line="240" w:lineRule="auto"/>
      <w:ind w:left="200" w:hanging="200"/>
    </w:pPr>
  </w:style>
  <w:style w:type="character" w:styleId="Mention">
    <w:name w:val="Mention"/>
    <w:basedOn w:val="Policepardfaut"/>
    <w:uiPriority w:val="99"/>
    <w:unhideWhenUsed/>
    <w:rsid w:val="00EA4676"/>
    <w:rPr>
      <w:color w:val="2B579A"/>
      <w:shd w:val="clear" w:color="auto" w:fill="E1DFDD"/>
    </w:rPr>
  </w:style>
  <w:style w:type="character" w:styleId="lev">
    <w:name w:val="Strong"/>
    <w:basedOn w:val="Policepardfaut"/>
    <w:rsid w:val="00EA4676"/>
    <w:rPr>
      <w:b/>
      <w:bCs/>
    </w:rPr>
  </w:style>
  <w:style w:type="character" w:customStyle="1" w:styleId="NotedebasdepageCar">
    <w:name w:val="Note de bas de page Car"/>
    <w:basedOn w:val="Policepardfaut"/>
    <w:link w:val="Notedebasdepage"/>
    <w:uiPriority w:val="99"/>
    <w:rsid w:val="007B448B"/>
    <w:rPr>
      <w:rFonts w:ascii="Open Sans SemiCondensed" w:hAnsi="Open Sans SemiCondensed"/>
      <w:spacing w:val="-4"/>
      <w:sz w:val="18"/>
    </w:rPr>
  </w:style>
  <w:style w:type="table" w:styleId="TableauGrille1Clair">
    <w:name w:val="Grid Table 1 Light"/>
    <w:basedOn w:val="TableauNormal"/>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Mentionnonrsolue">
    <w:name w:val="Unresolved Mention"/>
    <w:basedOn w:val="Policepardfaut"/>
    <w:uiPriority w:val="99"/>
    <w:semiHidden/>
    <w:unhideWhenUsed/>
    <w:rsid w:val="00853805"/>
    <w:rPr>
      <w:color w:val="605E5C"/>
      <w:shd w:val="clear" w:color="auto" w:fill="E1DFDD"/>
    </w:rPr>
  </w:style>
  <w:style w:type="character" w:styleId="Marquedecommentaire">
    <w:name w:val="annotation reference"/>
    <w:basedOn w:val="Policepardfaut"/>
    <w:uiPriority w:val="99"/>
    <w:semiHidden/>
    <w:unhideWhenUsed/>
    <w:rsid w:val="00D02DE1"/>
    <w:rPr>
      <w:sz w:val="16"/>
      <w:szCs w:val="16"/>
    </w:rPr>
  </w:style>
  <w:style w:type="paragraph" w:styleId="Commentaire">
    <w:name w:val="annotation text"/>
    <w:basedOn w:val="Normal"/>
    <w:link w:val="CommentaireCar"/>
    <w:uiPriority w:val="99"/>
    <w:unhideWhenUsed/>
    <w:rsid w:val="00D02DE1"/>
    <w:pPr>
      <w:spacing w:line="240" w:lineRule="auto"/>
    </w:pPr>
  </w:style>
  <w:style w:type="character" w:customStyle="1" w:styleId="CommentaireCar">
    <w:name w:val="Commentaire Car"/>
    <w:basedOn w:val="Policepardfaut"/>
    <w:link w:val="Commentaire"/>
    <w:uiPriority w:val="99"/>
    <w:rsid w:val="00D02DE1"/>
    <w:rPr>
      <w:rFonts w:ascii="Open Sans SemiCondensed" w:hAnsi="Open Sans SemiCondensed"/>
      <w:sz w:val="20"/>
      <w:szCs w:val="20"/>
    </w:rPr>
  </w:style>
  <w:style w:type="character" w:customStyle="1" w:styleId="Sous-titreCar">
    <w:name w:val="Sous-titre Car"/>
    <w:basedOn w:val="Policepardfaut"/>
    <w:link w:val="Sous-titre"/>
    <w:rsid w:val="00EF7CFB"/>
    <w:rPr>
      <w:rFonts w:ascii="Open Sans SemiCondensed" w:eastAsiaTheme="majorEastAsia" w:hAnsi="Open Sans SemiCondensed" w:cstheme="majorBidi"/>
      <w:bCs/>
      <w:spacing w:val="20"/>
      <w:szCs w:val="30"/>
    </w:rPr>
  </w:style>
  <w:style w:type="table" w:styleId="Grilledutableau">
    <w:name w:val="Table Grid"/>
    <w:basedOn w:val="TableauNormal"/>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Normal"/>
    <w:link w:val="HervorhebungCar"/>
    <w:qFormat/>
    <w:rsid w:val="003D502F"/>
    <w:rPr>
      <w:bCs/>
      <w:i/>
      <w:color w:val="D31932" w:themeColor="accent1"/>
      <w:spacing w:val="10"/>
      <w:szCs w:val="22"/>
    </w:rPr>
  </w:style>
  <w:style w:type="character" w:customStyle="1" w:styleId="HervorhebungCar">
    <w:name w:val="Hervorhebung Car"/>
    <w:basedOn w:val="Policepardfaut"/>
    <w:link w:val="Hervorhebung1"/>
    <w:rsid w:val="003D502F"/>
    <w:rPr>
      <w:bCs/>
      <w:i/>
      <w:color w:val="D31932" w:themeColor="accent1"/>
      <w:spacing w:val="10"/>
      <w:szCs w:val="22"/>
    </w:rPr>
  </w:style>
  <w:style w:type="paragraph" w:customStyle="1" w:styleId="Zitat1">
    <w:name w:val="Zitat1"/>
    <w:basedOn w:val="Normal"/>
    <w:next w:val="Corpsdetexte"/>
    <w:qFormat/>
    <w:rsid w:val="00157D7E"/>
    <w:pPr>
      <w:spacing w:before="120" w:after="240"/>
      <w:ind w:left="284" w:right="567"/>
      <w:jc w:val="both"/>
    </w:pPr>
    <w:rPr>
      <w:i/>
      <w:iCs/>
      <w:noProof/>
      <w:color w:val="262626" w:themeColor="text1" w:themeTint="D9"/>
    </w:rPr>
  </w:style>
  <w:style w:type="paragraph" w:styleId="Objetducommentaire">
    <w:name w:val="annotation subject"/>
    <w:basedOn w:val="Commentaire"/>
    <w:next w:val="Commentaire"/>
    <w:link w:val="ObjetducommentaireCar"/>
    <w:semiHidden/>
    <w:unhideWhenUsed/>
    <w:rsid w:val="000302CB"/>
    <w:rPr>
      <w:b/>
      <w:bCs/>
    </w:rPr>
  </w:style>
  <w:style w:type="character" w:customStyle="1" w:styleId="ObjetducommentaireCar">
    <w:name w:val="Objet du commentaire Car"/>
    <w:basedOn w:val="CommentaireCar"/>
    <w:link w:val="Objetducommentaire"/>
    <w:semiHidden/>
    <w:rsid w:val="000302CB"/>
    <w:rPr>
      <w:rFonts w:ascii="Open Sans SemiCondensed" w:hAnsi="Open Sans SemiCondensed"/>
      <w:b/>
      <w:bCs/>
      <w:spacing w:val="-4"/>
      <w:sz w:val="20"/>
      <w:szCs w:val="20"/>
    </w:rPr>
  </w:style>
  <w:style w:type="paragraph" w:styleId="Listenumros">
    <w:name w:val="List Number"/>
    <w:basedOn w:val="Normal"/>
    <w:unhideWhenUsed/>
    <w:qFormat/>
    <w:rsid w:val="00ED473A"/>
    <w:pPr>
      <w:numPr>
        <w:numId w:val="2"/>
      </w:numPr>
      <w:ind w:left="527" w:hanging="357"/>
      <w:contextualSpacing/>
    </w:pPr>
  </w:style>
  <w:style w:type="character" w:styleId="ClavierHTML">
    <w:name w:val="HTML Keyboard"/>
    <w:basedOn w:val="Policepardfaut"/>
    <w:semiHidden/>
    <w:unhideWhenUsed/>
    <w:rsid w:val="00120CBF"/>
    <w:rPr>
      <w:rFonts w:ascii="Open Sans SemiCondensed" w:hAnsi="Open Sans SemiCondensed"/>
      <w:sz w:val="20"/>
      <w:szCs w:val="20"/>
    </w:rPr>
  </w:style>
  <w:style w:type="character" w:styleId="CodeHTML">
    <w:name w:val="HTML Code"/>
    <w:basedOn w:val="Policepardfaut"/>
    <w:semiHidden/>
    <w:unhideWhenUsed/>
    <w:rsid w:val="00120CBF"/>
    <w:rPr>
      <w:rFonts w:ascii="Open Sans SemiCondensed" w:hAnsi="Open Sans SemiCondensed"/>
      <w:sz w:val="20"/>
      <w:szCs w:val="20"/>
    </w:rPr>
  </w:style>
  <w:style w:type="paragraph" w:styleId="Explorateurdedocuments">
    <w:name w:val="Document Map"/>
    <w:basedOn w:val="Normal"/>
    <w:link w:val="ExplorateurdedocumentsCar"/>
    <w:semiHidden/>
    <w:unhideWhenUsed/>
    <w:rsid w:val="00120CBF"/>
    <w:pPr>
      <w:spacing w:line="240" w:lineRule="auto"/>
    </w:pPr>
    <w:rPr>
      <w:sz w:val="16"/>
      <w:szCs w:val="16"/>
    </w:rPr>
  </w:style>
  <w:style w:type="character" w:customStyle="1" w:styleId="ExplorateurdedocumentsCar">
    <w:name w:val="Explorateur de documents Car"/>
    <w:basedOn w:val="Policepardfaut"/>
    <w:link w:val="Explorateurdedocuments"/>
    <w:semiHidden/>
    <w:rsid w:val="00120CBF"/>
    <w:rPr>
      <w:rFonts w:ascii="Open Sans SemiCondensed" w:hAnsi="Open Sans SemiCondensed"/>
      <w:spacing w:val="-4"/>
      <w:sz w:val="16"/>
      <w:szCs w:val="16"/>
    </w:rPr>
  </w:style>
  <w:style w:type="character" w:styleId="ExempleHTML">
    <w:name w:val="HTML Sample"/>
    <w:basedOn w:val="Policepardfaut"/>
    <w:semiHidden/>
    <w:unhideWhenUsed/>
    <w:rsid w:val="00120CBF"/>
    <w:rPr>
      <w:rFonts w:ascii="Open Sans SemiCondensed" w:hAnsi="Open Sans SemiCondensed"/>
      <w:sz w:val="24"/>
      <w:szCs w:val="24"/>
    </w:rPr>
  </w:style>
  <w:style w:type="table" w:styleId="Listemoyenne2">
    <w:name w:val="Medium List 2"/>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Adressedestinataire">
    <w:name w:val="envelope address"/>
    <w:basedOn w:val="Normal"/>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Adresseexpditeur">
    <w:name w:val="envelope return"/>
    <w:basedOn w:val="Normal"/>
    <w:semiHidden/>
    <w:unhideWhenUsed/>
    <w:rsid w:val="006676E2"/>
    <w:pPr>
      <w:spacing w:line="240" w:lineRule="auto"/>
    </w:pPr>
    <w:rPr>
      <w:rFonts w:eastAsiaTheme="majorEastAsia" w:cstheme="majorBidi"/>
    </w:rPr>
  </w:style>
  <w:style w:type="paragraph" w:styleId="En-ttedemessage">
    <w:name w:val="Message Header"/>
    <w:basedOn w:val="Normal"/>
    <w:link w:val="En-ttedemessageCar"/>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En-ttedemessageCar">
    <w:name w:val="En-tête de message Car"/>
    <w:basedOn w:val="Policepardfaut"/>
    <w:link w:val="En-ttedemessage"/>
    <w:semiHidden/>
    <w:rsid w:val="006676E2"/>
    <w:rPr>
      <w:rFonts w:eastAsiaTheme="majorEastAsia" w:cstheme="majorBidi"/>
      <w:sz w:val="24"/>
      <w:szCs w:val="24"/>
      <w:shd w:val="pct20" w:color="auto" w:fill="auto"/>
    </w:rPr>
  </w:style>
  <w:style w:type="table" w:styleId="Grillemoyenne2">
    <w:name w:val="Medium Grid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Listemoyenne2-Accent2">
    <w:name w:val="Medium List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MachinecrireHTML">
    <w:name w:val="HTML Typewriter"/>
    <w:basedOn w:val="Policepardfaut"/>
    <w:semiHidden/>
    <w:unhideWhenUsed/>
    <w:rsid w:val="006676E2"/>
    <w:rPr>
      <w:rFonts w:ascii="Open Sans SemiCondensed" w:hAnsi="Open Sans SemiCondensed"/>
      <w:sz w:val="20"/>
      <w:szCs w:val="20"/>
    </w:rPr>
  </w:style>
  <w:style w:type="paragraph" w:styleId="NormalWeb">
    <w:name w:val="Normal (Web)"/>
    <w:basedOn w:val="Normal"/>
    <w:uiPriority w:val="99"/>
    <w:unhideWhenUsed/>
    <w:rsid w:val="006676E2"/>
    <w:rPr>
      <w:rFonts w:cs="Times New Roman"/>
      <w:sz w:val="24"/>
      <w:szCs w:val="24"/>
    </w:rPr>
  </w:style>
  <w:style w:type="paragraph" w:styleId="PrformatHTML">
    <w:name w:val="HTML Preformatted"/>
    <w:basedOn w:val="Normal"/>
    <w:link w:val="PrformatHTMLCar"/>
    <w:semiHidden/>
    <w:unhideWhenUsed/>
    <w:rsid w:val="006676E2"/>
    <w:pPr>
      <w:spacing w:line="240" w:lineRule="auto"/>
    </w:pPr>
  </w:style>
  <w:style w:type="character" w:customStyle="1" w:styleId="PrformatHTMLCar">
    <w:name w:val="Préformaté HTML Car"/>
    <w:basedOn w:val="Policepardfaut"/>
    <w:link w:val="PrformatHTML"/>
    <w:semiHidden/>
    <w:rsid w:val="006676E2"/>
  </w:style>
  <w:style w:type="paragraph" w:styleId="Textebrut">
    <w:name w:val="Plain Text"/>
    <w:basedOn w:val="Normal"/>
    <w:link w:val="TextebrutCar"/>
    <w:semiHidden/>
    <w:unhideWhenUsed/>
    <w:rsid w:val="006676E2"/>
    <w:pPr>
      <w:spacing w:line="240" w:lineRule="auto"/>
    </w:pPr>
    <w:rPr>
      <w:sz w:val="21"/>
      <w:szCs w:val="21"/>
    </w:rPr>
  </w:style>
  <w:style w:type="character" w:customStyle="1" w:styleId="TextebrutCar">
    <w:name w:val="Texte brut Car"/>
    <w:basedOn w:val="Policepardfaut"/>
    <w:link w:val="Textebrut"/>
    <w:semiHidden/>
    <w:rsid w:val="006676E2"/>
    <w:rPr>
      <w:sz w:val="21"/>
      <w:szCs w:val="21"/>
    </w:rPr>
  </w:style>
  <w:style w:type="paragraph" w:styleId="Textedebulles">
    <w:name w:val="Balloon Text"/>
    <w:basedOn w:val="Normal"/>
    <w:link w:val="TextedebullesCar"/>
    <w:semiHidden/>
    <w:unhideWhenUsed/>
    <w:rsid w:val="006676E2"/>
    <w:pPr>
      <w:spacing w:line="240" w:lineRule="auto"/>
    </w:pPr>
    <w:rPr>
      <w:sz w:val="18"/>
      <w:szCs w:val="18"/>
    </w:rPr>
  </w:style>
  <w:style w:type="character" w:customStyle="1" w:styleId="TextedebullesCar">
    <w:name w:val="Texte de bulles Car"/>
    <w:basedOn w:val="Policepardfaut"/>
    <w:link w:val="Textedebulles"/>
    <w:semiHidden/>
    <w:rsid w:val="006676E2"/>
    <w:rPr>
      <w:rFonts w:ascii="Open Sans SemiCondensed" w:hAnsi="Open Sans SemiCondensed"/>
      <w:sz w:val="18"/>
      <w:szCs w:val="18"/>
    </w:rPr>
  </w:style>
  <w:style w:type="paragraph" w:styleId="Textedemacro">
    <w:name w:val="macro"/>
    <w:link w:val="TextedemacroCar"/>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TextedemacroCar">
    <w:name w:val="Texte de macro Car"/>
    <w:basedOn w:val="Policepardfaut"/>
    <w:link w:val="Textedemacro"/>
    <w:semiHidden/>
    <w:rsid w:val="006676E2"/>
  </w:style>
  <w:style w:type="paragraph" w:styleId="Titreindex">
    <w:name w:val="index heading"/>
    <w:basedOn w:val="Normal"/>
    <w:next w:val="Index1"/>
    <w:semiHidden/>
    <w:unhideWhenUsed/>
    <w:rsid w:val="006676E2"/>
    <w:rPr>
      <w:rFonts w:eastAsiaTheme="majorEastAsia" w:cstheme="majorBidi"/>
      <w:b/>
      <w:bCs/>
    </w:rPr>
  </w:style>
  <w:style w:type="paragraph" w:styleId="TitreTR">
    <w:name w:val="toa heading"/>
    <w:basedOn w:val="Normal"/>
    <w:next w:val="Normal"/>
    <w:semiHidden/>
    <w:unhideWhenUsed/>
    <w:rsid w:val="006676E2"/>
    <w:pPr>
      <w:spacing w:before="120"/>
    </w:pPr>
    <w:rPr>
      <w:rFonts w:eastAsiaTheme="majorEastAsia" w:cstheme="majorBidi"/>
      <w:b/>
      <w:bCs/>
      <w:sz w:val="24"/>
      <w:szCs w:val="24"/>
    </w:rPr>
  </w:style>
  <w:style w:type="numbering" w:styleId="ArticleSection">
    <w:name w:val="Outline List 3"/>
    <w:basedOn w:val="Aucuneliste"/>
    <w:semiHidden/>
    <w:unhideWhenUsed/>
    <w:rsid w:val="00153133"/>
    <w:pPr>
      <w:numPr>
        <w:numId w:val="3"/>
      </w:numPr>
    </w:pPr>
  </w:style>
  <w:style w:type="paragraph" w:styleId="Listenumros2">
    <w:name w:val="List Number 2"/>
    <w:basedOn w:val="Listenumros"/>
    <w:unhideWhenUsed/>
    <w:rsid w:val="00382314"/>
    <w:pPr>
      <w:numPr>
        <w:ilvl w:val="1"/>
      </w:numPr>
      <w:ind w:left="851" w:hanging="425"/>
    </w:pPr>
    <w:rPr>
      <w:rFonts w:cs="Open Sans SemiCondensed"/>
    </w:rPr>
  </w:style>
  <w:style w:type="paragraph" w:styleId="Listenumros3">
    <w:name w:val="List Number 3"/>
    <w:basedOn w:val="Listenumros"/>
    <w:unhideWhenUsed/>
    <w:rsid w:val="00382314"/>
    <w:pPr>
      <w:numPr>
        <w:ilvl w:val="2"/>
      </w:numPr>
    </w:pPr>
    <w:rPr>
      <w:rFonts w:cs="Open Sans SemiCondensed"/>
    </w:rPr>
  </w:style>
  <w:style w:type="character" w:styleId="Lienhypertextesuivivisit">
    <w:name w:val="FollowedHyperlink"/>
    <w:basedOn w:val="Policepardfaut"/>
    <w:semiHidden/>
    <w:unhideWhenUsed/>
    <w:rsid w:val="009E5005"/>
    <w:rPr>
      <w:color w:val="252B46" w:themeColor="followedHyperlink"/>
      <w:u w:val="single"/>
    </w:rPr>
  </w:style>
  <w:style w:type="paragraph" w:customStyle="1" w:styleId="WichtigBox">
    <w:name w:val="Wichtig Box"/>
    <w:basedOn w:val="Corpsdetexte"/>
    <w:qFormat/>
    <w:rsid w:val="007142DC"/>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DBEDE1" w:themeFill="accent4" w:themeFillTint="33"/>
      <w:ind w:firstLine="0"/>
    </w:pPr>
  </w:style>
  <w:style w:type="paragraph" w:customStyle="1" w:styleId="Fragen">
    <w:name w:val="Fragen"/>
    <w:basedOn w:val="Corpsdetexte"/>
    <w:next w:val="Corpsdetexte"/>
    <w:qFormat/>
    <w:rsid w:val="0003314D"/>
    <w:pPr>
      <w:pBdr>
        <w:left w:val="single" w:sz="12" w:space="4" w:color="D31932" w:themeColor="accent1"/>
      </w:pBdr>
      <w:spacing w:before="120"/>
      <w:ind w:left="170"/>
    </w:pPr>
    <w:rPr>
      <w:color w:val="D31932" w:themeColor="accent1"/>
    </w:rPr>
  </w:style>
  <w:style w:type="table" w:styleId="TableauGrille2">
    <w:name w:val="Grid Table 2"/>
    <w:basedOn w:val="TableauNormal"/>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Accentuation4">
    <w:name w:val="List Table 3 Accent 4"/>
    <w:basedOn w:val="TableauNormal"/>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TableauListe4-Accentuation6">
    <w:name w:val="List Table 4 Accent 6"/>
    <w:basedOn w:val="TableauNormal"/>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4-Accentuation1">
    <w:name w:val="List Table 4 Accent 1"/>
    <w:basedOn w:val="TableauNormal"/>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4-Accentuation2">
    <w:name w:val="List Table 4 Accent 2"/>
    <w:basedOn w:val="TableauNormal"/>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4">
    <w:name w:val="List Table 1 Light Accent 4"/>
    <w:basedOn w:val="TableauNormal"/>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TableauListe1Clair-Accentuation3">
    <w:name w:val="List Table 1 Light Accent 3"/>
    <w:basedOn w:val="TableauNormal"/>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TableauListe1Clair-Accentuation2">
    <w:name w:val="List Table 1 Light Accent 2"/>
    <w:basedOn w:val="TableauNormal"/>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1">
    <w:name w:val="List Table 1 Light Accent 1"/>
    <w:basedOn w:val="TableauNormal"/>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2-Accentuation5">
    <w:name w:val="List Table 2 Accent 5"/>
    <w:basedOn w:val="TableauNormal"/>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TableauGrille5Fonc-Accentuation6">
    <w:name w:val="Grid Table 5 Dark Accent 6"/>
    <w:basedOn w:val="TableauNormal"/>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TableauGrille3-Accentuation6">
    <w:name w:val="Grid Table 3 Accent 6"/>
    <w:basedOn w:val="TableauNormal"/>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TableauGrille4-Accentuation6">
    <w:name w:val="Grid Table 4 Accent 6"/>
    <w:basedOn w:val="TableauNormal"/>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1Clair-Accentuation6">
    <w:name w:val="List Table 1 Light Accent 6"/>
    <w:basedOn w:val="TableauNormal"/>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TableauListe3-Accentuation6">
    <w:name w:val="List Table 3 Accent 6"/>
    <w:basedOn w:val="TableauNormal"/>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TableauListe3-Accentuation5">
    <w:name w:val="List Table 3 Accent 5"/>
    <w:basedOn w:val="TableauNormal"/>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TableauListe3-Accentuation3">
    <w:name w:val="List Table 3 Accent 3"/>
    <w:basedOn w:val="TableauNormal"/>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TableauListe3-Accentuation2">
    <w:name w:val="List Table 3 Accent 2"/>
    <w:basedOn w:val="TableauNormal"/>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TableauListe3-Accentuation1">
    <w:name w:val="List Table 3 Accent 1"/>
    <w:basedOn w:val="TableauNormal"/>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TableauListe4">
    <w:name w:val="List Table 4"/>
    <w:basedOn w:val="TableauNormal"/>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
    <w:name w:val="List Table 3"/>
    <w:basedOn w:val="TableauNormal"/>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numbering" w:customStyle="1" w:styleId="Style2">
    <w:name w:val="Style2"/>
    <w:uiPriority w:val="99"/>
    <w:rsid w:val="00964553"/>
    <w:pPr>
      <w:numPr>
        <w:numId w:val="4"/>
      </w:numPr>
    </w:pPr>
  </w:style>
  <w:style w:type="paragraph" w:customStyle="1" w:styleId="Bibliographie1">
    <w:name w:val="Bibliographie1"/>
    <w:basedOn w:val="Normal"/>
    <w:link w:val="BibliographyCar"/>
    <w:rsid w:val="004734D6"/>
    <w:pPr>
      <w:spacing w:line="240" w:lineRule="auto"/>
      <w:ind w:left="720" w:hanging="720"/>
      <w:jc w:val="both"/>
    </w:pPr>
    <w:rPr>
      <w:rFonts w:asciiTheme="minorHAnsi" w:hAnsiTheme="minorHAnsi"/>
      <w:spacing w:val="0"/>
      <w:sz w:val="24"/>
      <w:szCs w:val="24"/>
      <w:lang w:val="fr-FR"/>
    </w:rPr>
  </w:style>
  <w:style w:type="character" w:customStyle="1" w:styleId="BibliographyCar">
    <w:name w:val="Bibliography Car"/>
    <w:basedOn w:val="Policepardfaut"/>
    <w:link w:val="Bibliographie1"/>
    <w:rsid w:val="004734D6"/>
    <w:rPr>
      <w:rFonts w:asciiTheme="minorHAnsi" w:hAnsiTheme="minorHAnsi"/>
      <w:spacing w:val="0"/>
      <w:sz w:val="24"/>
      <w:szCs w:val="24"/>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hyperlink" Target="https://www.lexfind.ch/tolv/247389/fr"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cepadues.com/livres/sciences/information-communication/1867-articuler-la-recherche-9782383952671.html"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mailto:coraline.delorme@unige.ch" TargetMode="External"/><Relationship Id="rId25" Type="http://schemas.openxmlformats.org/officeDocument/2006/relationships/hyperlink" Target="https://doi.org/10.3917/lsdle.472.0051"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caroline.chanier@unige.ch" TargetMode="External"/><Relationship Id="rId20" Type="http://schemas.openxmlformats.org/officeDocument/2006/relationships/hyperlink" Target="https://doi.org/10.17161/foec.v28i3.6852"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r2026-03-02" TargetMode="External"/><Relationship Id="rId24" Type="http://schemas.openxmlformats.org/officeDocument/2006/relationships/hyperlink" Target="https://www.cepadues.com/livres/sciences/information-communication/1867-articuler-la-recherche-9782383952671.html"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www.szh.ch/bausteine.net/f/51497/Pelgrims_160320.pdf?fd=3"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shop.szh.ch/fr/livres-edition-szhcsps/169-transitions-et-transformations-sur-les-chemins-de-l-education-inclusive.html" TargetMode="External"/><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archive-ouverte.unige.ch/unige:17444"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mo\SZH%20CSPS\Daten_Allgemein%20-%20General\2_Produkte\52_Revue\RV02_Redaction\Revue_2026\03_Adaptation%20du%20PER\Layout_R03-2026.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7681858B7D484080A6C8E6830BC98C" ma:contentTypeVersion="19" ma:contentTypeDescription="Crée un document." ma:contentTypeScope="" ma:versionID="a60f16be11dc258eb817fbd8358c30bd">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20d7f00eca0135c6f88dedcd41bd2e0f"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2.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3.xml><?xml version="1.0" encoding="utf-8"?>
<ds:datastoreItem xmlns:ds="http://schemas.openxmlformats.org/officeDocument/2006/customXml" ds:itemID="{58DEE097-87AF-4E80-A88F-E66AC5E6E9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docProps/app.xml><?xml version="1.0" encoding="utf-8"?>
<Properties xmlns="http://schemas.openxmlformats.org/officeDocument/2006/extended-properties" xmlns:vt="http://schemas.openxmlformats.org/officeDocument/2006/docPropsVTypes">
  <Template>Layout_R03-2026.dotx</Template>
  <TotalTime>24</TotalTime>
  <Pages>7</Pages>
  <Words>3489</Words>
  <Characters>19889</Characters>
  <Application>Microsoft Office Word</Application>
  <DocSecurity>0</DocSecurity>
  <Lines>165</Lines>
  <Paragraphs>46</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Scolariser en classe régulière un élève « en grand décalage »_x000d_</vt:lpstr>
      <vt:lpstr>Title</vt:lpstr>
    </vt:vector>
  </TitlesOfParts>
  <Company/>
  <LinksUpToDate>false</LinksUpToDate>
  <CharactersWithSpaces>23332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Scolariser en classe régulière un élève « en grand décalage »</dc:title>
  <dc:subject/>
  <dc:creator>Caroline Chanier;Coralie Delorme</dc:creator>
  <cp:keywords>besoins éducatifs particuliers, classe hétérogène, coenseignement, conduite de la classe, inclusion, intégration scolaire, pédagogie différenciée/besonderer Bildungsbedarf, differenzierter Unterricht, heterogene Klasse, Inklusion, Klassenführung, schulische Integration, Teamteaching</cp:keywords>
  <cp:lastModifiedBy>Morand, Robin</cp:lastModifiedBy>
  <cp:revision>176</cp:revision>
  <cp:lastPrinted>2026-08-21T14:37:00Z</cp:lastPrinted>
  <dcterms:created xsi:type="dcterms:W3CDTF">2026-04-22T00:35:00Z</dcterms:created>
  <dcterms:modified xsi:type="dcterms:W3CDTF">2026-08-21T14:41:00Z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