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05C4" w14:textId="31B6006A" w:rsidR="00FA7668" w:rsidRPr="00036BDA" w:rsidRDefault="00FA7668" w:rsidP="00E95BF1">
      <w:pPr>
        <w:pStyle w:val="Titre"/>
      </w:pPr>
      <w:r w:rsidRPr="00036BDA">
        <w:t>En Route pour Apprendre</w:t>
      </w:r>
    </w:p>
    <w:p w14:paraId="3EE8A595" w14:textId="6E06E3D2" w:rsidR="00FA7668" w:rsidRPr="00036BDA" w:rsidRDefault="00FA7668" w:rsidP="007B01DC">
      <w:pPr>
        <w:pStyle w:val="Sous-titre"/>
      </w:pPr>
      <w:r w:rsidRPr="00036BDA">
        <w:t>Un outil d’évaluation des compétences cognitives et communicationnelles des apprenant</w:t>
      </w:r>
      <w:r w:rsidR="006E6CE8">
        <w:t>e</w:t>
      </w:r>
      <w:r w:rsidRPr="00036BDA">
        <w:t>s et apprenants présentant un polyhandicap</w:t>
      </w:r>
    </w:p>
    <w:p w14:paraId="1D26EA3E" w14:textId="24D7B6C2" w:rsidR="00FA7668" w:rsidRPr="00036BDA" w:rsidRDefault="00FA7668" w:rsidP="001366F0">
      <w:pPr>
        <w:pStyle w:val="Author"/>
      </w:pPr>
      <w:r w:rsidRPr="00036BDA">
        <w:t>Juliane Dind</w:t>
      </w:r>
    </w:p>
    <w:p w14:paraId="453C1640" w14:textId="3E32F5E5" w:rsidR="00FA7668" w:rsidRDefault="00FA7668" w:rsidP="0079155A">
      <w:pPr>
        <w:pStyle w:val="Abstract"/>
        <w:rPr>
          <w:rFonts w:eastAsia="Times New Roman"/>
          <w:lang w:eastAsia="fr-FR"/>
        </w:rPr>
      </w:pPr>
      <w:r w:rsidRPr="00036BDA">
        <w:t>Résumé</w:t>
      </w:r>
      <w:r w:rsidR="0079155A" w:rsidRPr="00036BDA">
        <w:br/>
      </w:r>
      <w:r w:rsidRPr="00036BDA">
        <w:rPr>
          <w:rFonts w:eastAsia="Times New Roman"/>
          <w:lang w:eastAsia="fr-FR"/>
        </w:rPr>
        <w:t xml:space="preserve">L’article présente </w:t>
      </w:r>
      <w:r w:rsidRPr="00036BDA">
        <w:rPr>
          <w:rFonts w:eastAsia="Times New Roman"/>
          <w:iCs/>
          <w:lang w:eastAsia="fr-FR"/>
        </w:rPr>
        <w:t>En Route pour Apprendre</w:t>
      </w:r>
      <w:r w:rsidRPr="00036BDA">
        <w:rPr>
          <w:rFonts w:eastAsia="Times New Roman"/>
          <w:lang w:eastAsia="fr-FR"/>
        </w:rPr>
        <w:t xml:space="preserve">, adaptation francophone de l’outil gallois </w:t>
      </w:r>
      <w:r w:rsidRPr="00036BDA">
        <w:rPr>
          <w:rFonts w:eastAsia="Times New Roman"/>
          <w:iCs/>
          <w:lang w:eastAsia="fr-FR"/>
        </w:rPr>
        <w:t>Routes for Learning </w:t>
      </w:r>
      <w:r w:rsidRPr="00036BDA">
        <w:rPr>
          <w:rFonts w:eastAsia="Times New Roman"/>
          <w:lang w:eastAsia="fr-FR"/>
        </w:rPr>
        <w:t>(RfL), destiné à évaluer les compétences cognitives, communicationnelles et interactionnelles des apprenantes et apprenants présentant un polyhandicap (APP). L’outil repose sur un modèle développemental non linéaire. Il comprend une feuille de route constituée de 43 étapes, un manuel d’évaluation et un guide d’utilisation. L’outil encourage une observation fine et contextualisée et soutient le repérage des progrès de l’APP. Son implémentation dans les pratiques est le prochain défi à relever.</w:t>
      </w:r>
    </w:p>
    <w:p w14:paraId="04757498" w14:textId="17BEAFFC" w:rsidR="009C140B" w:rsidRPr="00EF7FAE" w:rsidRDefault="00032F9F" w:rsidP="009C140B">
      <w:pPr>
        <w:pStyle w:val="Abstract"/>
        <w:rPr>
          <w:lang w:val="de-CH" w:eastAsia="fr-FR"/>
        </w:rPr>
      </w:pPr>
      <w:r w:rsidRPr="27329322">
        <w:rPr>
          <w:lang w:val="de-DE" w:eastAsia="fr-FR"/>
        </w:rPr>
        <w:t>Zusammenfassung</w:t>
      </w:r>
      <w:r w:rsidRPr="004627D6">
        <w:rPr>
          <w:lang w:val="de-CH"/>
        </w:rPr>
        <w:br/>
      </w:r>
      <w:r w:rsidRPr="00657118">
        <w:rPr>
          <w:lang w:val="de-CH"/>
        </w:rPr>
        <w:t xml:space="preserve">Der Artikel stellt «En Route pour Apprendre» (Auf dem Weg zum Lernen) vor, eine französischsprachige Adaption des walisischen Instruments «Routes for Learning» (Wege zum Lernen). Mit diesem Instrument können die kognitiven, kommunikativen und interaktiven Kompetenzen von Lernenden mit Mehrfachbehinderung eingeschätzt werden. Es basiert auf einem nichtlinearen Entwicklungsmodell und umfasst einen Fahrplan mit 43 Schritten, ein Bewertungshandbuch sowie eine Gebrauchsanweisung. </w:t>
      </w:r>
      <w:r w:rsidRPr="00EF7FAE">
        <w:rPr>
          <w:lang w:val="de-CH"/>
        </w:rPr>
        <w:t>Das Instrument fördert eine präzise, kontextbezogene Beobachtung und unterstützt die Erfassung der Lernfortschritte</w:t>
      </w:r>
      <w:r w:rsidR="00EF7FAE" w:rsidRPr="00EF7FAE">
        <w:rPr>
          <w:lang w:val="de-CH" w:eastAsia="fr-FR"/>
        </w:rPr>
        <w:t>.</w:t>
      </w:r>
    </w:p>
    <w:p w14:paraId="2D37E5BD" w14:textId="0F8275C5" w:rsidR="003C4904" w:rsidRPr="00032F9F" w:rsidRDefault="00B936F1" w:rsidP="00CC386F">
      <w:pPr>
        <w:rPr>
          <w:lang w:val="de-CH" w:eastAsia="fr-FR"/>
        </w:rPr>
      </w:pPr>
      <w:r w:rsidRPr="00032F9F">
        <w:rPr>
          <w:rFonts w:eastAsia="Times New Roman"/>
          <w:b/>
          <w:bCs/>
          <w:lang w:val="de-CH" w:eastAsia="fr-FR"/>
        </w:rPr>
        <w:t>Keywords</w:t>
      </w:r>
      <w:r w:rsidRPr="00032F9F">
        <w:rPr>
          <w:rFonts w:eastAsia="Times New Roman"/>
          <w:lang w:val="de-CH" w:eastAsia="fr-FR"/>
        </w:rPr>
        <w:t xml:space="preserve">: </w:t>
      </w:r>
      <w:r w:rsidR="00EA3755" w:rsidRPr="00D63906">
        <w:rPr>
          <w:lang w:val="de-CH" w:eastAsia="fr-FR"/>
        </w:rPr>
        <w:t>cognition,</w:t>
      </w:r>
      <w:r w:rsidR="007337B2" w:rsidRPr="00D63906">
        <w:rPr>
          <w:lang w:val="de-CH" w:eastAsia="fr-FR"/>
        </w:rPr>
        <w:t xml:space="preserve"> communication, compétence,</w:t>
      </w:r>
      <w:r w:rsidR="00EA3755" w:rsidRPr="00D63906">
        <w:rPr>
          <w:lang w:val="de-CH" w:eastAsia="fr-FR"/>
        </w:rPr>
        <w:t xml:space="preserve"> </w:t>
      </w:r>
      <w:r w:rsidR="007337B2" w:rsidRPr="00D63906">
        <w:rPr>
          <w:lang w:val="de-CH" w:eastAsia="fr-FR"/>
        </w:rPr>
        <w:t>évaluation</w:t>
      </w:r>
      <w:r w:rsidR="003C4904" w:rsidRPr="00D63906">
        <w:rPr>
          <w:lang w:val="de-CH" w:eastAsia="fr-FR"/>
        </w:rPr>
        <w:t>, polyhandicap</w:t>
      </w:r>
      <w:r w:rsidR="00D63906" w:rsidRPr="00D63906">
        <w:rPr>
          <w:lang w:val="de-CH" w:eastAsia="fr-FR"/>
        </w:rPr>
        <w:t> </w:t>
      </w:r>
      <w:r w:rsidR="00D63906">
        <w:rPr>
          <w:lang w:val="de-CH" w:eastAsia="fr-FR"/>
        </w:rPr>
        <w:t>/</w:t>
      </w:r>
      <w:r w:rsidR="007337B2" w:rsidRPr="00032F9F">
        <w:rPr>
          <w:lang w:val="de-CH" w:eastAsia="fr-FR"/>
        </w:rPr>
        <w:t xml:space="preserve"> </w:t>
      </w:r>
      <w:r w:rsidR="00EA3755" w:rsidRPr="00032F9F">
        <w:rPr>
          <w:lang w:val="de-CH" w:eastAsia="fr-FR"/>
        </w:rPr>
        <w:t>Erkenntnis,</w:t>
      </w:r>
      <w:r w:rsidR="003C4904" w:rsidRPr="00032F9F">
        <w:rPr>
          <w:lang w:val="de-CH" w:eastAsia="fr-FR"/>
        </w:rPr>
        <w:t xml:space="preserve"> </w:t>
      </w:r>
      <w:r w:rsidR="00187720" w:rsidRPr="00032F9F">
        <w:rPr>
          <w:lang w:val="de-CH" w:eastAsia="fr-FR"/>
        </w:rPr>
        <w:t xml:space="preserve">Evaluation, </w:t>
      </w:r>
      <w:r w:rsidR="007337B2" w:rsidRPr="00032F9F">
        <w:rPr>
          <w:lang w:val="de-CH" w:eastAsia="fr-FR"/>
        </w:rPr>
        <w:t xml:space="preserve">Kommunikation, </w:t>
      </w:r>
      <w:r w:rsidR="003C4904" w:rsidRPr="00032F9F">
        <w:rPr>
          <w:lang w:val="de-CH" w:eastAsia="fr-FR"/>
        </w:rPr>
        <w:t xml:space="preserve">Kompetenz, Mehrfachbehinderung, </w:t>
      </w:r>
    </w:p>
    <w:p w14:paraId="03DB0598" w14:textId="19BA6C85" w:rsidR="00B936F1" w:rsidRPr="00036BDA" w:rsidRDefault="00B936F1" w:rsidP="00B936F1">
      <w:pPr>
        <w:rPr>
          <w:rFonts w:eastAsia="Times New Roman"/>
          <w:bCs/>
          <w:iCs/>
          <w:lang w:eastAsia="fr-FR"/>
        </w:rPr>
      </w:pPr>
      <w:r w:rsidRPr="00036BDA">
        <w:rPr>
          <w:rFonts w:eastAsia="Times New Roman"/>
          <w:b/>
          <w:bCs/>
          <w:lang w:eastAsia="fr-FR"/>
        </w:rPr>
        <w:t>DOI</w:t>
      </w:r>
      <w:r w:rsidRPr="00036BDA">
        <w:rPr>
          <w:rFonts w:eastAsia="Times New Roman"/>
          <w:lang w:eastAsia="fr-FR"/>
        </w:rPr>
        <w:t xml:space="preserve">: </w:t>
      </w:r>
      <w:hyperlink r:id="rId11" w:history="1">
        <w:r w:rsidR="00F60CFC" w:rsidRPr="002836DB">
          <w:rPr>
            <w:rStyle w:val="Lienhypertexte"/>
            <w:rFonts w:eastAsia="Times New Roman"/>
            <w:lang w:eastAsia="fr-FR"/>
          </w:rPr>
          <w:t>https://doi.org/10.57161/r2026-02-0</w:t>
        </w:r>
        <w:r w:rsidR="00F60CFC" w:rsidRPr="002836DB">
          <w:rPr>
            <w:rStyle w:val="Lienhypertexte"/>
          </w:rPr>
          <w:t>5</w:t>
        </w:r>
      </w:hyperlink>
    </w:p>
    <w:p w14:paraId="04723FA3" w14:textId="77777777" w:rsidR="00B936F1" w:rsidRPr="00036BDA" w:rsidRDefault="00B936F1" w:rsidP="00B936F1">
      <w:pPr>
        <w:rPr>
          <w:rFonts w:eastAsia="Times New Roman"/>
          <w:lang w:eastAsia="fr-FR"/>
        </w:rPr>
      </w:pPr>
      <w:r w:rsidRPr="00036BDA">
        <w:rPr>
          <w:rFonts w:eastAsia="Times New Roman"/>
          <w:lang w:eastAsia="fr-FR"/>
        </w:rPr>
        <w:t>Revue suisse de pédagogie spécialisée, Vol. 16, 02/2026</w:t>
      </w:r>
    </w:p>
    <w:p w14:paraId="2101E8AE" w14:textId="7B4B0D8E" w:rsidR="00B936F1" w:rsidRPr="00036BDA" w:rsidRDefault="00754C37" w:rsidP="00E95BF1">
      <w:pPr>
        <w:rPr>
          <w:rFonts w:eastAsia="Times New Roman"/>
          <w:lang w:eastAsia="fr-FR"/>
        </w:rPr>
      </w:pPr>
      <w:r w:rsidRPr="00036BDA">
        <w:rPr>
          <w:noProof/>
        </w:rPr>
        <w:drawing>
          <wp:inline distT="0" distB="0" distL="0" distR="0" wp14:anchorId="0953F853" wp14:editId="756A45D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1D9422F" w14:textId="7591F5BF" w:rsidR="00FA7668" w:rsidRPr="00036BDA" w:rsidRDefault="00FA7668" w:rsidP="00E95BF1">
      <w:pPr>
        <w:pStyle w:val="Titre1"/>
        <w:rPr>
          <w:rFonts w:eastAsiaTheme="minorEastAsia"/>
        </w:rPr>
      </w:pPr>
      <w:bookmarkStart w:id="0" w:name="_Toc228376042"/>
      <w:bookmarkStart w:id="1" w:name="_Toc228376106"/>
      <w:r w:rsidRPr="00036BDA">
        <w:rPr>
          <w:rFonts w:eastAsiaTheme="minorEastAsia"/>
        </w:rPr>
        <w:t>Découverte de l’outil</w:t>
      </w:r>
      <w:bookmarkEnd w:id="0"/>
      <w:bookmarkEnd w:id="1"/>
    </w:p>
    <w:p w14:paraId="10AE1814" w14:textId="65C2D1A2" w:rsidR="00FA7668" w:rsidRPr="00036BDA" w:rsidRDefault="00EC4E90" w:rsidP="0077041C">
      <w:pPr>
        <w:pStyle w:val="Corpsdetexte"/>
      </w:pPr>
      <w:r w:rsidRPr="00037AE3">
        <w:rPr>
          <w:noProof/>
        </w:rPr>
        <mc:AlternateContent>
          <mc:Choice Requires="wps">
            <w:drawing>
              <wp:anchor distT="45720" distB="45720" distL="46990" distR="46990" simplePos="0" relativeHeight="251658240" behindDoc="0" locked="0" layoutInCell="1" allowOverlap="0" wp14:anchorId="163285B0" wp14:editId="09BA3823">
                <wp:simplePos x="0" y="0"/>
                <wp:positionH relativeFrom="column">
                  <wp:posOffset>-900430</wp:posOffset>
                </wp:positionH>
                <wp:positionV relativeFrom="paragraph">
                  <wp:posOffset>1217295</wp:posOffset>
                </wp:positionV>
                <wp:extent cx="5328000" cy="46800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000" cy="468000"/>
                        </a:xfrm>
                        <a:prstGeom prst="rect">
                          <a:avLst/>
                        </a:prstGeom>
                        <a:noFill/>
                        <a:ln w="9525">
                          <a:noFill/>
                          <a:miter lim="800000"/>
                          <a:headEnd/>
                          <a:tailEnd/>
                        </a:ln>
                      </wps:spPr>
                      <wps:txbx>
                        <w:txbxContent>
                          <w:p w14:paraId="25D96868" w14:textId="11E6C08E" w:rsidR="00EC4E90" w:rsidRPr="0047168D" w:rsidRDefault="003D2738" w:rsidP="00EC4E90">
                            <w:pPr>
                              <w:pStyle w:val="Hervorhebung1"/>
                              <w:jc w:val="both"/>
                            </w:pPr>
                            <w:r w:rsidRPr="00036BDA">
                              <w:t xml:space="preserve">La diffusion d’outils créés spécifiquement pour des apprenantes et apprenants présentant un polyhandicap fait partie des missions du </w:t>
                            </w:r>
                            <w:r w:rsidRPr="00C6238B">
                              <w:rPr>
                                <w:iCs/>
                              </w:rPr>
                              <w:t>Petit Conservatoire</w:t>
                            </w:r>
                            <w:r>
                              <w:rPr>
                                <w:iCs/>
                              </w:rPr>
                              <w:t>.</w:t>
                            </w:r>
                            <w:r w:rsidRPr="00C6238B">
                              <w:rPr>
                                <w:iCs/>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285B0" id="_x0000_t202" coordsize="21600,21600" o:spt="202" path="m,l,21600r21600,l21600,xe">
                <v:stroke joinstyle="miter"/>
                <v:path gradientshapeok="t" o:connecttype="rect"/>
              </v:shapetype>
              <v:shape id="Zone de texte 2" o:spid="_x0000_s1026" type="#_x0000_t202" alt="&quot;&quot;" style="position:absolute;left:0;text-align:left;margin-left:-70.9pt;margin-top:95.85pt;width:419.55pt;height:36.8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QP9gEAAM8DAAAOAAAAZHJzL2Uyb0RvYy54bWysU9tu2zAMfR+wfxD0vtjJkq414hRduw4D&#10;ugvQ7QMUWY6FSaJGKbGzry8lu2mwvQ17ESiRPOQ5pNbXgzXsoDBocDWfz0rOlJPQaLer+Y/v928u&#10;OQtRuEYYcKrmRxX49eb1q3XvK7WADkyjkBGIC1Xva97F6KuiCLJTVoQZeOXI2QJaEemKu6JB0RO6&#10;NcWiLC+KHrDxCFKFQK93o5NvMn7bKhm/tm1QkZmaU28xn5jPbTqLzVpUOxS+03JqQ/xDF1ZoR0VP&#10;UHciCrZH/ReU1RIhQBtnEmwBbaulyhyIzbz8g81jJ7zKXEic4E8yhf8HK78cHv03ZHF4DwMNMJMI&#10;/gHkz8Ac3HbC7dQNIvSdEg0VnifJit6HakpNUocqJJBt/xkaGrLYR8hAQ4s2qUI8GaHTAI4n0dUQ&#10;maTH1dvFZVmSS5JveZHtVEJUz9keQ/yowLJk1BxpqBldHB5CHEOfQ1IxB/famDxY41hf86vVYpUT&#10;zjxWR9o7o23NU0WqnxMSyQ+uyXYU2ow29WLcxDoRHSnHYTtQYGK/heZI/BHG/aL/QEYH+Juznnar&#10;5uHXXqDizHxyScNyucyUY74uV+8WxB/z5So3w7bnHuEkgdU8cjaatzGv8Mj2htRudRbipZepW9qa&#10;LOW04Wktz+856uUfbp4AAAD//wMAUEsDBBQABgAIAAAAIQCbzAfI3wAAAAwBAAAPAAAAZHJzL2Rv&#10;d25yZXYueG1sTI/NTsMwEITvSLyDtUjcWjulpCTEqRAoUq8EJK7b2CQR/olsJw1vz3KC42hGM99U&#10;x9UatugQR+8kZFsBTLvOq9H1Et7fms0DsJjQKTTeaQnfOsKxvr6qsFT+4l710qaeUYmLJUoYUppK&#10;zmM3aItx6yftyPv0wWIiGXquAl6o3Bq+EyLnFkdHCwNO+nnQ3Vc7WwlhamYbPgrRLC2uJrycRL+c&#10;pLy9WZ8egSW9pr8w/OITOtTEdPazU5EZCZtsnxF7IqfIDsAokheHO2BnCbv8fg+8rvj/E/UPAAAA&#10;//8DAFBLAQItABQABgAIAAAAIQC2gziS/gAAAOEBAAATAAAAAAAAAAAAAAAAAAAAAABbQ29udGVu&#10;dF9UeXBlc10ueG1sUEsBAi0AFAAGAAgAAAAhADj9If/WAAAAlAEAAAsAAAAAAAAAAAAAAAAALwEA&#10;AF9yZWxzLy5yZWxzUEsBAi0AFAAGAAgAAAAhAGFllA/2AQAAzwMAAA4AAAAAAAAAAAAAAAAALgIA&#10;AGRycy9lMm9Eb2MueG1sUEsBAi0AFAAGAAgAAAAhAJvMB8jfAAAADAEAAA8AAAAAAAAAAAAAAAAA&#10;UAQAAGRycy9kb3ducmV2LnhtbFBLBQYAAAAABAAEAPMAAABcBQAAAAA=&#10;" o:allowoverlap="f" filled="f" stroked="f">
                <v:textbox inset="29mm,,2.5mm">
                  <w:txbxContent>
                    <w:p w14:paraId="25D96868" w14:textId="11E6C08E" w:rsidR="00EC4E90" w:rsidRPr="0047168D" w:rsidRDefault="003D2738" w:rsidP="00EC4E90">
                      <w:pPr>
                        <w:pStyle w:val="Hervorhebung1"/>
                        <w:jc w:val="both"/>
                      </w:pPr>
                      <w:r w:rsidRPr="00036BDA">
                        <w:t xml:space="preserve">La diffusion d’outils créés spécifiquement pour des apprenantes et apprenants présentant un polyhandicap fait partie des missions du </w:t>
                      </w:r>
                      <w:r w:rsidRPr="00C6238B">
                        <w:rPr>
                          <w:iCs/>
                        </w:rPr>
                        <w:t>Petit Conservatoire</w:t>
                      </w:r>
                      <w:r>
                        <w:rPr>
                          <w:iCs/>
                        </w:rPr>
                        <w:t>.</w:t>
                      </w:r>
                      <w:r w:rsidRPr="00C6238B">
                        <w:rPr>
                          <w:iCs/>
                        </w:rPr>
                        <w:t xml:space="preserve"> </w:t>
                      </w:r>
                    </w:p>
                  </w:txbxContent>
                </v:textbox>
                <w10:wrap type="topAndBottom"/>
              </v:shape>
            </w:pict>
          </mc:Fallback>
        </mc:AlternateContent>
      </w:r>
      <w:r w:rsidR="00FA7668" w:rsidRPr="00036BDA">
        <w:t xml:space="preserve">La diffusion d’outils créés spécifiquement pour des apprenantes et apprenants présentant un polyhandicap (APP) fait partie des missions du </w:t>
      </w:r>
      <w:r w:rsidR="00FA7668" w:rsidRPr="00C6238B">
        <w:rPr>
          <w:bCs/>
          <w:iCs/>
        </w:rPr>
        <w:t>Petit Conservatoire du Polyhandicap</w:t>
      </w:r>
      <w:r w:rsidR="00FA7668" w:rsidRPr="00036BDA">
        <w:t xml:space="preserve">. Ces outils étant dans leur très grande majorité rédigés en anglais, leur adaptation en français est une priorité. Nous avons découvert l’outil </w:t>
      </w:r>
      <w:r w:rsidR="00FA7668" w:rsidRPr="00C6238B">
        <w:rPr>
          <w:bCs/>
          <w:i/>
          <w:iCs/>
        </w:rPr>
        <w:t>Routes for Learning</w:t>
      </w:r>
      <w:r w:rsidR="00FA7668" w:rsidRPr="00036BDA">
        <w:rPr>
          <w:i/>
          <w:iCs/>
        </w:rPr>
        <w:t> </w:t>
      </w:r>
      <w:r w:rsidR="00FA7668" w:rsidRPr="00036BDA">
        <w:t>(RfL) (Curriculum and Qualifications Group, 2006</w:t>
      </w:r>
      <w:r w:rsidR="00F30DB2">
        <w:t> ;</w:t>
      </w:r>
      <w:r w:rsidR="00FA7668" w:rsidRPr="00036BDA">
        <w:t xml:space="preserve"> Routes for Learning Advisory Group, 2020) lors de colloques du réseau international de chercheurs et chercheuses sur le polyhandicap, </w:t>
      </w:r>
      <w:r w:rsidR="00FA7668" w:rsidRPr="00036BDA">
        <w:rPr>
          <w:i/>
          <w:iCs/>
        </w:rPr>
        <w:t xml:space="preserve">Special Interest Group in People with Profound and Multiple Disabilities </w:t>
      </w:r>
      <w:r w:rsidR="00FA7668" w:rsidRPr="00036BDA">
        <w:t xml:space="preserve">(SIRG-PIMD) en anglais, en échangeant avec l’une de ses membres, Jean Ware, à l’origine du développement de l’outil. </w:t>
      </w:r>
    </w:p>
    <w:p w14:paraId="7C7CFDF0" w14:textId="1D6C0978" w:rsidR="00B60C12" w:rsidRPr="00036BDA" w:rsidRDefault="00FA7668" w:rsidP="00CE4C44">
      <w:pPr>
        <w:pStyle w:val="Corpsdetexte"/>
        <w:ind w:firstLine="0"/>
        <w:rPr>
          <w:rFonts w:eastAsiaTheme="majorEastAsia" w:cs="Open Sans SemiCondensed"/>
          <w:b/>
          <w:bCs/>
          <w:color w:val="000000" w:themeColor="text1"/>
          <w:sz w:val="24"/>
          <w:szCs w:val="32"/>
        </w:rPr>
      </w:pPr>
      <w:r w:rsidRPr="00036BDA">
        <w:t xml:space="preserve">RfL répond au besoin significatif d’outils pour guider les pratiques d’évaluation des habiletés des APP (Maes et al., 2020 ; Vlaskamp, 2005). Il est cité comme un outil d’évaluation pertinent dans les ouvrages de référence et publications consacrés aux référentiels d’apprentissage pour APP (Imray &amp; Hinchcliffe, 2014 ; Lacey et al., 2015 ; Petitpierre &amp; Rolfo, 2019). </w:t>
      </w:r>
      <w:r w:rsidR="00030D46">
        <w:t>En outre, i</w:t>
      </w:r>
      <w:r w:rsidRPr="00036BDA">
        <w:t>l bénéfic</w:t>
      </w:r>
      <w:r w:rsidR="009B6873">
        <w:t>i</w:t>
      </w:r>
      <w:r w:rsidRPr="00036BDA">
        <w:t>e d’une une excellente validité sociale (McDermott, 2014</w:t>
      </w:r>
      <w:r w:rsidR="00030D46">
        <w:t> ;</w:t>
      </w:r>
      <w:r w:rsidRPr="00036BDA">
        <w:t xml:space="preserve"> McDermott &amp; Atkinson, 2016 ; Weston &amp; Ware, 2018).  Au vu de ce ces éléments, le Petit Conservatoire du Polyhandicap a fait une demande d’autorisation au gouvernement du Pays de Galles pour l’adapter en français,</w:t>
      </w:r>
      <w:r w:rsidR="005E5D6E">
        <w:t xml:space="preserve"> </w:t>
      </w:r>
      <w:r w:rsidRPr="00036BDA">
        <w:t xml:space="preserve">obtenue en 2020. Le projet d’adaptation a été cofinancé par le Petit Conservatoire du Polyhandicap et la </w:t>
      </w:r>
      <w:r w:rsidRPr="00C6238B">
        <w:rPr>
          <w:bCs/>
          <w:iCs/>
        </w:rPr>
        <w:t>Fondation Centre de pédagogie curative (HPZ)</w:t>
      </w:r>
      <w:r w:rsidR="001C6A82">
        <w:t xml:space="preserve">. </w:t>
      </w:r>
      <w:r w:rsidRPr="00036BDA">
        <w:t xml:space="preserve">Un travail de </w:t>
      </w:r>
      <w:r w:rsidRPr="004125A1">
        <w:rPr>
          <w:i/>
          <w:iCs/>
        </w:rPr>
        <w:t>bachelor</w:t>
      </w:r>
      <w:r w:rsidRPr="00036BDA">
        <w:t xml:space="preserve"> d’une étudiante en pédagogie spécialisée à l’Université de Fribourg, Dina Pham, a été réalisé dans le cadre de ce projet.</w:t>
      </w:r>
      <w:bookmarkStart w:id="2" w:name="_Toc228376043"/>
      <w:bookmarkStart w:id="3" w:name="_Toc228376107"/>
    </w:p>
    <w:p w14:paraId="25DDBD8B" w14:textId="32763932" w:rsidR="00FA7668" w:rsidRPr="00036BDA" w:rsidRDefault="00FA7668" w:rsidP="00E95BF1">
      <w:pPr>
        <w:pStyle w:val="Titre1"/>
      </w:pPr>
      <w:r w:rsidRPr="00036BDA">
        <w:lastRenderedPageBreak/>
        <w:t>Processus d’adaptation en français de l’outil</w:t>
      </w:r>
      <w:bookmarkEnd w:id="2"/>
      <w:bookmarkEnd w:id="3"/>
    </w:p>
    <w:p w14:paraId="413BB99E" w14:textId="49BC5A70" w:rsidR="00FA7668" w:rsidRPr="00036BDA" w:rsidRDefault="00FA7668" w:rsidP="006412A7">
      <w:pPr>
        <w:pStyle w:val="Corpsdetexte"/>
      </w:pPr>
      <w:r w:rsidRPr="00036BDA">
        <w:t xml:space="preserve">L’adaptation d’un outil ou d’un test dans une langue cible (langue de traduction) différente de la langue source (langue de l’outil) inclut et implique : </w:t>
      </w:r>
    </w:p>
    <w:p w14:paraId="4C9E1E8B" w14:textId="4AD4F274" w:rsidR="00FA7668" w:rsidRPr="00036BDA" w:rsidRDefault="00FA7668" w:rsidP="00BE00A0">
      <w:pPr>
        <w:pStyle w:val="Zitat1"/>
        <w:suppressAutoHyphens/>
        <w:spacing w:before="60" w:after="120"/>
        <w:rPr>
          <w:noProof w:val="0"/>
        </w:rPr>
      </w:pPr>
      <w:r w:rsidRPr="00036BDA">
        <w:rPr>
          <w:noProof w:val="0"/>
        </w:rPr>
        <w:t xml:space="preserve">toutes les activités qui ont pour but de juger si un outil mesure le même concept dans des langues et des cultures différentes, de sélectionner les </w:t>
      </w:r>
      <w:r w:rsidR="00F540B2">
        <w:rPr>
          <w:noProof w:val="0"/>
        </w:rPr>
        <w:t xml:space="preserve">[traductrices et] </w:t>
      </w:r>
      <w:r w:rsidRPr="00036BDA">
        <w:rPr>
          <w:noProof w:val="0"/>
        </w:rPr>
        <w:t xml:space="preserve">traducteurs, de décider quelles sont les accommodations nécessaires pour qu’un test soit utilisable dans une autre langue, de vérifier l’équivalence de la version adaptée de l’outil (Lamoureux-Hébert, 2006, p. 38). </w:t>
      </w:r>
    </w:p>
    <w:p w14:paraId="4BDA3665" w14:textId="2418EE6A" w:rsidR="00FA7668" w:rsidRPr="00036BDA" w:rsidRDefault="00FA7668" w:rsidP="00FE0CEA">
      <w:pPr>
        <w:pStyle w:val="Corpsdetexte"/>
        <w:ind w:firstLine="0"/>
      </w:pPr>
      <w:r w:rsidRPr="00036BDA">
        <w:t xml:space="preserve">Il existe plusieurs méthodes d’adaptation transculturelle, parmi lesquelles l’approche par comités d’experts multidisciplinaires, préconisée dans la littérature scientifique (Caron, 1999 ; Massoubre et al., 2002 ; Tassé &amp; Craig, 1999). Nous avons adopté cette approche par comités, en nous inspirant également du modèle </w:t>
      </w:r>
      <w:r w:rsidRPr="00036BDA">
        <w:rPr>
          <w:i/>
          <w:iCs/>
        </w:rPr>
        <w:t>Translation, Review, Adjudication, Pretesting and Documentation</w:t>
      </w:r>
      <w:r w:rsidRPr="00036BDA">
        <w:t> (TRAPD) (Survey Research Center, 2016). L’adaptation a été réalisée en Suisse romande. Trois comités d’expertes indépendantes ont été constitués, avec chacun une mission distincte : consultation, relecture et prétest clinique de la version adaptée. Le manuel d’évaluation et la feuille de route présentés dans la suite de l’article ont fait l’objet de ce processus d’adaptation ; pour des raisons temporelles, le guide d’utilisation a été traduit sans faire appel à des comités d’experts. Pour plus de détails sur le processus d’adaptation, un chapitre y est consacré dans le manuel d’évaluation.</w:t>
      </w:r>
    </w:p>
    <w:p w14:paraId="0D659C42" w14:textId="2AFAEFAA" w:rsidR="00FA7668" w:rsidRPr="00036BDA" w:rsidRDefault="00FA7668" w:rsidP="00E95BF1">
      <w:pPr>
        <w:pStyle w:val="Titre1"/>
      </w:pPr>
      <w:bookmarkStart w:id="4" w:name="_Toc228376044"/>
      <w:bookmarkStart w:id="5" w:name="_Toc228376108"/>
      <w:r w:rsidRPr="00036BDA">
        <w:t>Présentation de l’outil</w:t>
      </w:r>
      <w:bookmarkStart w:id="6" w:name="_Toc228376045"/>
      <w:bookmarkStart w:id="7" w:name="_Toc228376109"/>
      <w:bookmarkStart w:id="8" w:name="_Toc228376046"/>
      <w:bookmarkStart w:id="9" w:name="_Toc228376110"/>
      <w:bookmarkEnd w:id="4"/>
      <w:bookmarkEnd w:id="5"/>
      <w:bookmarkEnd w:id="6"/>
      <w:bookmarkEnd w:id="7"/>
      <w:bookmarkEnd w:id="8"/>
      <w:bookmarkEnd w:id="9"/>
    </w:p>
    <w:p w14:paraId="0E28591C" w14:textId="01993FD0" w:rsidR="00FA7668" w:rsidRPr="00036BDA" w:rsidRDefault="00FA7668" w:rsidP="008E778C">
      <w:pPr>
        <w:pStyle w:val="Corpsdetexte"/>
      </w:pPr>
      <w:r w:rsidRPr="00036BDA">
        <w:rPr>
          <w:i/>
          <w:iCs/>
        </w:rPr>
        <w:t>Routes for Learning</w:t>
      </w:r>
      <w:r w:rsidRPr="00036BDA">
        <w:t xml:space="preserve"> (RfL) est un outil d'évaluation des compétences de communication et d'interaction sociale, du développement cognitif précoce et des interactions avec l'environnement des APP. Il a été développé en 2006 et révisé en 2020 au Pays de Galles. RfL est basé sur un modèle développemental, mais non linéaire. Si </w:t>
      </w:r>
      <w:r w:rsidRPr="00036BDA">
        <w:rPr>
          <w:rFonts w:eastAsia="Arial"/>
        </w:rPr>
        <w:t>les autrices et auteurs tiennent compte du développement typique, ils reconnaissent toutefois que chaque individu suit son propre parcours, étant susceptible de faire des détours, de progresser rapidement ou de régresser dans l’un ou tous les aspects de l'apprentissage</w:t>
      </w:r>
      <w:r w:rsidRPr="00036BDA">
        <w:t>. L’outil permet ainsi d’évaluer de manière flexible les différents rythmes et voies par lesquels ce groupe d'apprenantes et apprenants peut atteindre des objectifs de développement typiques.</w:t>
      </w:r>
      <w:r w:rsidR="002337AC">
        <w:t xml:space="preserve"> </w:t>
      </w:r>
    </w:p>
    <w:p w14:paraId="059E2DFF" w14:textId="6D15AF09" w:rsidR="00FA7668" w:rsidRPr="00036BDA" w:rsidRDefault="00FA7668" w:rsidP="00FB59B6">
      <w:pPr>
        <w:pStyle w:val="Titre3"/>
      </w:pPr>
      <w:r w:rsidRPr="00612DB0">
        <w:t>Les principes suivants ont guidé son élaboration</w:t>
      </w:r>
    </w:p>
    <w:p w14:paraId="3B174BA6" w14:textId="1AD1983C" w:rsidR="00FA7668" w:rsidRPr="00036BDA" w:rsidRDefault="00FA7668" w:rsidP="00B02289">
      <w:pPr>
        <w:pStyle w:val="Liste"/>
        <w:spacing w:after="60"/>
        <w:contextualSpacing w:val="0"/>
        <w:jc w:val="both"/>
      </w:pPr>
      <w:r w:rsidRPr="00036BDA">
        <w:t>l’accent est mis sur la personne</w:t>
      </w:r>
      <w:r w:rsidR="00F92A8A">
        <w:t xml:space="preserve"> et</w:t>
      </w:r>
      <w:r w:rsidRPr="00036BDA">
        <w:t xml:space="preserve"> ses capacités plutôt que sur ses déficiences ;</w:t>
      </w:r>
    </w:p>
    <w:p w14:paraId="1B1E6D62" w14:textId="61708403" w:rsidR="00FA7668" w:rsidRPr="00036BDA" w:rsidRDefault="00FA7668" w:rsidP="00B02289">
      <w:pPr>
        <w:pStyle w:val="Liste"/>
        <w:spacing w:after="60"/>
        <w:contextualSpacing w:val="0"/>
        <w:jc w:val="both"/>
      </w:pPr>
      <w:r w:rsidRPr="00036BDA">
        <w:t>l’objectif principal de l’évaluation est de permettre à l’APP de faire le plus de progrès possible dans le développement de ses compétences, de ses connaissances et de sa compréhension ;</w:t>
      </w:r>
    </w:p>
    <w:p w14:paraId="664611E8" w14:textId="609A9913" w:rsidR="00FA7668" w:rsidRPr="00036BDA" w:rsidRDefault="00FA7668" w:rsidP="00B02289">
      <w:pPr>
        <w:pStyle w:val="Liste"/>
        <w:spacing w:after="60"/>
        <w:contextualSpacing w:val="0"/>
        <w:jc w:val="both"/>
      </w:pPr>
      <w:r w:rsidRPr="00036BDA">
        <w:t>l’évaluation est basée sur le processus et analyse la relation entre l’APP et son environnement ;</w:t>
      </w:r>
    </w:p>
    <w:p w14:paraId="3FBD6E5C" w14:textId="1F7BDE44" w:rsidR="00FA7668" w:rsidRPr="00036BDA" w:rsidRDefault="00FA7668" w:rsidP="00B02289">
      <w:pPr>
        <w:pStyle w:val="Liste"/>
        <w:spacing w:after="60"/>
        <w:contextualSpacing w:val="0"/>
        <w:jc w:val="both"/>
      </w:pPr>
      <w:r w:rsidRPr="00036BDA">
        <w:t>les APP doivent jouer un rôle actif dans le processus d’évaluation ;</w:t>
      </w:r>
    </w:p>
    <w:p w14:paraId="3CEF4570" w14:textId="3C971B10" w:rsidR="00FA7668" w:rsidRPr="00036BDA" w:rsidRDefault="00FA7668" w:rsidP="00B02289">
      <w:pPr>
        <w:pStyle w:val="Liste"/>
        <w:spacing w:after="60"/>
        <w:contextualSpacing w:val="0"/>
        <w:jc w:val="both"/>
      </w:pPr>
      <w:r w:rsidRPr="00036BDA">
        <w:t>les praticiennes et praticiens qui procèdent à l’évaluation doivent porter une grande attention à la qualité de leur relation avec l’APP, et garantir un environnement d’apprentissage répondant.</w:t>
      </w:r>
    </w:p>
    <w:p w14:paraId="536BB777" w14:textId="3FC7322B" w:rsidR="00FA7668" w:rsidRPr="00036BDA" w:rsidRDefault="00FA7668" w:rsidP="00D45296">
      <w:pPr>
        <w:pStyle w:val="Corpsdetexte"/>
        <w:ind w:firstLine="0"/>
      </w:pPr>
      <w:r w:rsidRPr="00036BDA">
        <w:t>L’évaluation devrait se dérouler dans un environnement familier de l’APP et être effectuée par des personnes familières. La participation des parents et des autres membres de la famille devrait être encouragée à tous les stades de l’évaluation, car le comportement des APP peut varier à la maison ou en présence des membres de la famille. Leur contribution sera essentielle, tout comme celle de l’équipe pluridisciplinaire qui soutient l’APP. L’outil ne propose pas de système de cotation, puisque, selon ses autrices et auteurs, les comportements complexes des APP ne peuvent être documentés et décrits par une cotation chiffrée. Le matériel proposé dans l’outil est présenté dans les paragraphes suivants.</w:t>
      </w:r>
    </w:p>
    <w:p w14:paraId="283AB164" w14:textId="23ECAB97" w:rsidR="00FA7668" w:rsidRPr="00036BDA" w:rsidRDefault="00FA7668" w:rsidP="00CE68B7">
      <w:pPr>
        <w:pStyle w:val="Titre2"/>
      </w:pPr>
      <w:bookmarkStart w:id="10" w:name="_Toc228376047"/>
      <w:bookmarkStart w:id="11" w:name="_Toc228376111"/>
      <w:r w:rsidRPr="00036BDA">
        <w:lastRenderedPageBreak/>
        <w:t>Feuille de route</w:t>
      </w:r>
      <w:bookmarkStart w:id="12" w:name="_Toc228376048"/>
      <w:bookmarkStart w:id="13" w:name="_Toc228376112"/>
      <w:bookmarkStart w:id="14" w:name="_Toc228376049"/>
      <w:bookmarkStart w:id="15" w:name="_Toc228376113"/>
      <w:bookmarkEnd w:id="10"/>
      <w:bookmarkEnd w:id="11"/>
      <w:bookmarkEnd w:id="12"/>
      <w:bookmarkEnd w:id="13"/>
      <w:bookmarkEnd w:id="14"/>
      <w:bookmarkEnd w:id="15"/>
    </w:p>
    <w:p w14:paraId="12751F5C" w14:textId="52D026BA" w:rsidR="00FA7668" w:rsidRPr="00036BDA" w:rsidRDefault="00CC6CC2" w:rsidP="008446D5">
      <w:pPr>
        <w:pStyle w:val="Corpsdetexte"/>
        <w:ind w:firstLine="0"/>
      </w:pPr>
      <w:r w:rsidRPr="00037AE3">
        <w:rPr>
          <w:noProof/>
        </w:rPr>
        <mc:AlternateContent>
          <mc:Choice Requires="wps">
            <w:drawing>
              <wp:anchor distT="45720" distB="45720" distL="46990" distR="46990" simplePos="0" relativeHeight="251658241" behindDoc="0" locked="0" layoutInCell="1" allowOverlap="0" wp14:anchorId="2FB76569" wp14:editId="58552FA4">
                <wp:simplePos x="0" y="0"/>
                <wp:positionH relativeFrom="column">
                  <wp:posOffset>-900430</wp:posOffset>
                </wp:positionH>
                <wp:positionV relativeFrom="paragraph">
                  <wp:posOffset>1815465</wp:posOffset>
                </wp:positionV>
                <wp:extent cx="5939790" cy="467995"/>
                <wp:effectExtent l="0" t="0" r="0" b="0"/>
                <wp:wrapTopAndBottom/>
                <wp:docPr id="3870915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467995"/>
                        </a:xfrm>
                        <a:prstGeom prst="rect">
                          <a:avLst/>
                        </a:prstGeom>
                        <a:noFill/>
                        <a:ln w="9525">
                          <a:noFill/>
                          <a:miter lim="800000"/>
                          <a:headEnd/>
                          <a:tailEnd/>
                        </a:ln>
                      </wps:spPr>
                      <wps:txbx>
                        <w:txbxContent>
                          <w:p w14:paraId="530DCE02" w14:textId="6ABA45C3" w:rsidR="00EC4E90" w:rsidRPr="0047168D" w:rsidRDefault="004D1ADF" w:rsidP="002178DC">
                            <w:pPr>
                              <w:pStyle w:val="Hervorhebung1"/>
                              <w:jc w:val="both"/>
                            </w:pPr>
                            <w:r w:rsidRPr="00036BDA">
                              <w:t>La feuille de route donne une vue d’ensemble du développement cognitif précoce, de la communication et de l’interaction sociale, ainsi que de l’interaction avec l’environnement</w:t>
                            </w:r>
                            <w:r w:rsidR="009F19E4">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76569" id="_x0000_s1027" type="#_x0000_t202" alt="&quot;&quot;" style="position:absolute;left:0;text-align:left;margin-left:-70.9pt;margin-top:142.95pt;width:467.7pt;height:36.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PM/gEAANYDAAAOAAAAZHJzL2Uyb0RvYy54bWysU9tu2zAMfR+wfxD0vtjJ4qY24hRduw4D&#10;ugvQ7QNkWY6FSaImKbGzrx8lu2mwvQ3zg0CK5iHPIbW9GbUiR+G8BFPT5SKnRBgOrTT7mn7/9vDm&#10;mhIfmGmZAiNqehKe3uxev9oOthIr6EG1whEEMb4abE37EGyVZZ73QjO/ACsMBjtwmgV03T5rHRsQ&#10;XatsledX2QCutQ648B5v76cg3SX8rhM8fOk6LwJRNcXeQjpdOpt4Zrstq/aO2V7yuQ32D11oJg0W&#10;PUPds8DIwcm/oLTkDjx0YcFBZ9B1kovEAdks8z/YPPXMisQFxfH2LJP/f7D88/HJfnUkjO9gxAEm&#10;Et4+Av/hiYG7npm9uHUOhl6wFgsvo2TZYH01p0apfeUjSDN8ghaHzA4BEtDYOR1VQZ4E0XEAp7Po&#10;YgyE42VRvi03JYY4xtZXm7IsUglWPWdb58MHAZpEo6YOh5rQ2fHRh9gNq55/icUMPEil0mCVIUNN&#10;y2JVpISLiJYB905JXdPrPH7TJkSS702bkgOTarKxgDIz60h0ohzGZiSynSWJIjTQnlAGB9Oa4bNA&#10;owf3i5IBV6ym/ueBOUGJ+miilPl6HSuTkNx1sVmh45JTpp5IcxlhhiNYTQMlk3kX0iZPpG9R9E4m&#10;PV56mZvG5UkyzYset/PST3+9PMfdbwAAAP//AwBQSwMEFAAGAAgAAAAhAB8HuQrgAAAADAEAAA8A&#10;AABkcnMvZG93bnJldi54bWxMj8FOwzAQRO9I/IO1SNxaJy0NTRqnQqBIvZIicd3GJolqryPbScPf&#10;Y05wHM1o5k15XIxms3J+sCQgXSfAFLVWDtQJ+DjXqz0wH5AkaktKwLfycKzu70ospL3Ru5qb0LFY&#10;Qr5AAX0IY8G5b3tl0K/tqCh6X9YZDFG6jkuHt1huNN8kScYNDhQXehzVa6/aazMZAW6sJ+M+86Se&#10;G1y0ezsl3XwS4vFheTkAC2oJf2H4xY/oUEWmi51IeqYFrNKnNLIHAZv9LgcWI8/5NgN2EbDd5Rnw&#10;quT/T1Q/AAAA//8DAFBLAQItABQABgAIAAAAIQC2gziS/gAAAOEBAAATAAAAAAAAAAAAAAAAAAAA&#10;AABbQ29udGVudF9UeXBlc10ueG1sUEsBAi0AFAAGAAgAAAAhADj9If/WAAAAlAEAAAsAAAAAAAAA&#10;AAAAAAAALwEAAF9yZWxzLy5yZWxzUEsBAi0AFAAGAAgAAAAhACtKg8z+AQAA1gMAAA4AAAAAAAAA&#10;AAAAAAAALgIAAGRycy9lMm9Eb2MueG1sUEsBAi0AFAAGAAgAAAAhAB8HuQrgAAAADAEAAA8AAAAA&#10;AAAAAAAAAAAAWAQAAGRycy9kb3ducmV2LnhtbFBLBQYAAAAABAAEAPMAAABlBQAAAAA=&#10;" o:allowoverlap="f" filled="f" stroked="f">
                <v:textbox inset="29mm,,2.5mm">
                  <w:txbxContent>
                    <w:p w14:paraId="530DCE02" w14:textId="6ABA45C3" w:rsidR="00EC4E90" w:rsidRPr="0047168D" w:rsidRDefault="004D1ADF" w:rsidP="002178DC">
                      <w:pPr>
                        <w:pStyle w:val="Hervorhebung1"/>
                        <w:jc w:val="both"/>
                      </w:pPr>
                      <w:r w:rsidRPr="00036BDA">
                        <w:t>La feuille de route donne une vue d’ensemble du développement cognitif précoce, de la communication et de l’interaction sociale, ainsi que de l’interaction avec l’environnement</w:t>
                      </w:r>
                      <w:r w:rsidR="009F19E4">
                        <w:t>.</w:t>
                      </w:r>
                    </w:p>
                  </w:txbxContent>
                </v:textbox>
                <w10:wrap type="topAndBottom"/>
              </v:shape>
            </w:pict>
          </mc:Fallback>
        </mc:AlternateContent>
      </w:r>
      <w:r w:rsidR="00FA7668" w:rsidRPr="00036BDA">
        <w:t xml:space="preserve">La feuille de route (Figure 1) donne une vue d’ensemble du développement cognitif précoce, de la communication et de l’interaction sociale, ainsi que de l’interaction avec l’environnement. La partie gauche de la feuille de route montre les habiletés liées à la communication et aux interactions sociales, tandis que le côté droit indique les interactions qui sont davantage centrées sur l’environnement de l’APP. Au centre de la feuille de route se trouvent des éléments du développement cognitif précoce, qui ne sont pas toujours observables directement, mais peuvent être inférés à partir du comportement de l’APP. Les étapes clés présupposées par lesquelles chaque APP devrait passer sont indiquées dans les bulles orange. Les APP sont susceptibles d’emprunter différents itinéraires pour les atteindre. </w:t>
      </w:r>
      <w:r w:rsidR="00FA7668" w:rsidRPr="00036BDA">
        <w:rPr>
          <w:rFonts w:eastAsia="Arial"/>
        </w:rPr>
        <w:t>Leur cheminement dépend en effet de multiples facteurs, notamment de la nature de leurs déficiences et des expériences d’apprentissage qui leur sont proposées.</w:t>
      </w:r>
    </w:p>
    <w:p w14:paraId="3240CB37" w14:textId="53EF5B60" w:rsidR="00FA7668" w:rsidRPr="00036BDA" w:rsidRDefault="00FA7668" w:rsidP="00320F4C">
      <w:pPr>
        <w:pStyle w:val="Corpsdetexte"/>
        <w:ind w:firstLine="0"/>
      </w:pPr>
      <w:r w:rsidRPr="00036BDA">
        <w:t>Les habiletés les plus simples et précoces sur le plan développemental observées chez les APP sont situées en haut de la feuille de route. Les bulles situées en bas de la feuille de route sont les plus complexes sur le plan développemental, susceptibles d’être atteintes par certaines et certains des APP, et correspondent à ce que l’on peut attendre de celles et ceux qui présentent une déficience intellectuelle sévère.</w:t>
      </w:r>
    </w:p>
    <w:p w14:paraId="54B0B7C3" w14:textId="1B2C21F8" w:rsidR="00FA7668" w:rsidRPr="00036BDA" w:rsidRDefault="00FA7668" w:rsidP="008E778C">
      <w:pPr>
        <w:pStyle w:val="Corpsdetexte"/>
      </w:pPr>
      <w:r w:rsidRPr="00036BDA">
        <w:t>Bien que les bulles de la feuille de route soient numérotées de 1 à 43, les APP ne les parcourront pas nécessairement dans l’ordre numérique. Pour souligner davantage l’importance de cette caractéristique de l’outil, les auteurs ont regroupé les habiletés correspondant à chaque bulle en douze thèmes.</w:t>
      </w:r>
    </w:p>
    <w:p w14:paraId="167847A2" w14:textId="77777777" w:rsidR="00D111A6" w:rsidRPr="00036BDA" w:rsidRDefault="00D111A6" w:rsidP="00D111A6">
      <w:pPr>
        <w:pStyle w:val="Titre2"/>
        <w:ind w:left="576" w:hanging="576"/>
      </w:pPr>
      <w:bookmarkStart w:id="16" w:name="_Toc228376050"/>
      <w:bookmarkStart w:id="17" w:name="_Toc228376114"/>
      <w:r w:rsidRPr="00036BDA">
        <w:t>Thèmes</w:t>
      </w:r>
      <w:bookmarkStart w:id="18" w:name="_Toc228376051"/>
      <w:bookmarkStart w:id="19" w:name="_Toc228376115"/>
      <w:bookmarkStart w:id="20" w:name="_Toc228376052"/>
      <w:bookmarkStart w:id="21" w:name="_Toc228376116"/>
      <w:bookmarkEnd w:id="16"/>
      <w:bookmarkEnd w:id="17"/>
      <w:bookmarkEnd w:id="18"/>
      <w:bookmarkEnd w:id="19"/>
      <w:bookmarkEnd w:id="20"/>
      <w:bookmarkEnd w:id="21"/>
    </w:p>
    <w:p w14:paraId="1F60DB22" w14:textId="1653EA83" w:rsidR="00D111A6" w:rsidRPr="00036BDA" w:rsidRDefault="00D111A6" w:rsidP="008446D5">
      <w:pPr>
        <w:pStyle w:val="Corpsdetexte"/>
        <w:ind w:firstLine="0"/>
      </w:pPr>
      <w:r w:rsidRPr="00036BDA">
        <w:t xml:space="preserve">Les douze thèmes (voir </w:t>
      </w:r>
      <w:r w:rsidR="00571196">
        <w:t xml:space="preserve">la </w:t>
      </w:r>
      <w:r w:rsidRPr="00036BDA">
        <w:t xml:space="preserve">liste ci-dessous) permettent d’examiner les liens entre les bulles et aident les praticiennes et praticiens à réfléchir aux domaines de la feuille de route dans lesquels les APP montrent actuellement un potentiel. Chaque thème comprend des informations introductives et </w:t>
      </w:r>
      <w:r w:rsidR="00C504A6">
        <w:t xml:space="preserve">des </w:t>
      </w:r>
      <w:r w:rsidRPr="00036BDA">
        <w:t>questions clés. Ces questions devraient non seulement soutenir les praticiennes et praticiens dans leurs réflexions sur les preuves d’apprentissage recueillies au travers des réactions des APP, mais aussi les aider à identifier sur quelle bulle spécifique de la feuille de route ces preuves portent.</w:t>
      </w:r>
    </w:p>
    <w:p w14:paraId="61C3738D" w14:textId="2EEF78C8" w:rsidR="00D111A6" w:rsidRPr="00A939EC" w:rsidRDefault="00D111A6" w:rsidP="008465DF">
      <w:pPr>
        <w:pStyle w:val="Titre3"/>
        <w:rPr>
          <w:rFonts w:cstheme="minorBidi"/>
        </w:rPr>
      </w:pPr>
      <w:r w:rsidRPr="00A939EC">
        <w:t>Liste des thèmes correspondant aux habiletés évaluées</w:t>
      </w:r>
      <w:r w:rsidRPr="00A939EC">
        <w:rPr>
          <w:rFonts w:cstheme="minorBidi"/>
        </w:rPr>
        <w:t xml:space="preserve"> </w:t>
      </w:r>
    </w:p>
    <w:p w14:paraId="2234DE03" w14:textId="3778081C" w:rsidR="00D111A6" w:rsidRPr="005F704C" w:rsidRDefault="00D111A6" w:rsidP="005F1460">
      <w:pPr>
        <w:pStyle w:val="Liste"/>
        <w:spacing w:after="60"/>
        <w:contextualSpacing w:val="0"/>
      </w:pPr>
      <w:r w:rsidRPr="00036BDA">
        <w:t>Thème 1 (</w:t>
      </w:r>
      <w:r w:rsidR="00A125B2">
        <w:t>b</w:t>
      </w:r>
      <w:r w:rsidRPr="00036BDA">
        <w:t>ulles 1, 3, 6, 9, 12) : Réagir à des</w:t>
      </w:r>
      <w:r w:rsidR="005F704C">
        <w:t xml:space="preserve"> stimuli</w:t>
      </w:r>
    </w:p>
    <w:p w14:paraId="6135E13E" w14:textId="1E709C13" w:rsidR="00D111A6" w:rsidRPr="00036BDA" w:rsidRDefault="00D111A6" w:rsidP="005F1460">
      <w:pPr>
        <w:pStyle w:val="Liste"/>
        <w:spacing w:after="60"/>
        <w:contextualSpacing w:val="0"/>
      </w:pPr>
      <w:r w:rsidRPr="00036BDA">
        <w:t>Thème 2 (</w:t>
      </w:r>
      <w:r w:rsidR="00A125B2">
        <w:t>b</w:t>
      </w:r>
      <w:r w:rsidRPr="00036BDA">
        <w:t>ulles 2, 5) : Réagir face à des personnes</w:t>
      </w:r>
    </w:p>
    <w:p w14:paraId="6B0F04A7" w14:textId="69E67DA7" w:rsidR="00D111A6" w:rsidRPr="00036BDA" w:rsidRDefault="00D111A6" w:rsidP="005F1460">
      <w:pPr>
        <w:pStyle w:val="Liste"/>
        <w:spacing w:after="60"/>
        <w:contextualSpacing w:val="0"/>
      </w:pPr>
      <w:r w:rsidRPr="00036BDA">
        <w:t>Thème 3 (</w:t>
      </w:r>
      <w:r w:rsidR="00A125B2">
        <w:t>b</w:t>
      </w:r>
      <w:r w:rsidRPr="00036BDA">
        <w:t xml:space="preserve">ulles 4, 14) : Réagir à une séquence structurée de </w:t>
      </w:r>
      <w:r w:rsidR="005F704C">
        <w:t xml:space="preserve">stimuli </w:t>
      </w:r>
      <w:r w:rsidRPr="00036BDA">
        <w:t>présentée de manière répétitive</w:t>
      </w:r>
    </w:p>
    <w:p w14:paraId="3A32618C" w14:textId="36FDEC1F" w:rsidR="00D111A6" w:rsidRPr="00036BDA" w:rsidRDefault="00D111A6" w:rsidP="005F1460">
      <w:pPr>
        <w:pStyle w:val="Liste"/>
        <w:spacing w:after="60"/>
        <w:contextualSpacing w:val="0"/>
      </w:pPr>
      <w:r w:rsidRPr="00036BDA">
        <w:t>Thème 4 (</w:t>
      </w:r>
      <w:r w:rsidR="00A125B2">
        <w:t>b</w:t>
      </w:r>
      <w:r w:rsidRPr="00036BDA">
        <w:t>ulles 7, 11, 13, 22, 28) : Exprimer ses préférences</w:t>
      </w:r>
    </w:p>
    <w:p w14:paraId="39D4FA79" w14:textId="1B38EA89" w:rsidR="00D111A6" w:rsidRPr="00036BDA" w:rsidRDefault="00D111A6" w:rsidP="005F1460">
      <w:pPr>
        <w:pStyle w:val="Liste"/>
        <w:spacing w:after="60"/>
        <w:contextualSpacing w:val="0"/>
      </w:pPr>
      <w:r w:rsidRPr="00036BDA">
        <w:t>Thème 5 (</w:t>
      </w:r>
      <w:r w:rsidR="00A125B2">
        <w:t>b</w:t>
      </w:r>
      <w:r w:rsidRPr="00036BDA">
        <w:t>ulles 10, 20, 34) : Poursuivre un objet des yeux</w:t>
      </w:r>
    </w:p>
    <w:p w14:paraId="3A99B9CA" w14:textId="263145B4" w:rsidR="00D111A6" w:rsidRPr="00036BDA" w:rsidRDefault="00D111A6" w:rsidP="005F1460">
      <w:pPr>
        <w:pStyle w:val="Liste"/>
        <w:spacing w:after="60"/>
        <w:contextualSpacing w:val="0"/>
      </w:pPr>
      <w:r w:rsidRPr="00036BDA">
        <w:t>Thème 6 (</w:t>
      </w:r>
      <w:r w:rsidR="00A125B2">
        <w:t>b</w:t>
      </w:r>
      <w:r w:rsidRPr="00036BDA">
        <w:t>ulles, 16, 21, 24, 27) : Agir sur l’environnement physique</w:t>
      </w:r>
    </w:p>
    <w:p w14:paraId="36795F50" w14:textId="0240DEDE" w:rsidR="00D111A6" w:rsidRPr="00036BDA" w:rsidRDefault="00D111A6" w:rsidP="005F1460">
      <w:pPr>
        <w:pStyle w:val="Liste"/>
        <w:spacing w:after="60"/>
        <w:contextualSpacing w:val="0"/>
      </w:pPr>
      <w:r w:rsidRPr="00036BDA">
        <w:t>Thème 7 (</w:t>
      </w:r>
      <w:r w:rsidR="00A125B2">
        <w:t>b</w:t>
      </w:r>
      <w:r w:rsidRPr="00036BDA">
        <w:t>ulles 17, 30, 33, 40) : Être sociable</w:t>
      </w:r>
    </w:p>
    <w:p w14:paraId="694A4D3D" w14:textId="64DE97F5" w:rsidR="00D111A6" w:rsidRPr="00036BDA" w:rsidRDefault="00D111A6" w:rsidP="005F1460">
      <w:pPr>
        <w:pStyle w:val="Liste"/>
        <w:spacing w:after="60"/>
        <w:contextualSpacing w:val="0"/>
      </w:pPr>
      <w:r w:rsidRPr="00036BDA">
        <w:t>Thème 8 (</w:t>
      </w:r>
      <w:r w:rsidR="00A125B2">
        <w:t>b</w:t>
      </w:r>
      <w:r w:rsidRPr="00036BDA">
        <w:t>ulles 18, 25, 29) : Changer de centre d’attention</w:t>
      </w:r>
    </w:p>
    <w:p w14:paraId="6281FA72" w14:textId="77B1E003" w:rsidR="00D111A6" w:rsidRPr="00036BDA" w:rsidRDefault="00D111A6" w:rsidP="005F1460">
      <w:pPr>
        <w:pStyle w:val="Liste"/>
        <w:spacing w:after="60"/>
        <w:contextualSpacing w:val="0"/>
      </w:pPr>
      <w:r w:rsidRPr="00036BDA">
        <w:t>Thème 9 (</w:t>
      </w:r>
      <w:r w:rsidR="00A125B2">
        <w:t>b</w:t>
      </w:r>
      <w:r w:rsidRPr="00036BDA">
        <w:t>ulles 19, 23, 26) : Comprendre la relation de cause à effet</w:t>
      </w:r>
    </w:p>
    <w:p w14:paraId="2F71C6B9" w14:textId="15405A71" w:rsidR="00D111A6" w:rsidRPr="00036BDA" w:rsidRDefault="00D111A6" w:rsidP="005F1460">
      <w:pPr>
        <w:pStyle w:val="Liste"/>
        <w:spacing w:after="60"/>
        <w:contextualSpacing w:val="0"/>
      </w:pPr>
      <w:r w:rsidRPr="00036BDA">
        <w:t>Thème 10 (</w:t>
      </w:r>
      <w:r w:rsidR="00A125B2">
        <w:t>b</w:t>
      </w:r>
      <w:r w:rsidRPr="00036BDA">
        <w:t>ulles 15, 32, 39, 43) : Agir pour interpeler autrui</w:t>
      </w:r>
    </w:p>
    <w:p w14:paraId="3AE182D8" w14:textId="49A70CDA" w:rsidR="00D111A6" w:rsidRPr="00036BDA" w:rsidRDefault="00D111A6" w:rsidP="005F1460">
      <w:pPr>
        <w:pStyle w:val="Liste"/>
        <w:spacing w:after="60"/>
        <w:contextualSpacing w:val="0"/>
      </w:pPr>
      <w:r w:rsidRPr="00036BDA">
        <w:t>Thème 11 (</w:t>
      </w:r>
      <w:r w:rsidR="00A125B2">
        <w:t>b</w:t>
      </w:r>
      <w:r w:rsidRPr="00036BDA">
        <w:t>ulles 31, 35, 38, 42) : Résoudre des problèmes</w:t>
      </w:r>
    </w:p>
    <w:p w14:paraId="786577ED" w14:textId="354F7566" w:rsidR="00D111A6" w:rsidRPr="00036BDA" w:rsidRDefault="00D111A6" w:rsidP="005F1460">
      <w:pPr>
        <w:pStyle w:val="Liste"/>
        <w:spacing w:after="60"/>
        <w:contextualSpacing w:val="0"/>
      </w:pPr>
      <w:r w:rsidRPr="00036BDA">
        <w:t>Thème 12 (</w:t>
      </w:r>
      <w:r w:rsidR="00A125B2">
        <w:t>b</w:t>
      </w:r>
      <w:r w:rsidRPr="00036BDA">
        <w:t>ulles 36, 37, 41) : Faire un choix entre plusieurs options</w:t>
      </w:r>
    </w:p>
    <w:p w14:paraId="0A135BB7" w14:textId="77777777" w:rsidR="00B60C12" w:rsidRPr="00036BDA" w:rsidRDefault="00B60C12">
      <w:pPr>
        <w:spacing w:after="200" w:line="240" w:lineRule="auto"/>
      </w:pPr>
      <w:r w:rsidRPr="00036BDA">
        <w:br w:type="page"/>
      </w:r>
    </w:p>
    <w:p w14:paraId="0ED0885D" w14:textId="4C49B1E6" w:rsidR="00AE6860" w:rsidRPr="00036BDA" w:rsidRDefault="00AE6860" w:rsidP="00A939EC">
      <w:pPr>
        <w:pStyle w:val="LegendeAbbildung"/>
      </w:pPr>
      <w:r w:rsidRPr="00036BDA">
        <w:lastRenderedPageBreak/>
        <w:t xml:space="preserve">Figure </w:t>
      </w:r>
      <w:r w:rsidRPr="00036BDA">
        <w:fldChar w:fldCharType="begin"/>
      </w:r>
      <w:r w:rsidRPr="00036BDA">
        <w:instrText xml:space="preserve"> SEQ Figure \* ARABIC </w:instrText>
      </w:r>
      <w:r w:rsidRPr="00036BDA">
        <w:fldChar w:fldCharType="separate"/>
      </w:r>
      <w:r w:rsidR="00625036" w:rsidRPr="00036BDA">
        <w:t>1</w:t>
      </w:r>
      <w:r w:rsidRPr="00036BDA">
        <w:fldChar w:fldCharType="end"/>
      </w:r>
      <w:r w:rsidRPr="00036BDA">
        <w:t> : Feuille de route</w:t>
      </w:r>
    </w:p>
    <w:p w14:paraId="78DFFBCE" w14:textId="35FF35CF" w:rsidR="00FA7668" w:rsidRPr="00036BDA" w:rsidRDefault="003F4AEC" w:rsidP="0093389C">
      <w:r w:rsidRPr="00036BDA">
        <w:rPr>
          <w:noProof/>
        </w:rPr>
        <w:drawing>
          <wp:inline distT="0" distB="0" distL="0" distR="0" wp14:anchorId="10CF1D75" wp14:editId="1162C593">
            <wp:extent cx="5796000" cy="8803050"/>
            <wp:effectExtent l="0" t="0" r="0" b="0"/>
            <wp:docPr id="417964766" name="Image 1" descr="Titre : En Route pour Apprendre — Feuille de Route&#10;Contenu du schéma — liste numérotée de toutes les étapes : &#10;Les étapes marquées d'une icône étape-clé sont les numéros : 1, 9, 23, 25, 26, 34, 43.&#10;1. Perçoit des stimuli (étape-clé — point de départ central)&#10;2. Réagit au contact physique étroit avec une personne familière&#10;3. Réagit à un stimulus très saillant&#10;4. Manifeste de la familiarité envers un stimulus présenté récemment&#10;5. Réagit à une voix familière ou à une autre caractéristique de la personne&#10;6. Réagit à une variété de stimuli&#10;7. Prend son tour dans l'interaction avec un adulte&#10;8. Réagit de manière constante à un stimulus (étape-clé)&#10;9. Poursuit brièvement un stimulus en mouvement&#10;10. Réagit à certains stimuli d'une manière qui peut être interprétée comme un refus&#10;11. Réagit de manière différenciée à des stimuli différents&#10;12. Anticipe un stimulus présenté de manière répétée&#10;13. Met fin à l'interaction avec l'adulte (non numéroté visiblement mais présent)&#10;14. Avec un soutien, l'apprenant·e explore l'environnement proche&#10;15. Fait preuve d'anticipation dans des routines sociales familières&#10;16. Redirige son attention vers un deuxième objet&#10;17. Réagit à l'effet d'une action fortuite&#10;18. Recherche brièvement un objet après sa disparition hors de son champ de vision&#10;19. Dans un environnement stimulant, l'apprenant·e répète une action qui lui renvoie un feedback sensoriel&#10;20. Répond d'une manière qui peut être interprétée comme signifiant « encore »&#10;21. Réagit en fonction des conséquences de ses actions (étape-clé)&#10;22. Dans un environnement de la vie quotidienne, l'apprenant·e répète une action qui lui renvoie un feedback sensoriel&#10;23. Modifie son comportement en réponse à un événement intéressant à proximité (étape-clé)&#10;24. Montre qu'iel comprend que son action produit un effet spécifique (étape-clé)&#10;25. Commence à explorer intentionnellement l'environnement proche&#10;26. Communique « je veux encore » / « je ne veux plus » par deux actions différentes et constantes&#10;27. Alterne son regard entre deux objets (sait que ces deux objets sont présents)&#10;28. Dans le contexte d'un jeu social familier, l'apprenant·e persévère en répétant l'action afin d'obtenir une récompense (renforcement positif)&#10;29. Répète une action lorsque la première tentative a échoué&#10;30. Attire l'attention&#10;31. Initie un jeu social&#10;32. Acquiert la permanence de l'objet (étape-clé)&#10;33. Réalise successivement deux différentes actions pour obtenir une récompense&#10;34. Fait un choix entre deux options (objets ou stimuli) ou plus&#10;35. Communique son choix à un·e intervenant·e attentif·ve&#10;36. Modifie son action lorsque la répétition de l'action ne fonctionne pas&#10;37. Attire délibérément l'attention d'une autre personne afin de communiquer un besoin&#10;38. Manifeste une attention conjointe&#10;39. Manifeste sa préférence pour des objets non présents physiquement à l'aide de représentations symboliques&#10;40. Essaie de nouvelles stratégies lorsque les anciennes échouent (résolution de problème précoce)&#10;41. Initie des stratégies pour atteindre des résultats souhaités dans une variété de contextes (exerce son autonomie) (étape-clé — point d'arrivée)&#10;Mentions de parcours intermédiaires : Les mots « Précision » et « Affinage » apparaissent en grand dans la partie inférieure du schéma, indiquant deux orientations de parcours possibles à partir des étapes centrales.&#10;Mentions légales : OGL © Crown copyright 2020 — WG4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64766" name="Image 1" descr="Titre : En Route pour Apprendre — Feuille de Route&#10;Contenu du schéma — liste numérotée de toutes les étapes : &#10;Les étapes marquées d'une icône étape-clé sont les numéros : 1, 9, 23, 25, 26, 34, 43.&#10;1. Perçoit des stimuli (étape-clé — point de départ central)&#10;2. Réagit au contact physique étroit avec une personne familière&#10;3. Réagit à un stimulus très saillant&#10;4. Manifeste de la familiarité envers un stimulus présenté récemment&#10;5. Réagit à une voix familière ou à une autre caractéristique de la personne&#10;6. Réagit à une variété de stimuli&#10;7. Prend son tour dans l'interaction avec un adulte&#10;8. Réagit de manière constante à un stimulus (étape-clé)&#10;9. Poursuit brièvement un stimulus en mouvement&#10;10. Réagit à certains stimuli d'une manière qui peut être interprétée comme un refus&#10;11. Réagit de manière différenciée à des stimuli différents&#10;12. Anticipe un stimulus présenté de manière répétée&#10;13. Met fin à l'interaction avec l'adulte (non numéroté visiblement mais présent)&#10;14. Avec un soutien, l'apprenant·e explore l'environnement proche&#10;15. Fait preuve d'anticipation dans des routines sociales familières&#10;16. Redirige son attention vers un deuxième objet&#10;17. Réagit à l'effet d'une action fortuite&#10;18. Recherche brièvement un objet après sa disparition hors de son champ de vision&#10;19. Dans un environnement stimulant, l'apprenant·e répète une action qui lui renvoie un feedback sensoriel&#10;20. Répond d'une manière qui peut être interprétée comme signifiant « encore »&#10;21. Réagit en fonction des conséquences de ses actions (étape-clé)&#10;22. Dans un environnement de la vie quotidienne, l'apprenant·e répète une action qui lui renvoie un feedback sensoriel&#10;23. Modifie son comportement en réponse à un événement intéressant à proximité (étape-clé)&#10;24. Montre qu'iel comprend que son action produit un effet spécifique (étape-clé)&#10;25. Commence à explorer intentionnellement l'environnement proche&#10;26. Communique « je veux encore » / « je ne veux plus » par deux actions différentes et constantes&#10;27. Alterne son regard entre deux objets (sait que ces deux objets sont présents)&#10;28. Dans le contexte d'un jeu social familier, l'apprenant·e persévère en répétant l'action afin d'obtenir une récompense (renforcement positif)&#10;29. Répète une action lorsque la première tentative a échoué&#10;30. Attire l'attention&#10;31. Initie un jeu social&#10;32. Acquiert la permanence de l'objet (étape-clé)&#10;33. Réalise successivement deux différentes actions pour obtenir une récompense&#10;34. Fait un choix entre deux options (objets ou stimuli) ou plus&#10;35. Communique son choix à un·e intervenant·e attentif·ve&#10;36. Modifie son action lorsque la répétition de l'action ne fonctionne pas&#10;37. Attire délibérément l'attention d'une autre personne afin de communiquer un besoin&#10;38. Manifeste une attention conjointe&#10;39. Manifeste sa préférence pour des objets non présents physiquement à l'aide de représentations symboliques&#10;40. Essaie de nouvelles stratégies lorsque les anciennes échouent (résolution de problème précoce)&#10;41. Initie des stratégies pour atteindre des résultats souhaités dans une variété de contextes (exerce son autonomie) (étape-clé — point d'arrivée)&#10;Mentions de parcours intermédiaires : Les mots « Précision » et « Affinage » apparaissent en grand dans la partie inférieure du schéma, indiquant deux orientations de parcours possibles à partir des étapes centrales.&#10;Mentions légales : OGL © Crown copyright 2020 — WG40023"/>
                    <pic:cNvPicPr/>
                  </pic:nvPicPr>
                  <pic:blipFill rotWithShape="1">
                    <a:blip r:embed="rId14" cstate="print">
                      <a:extLst>
                        <a:ext uri="{28A0092B-C50C-407E-A947-70E740481C1C}">
                          <a14:useLocalDpi xmlns:a14="http://schemas.microsoft.com/office/drawing/2010/main" val="0"/>
                        </a:ext>
                      </a:extLst>
                    </a:blip>
                    <a:srcRect l="4940" t="1746" r="4801" b="1228"/>
                    <a:stretch>
                      <a:fillRect/>
                    </a:stretch>
                  </pic:blipFill>
                  <pic:spPr bwMode="auto">
                    <a:xfrm>
                      <a:off x="0" y="0"/>
                      <a:ext cx="5796000" cy="8803050"/>
                    </a:xfrm>
                    <a:prstGeom prst="rect">
                      <a:avLst/>
                    </a:prstGeom>
                    <a:ln>
                      <a:noFill/>
                    </a:ln>
                    <a:effectLst/>
                    <a:extLst>
                      <a:ext uri="{53640926-AAD7-44D8-BBD7-CCE9431645EC}">
                        <a14:shadowObscured xmlns:a14="http://schemas.microsoft.com/office/drawing/2010/main"/>
                      </a:ext>
                    </a:extLst>
                  </pic:spPr>
                </pic:pic>
              </a:graphicData>
            </a:graphic>
          </wp:inline>
        </w:drawing>
      </w:r>
    </w:p>
    <w:p w14:paraId="3A52449B" w14:textId="4014761D" w:rsidR="00FA7668" w:rsidRPr="00036BDA" w:rsidRDefault="00FA7668" w:rsidP="00E95BF1">
      <w:pPr>
        <w:pStyle w:val="Titre2"/>
        <w:ind w:left="576" w:hanging="576"/>
      </w:pPr>
      <w:bookmarkStart w:id="22" w:name="_Toc228376053"/>
      <w:bookmarkStart w:id="23" w:name="_Toc228376117"/>
      <w:r w:rsidRPr="00036BDA">
        <w:lastRenderedPageBreak/>
        <w:t>Manuel d’évaluation</w:t>
      </w:r>
      <w:bookmarkStart w:id="24" w:name="_Toc228376054"/>
      <w:bookmarkStart w:id="25" w:name="_Toc228376118"/>
      <w:bookmarkStart w:id="26" w:name="_Toc228376055"/>
      <w:bookmarkStart w:id="27" w:name="_Toc228376119"/>
      <w:bookmarkEnd w:id="22"/>
      <w:bookmarkEnd w:id="23"/>
      <w:bookmarkEnd w:id="24"/>
      <w:bookmarkEnd w:id="25"/>
      <w:bookmarkEnd w:id="26"/>
      <w:bookmarkEnd w:id="27"/>
    </w:p>
    <w:p w14:paraId="20FF8DB0" w14:textId="6F1C72EE" w:rsidR="00FA7668" w:rsidRPr="00036BDA" w:rsidRDefault="00FA7668" w:rsidP="00055F68">
      <w:pPr>
        <w:pStyle w:val="Corpsdetexte"/>
        <w:ind w:firstLine="0"/>
      </w:pPr>
      <w:r w:rsidRPr="00036BDA">
        <w:t>Le manuel d’évaluation fournit plus de détails sur les habiletés listées dans la feuille de route</w:t>
      </w:r>
      <w:r w:rsidR="00055F68">
        <w:t xml:space="preserve"> (</w:t>
      </w:r>
      <w:r w:rsidR="00A125B2">
        <w:t>Figure 1)</w:t>
      </w:r>
      <w:r w:rsidRPr="00036BDA">
        <w:t>. Pour chaque bulle de la feuille de route, des activités d’évaluation appropriées sont suggérées, des comportements à observer pendant l’activité sont décrits et des stratégies d’enseignement qui aideront l’APP à progresser si l’habileté n’est pas acquise sont proposées. Des explications sont fournies pour s’assurer que chaque étape peut être clairement distinguée de la précédente. Des exemples narratifs sont également donnés, montrant comment deux APP ont manifesté le comportement décrit dans la bulle de la feuille de route. Ci-dessous, pour exemple, les indications données dans la bulle 36 : « </w:t>
      </w:r>
      <w:r w:rsidR="00D919B4">
        <w:t>L</w:t>
      </w:r>
      <w:r w:rsidRPr="00036BDA">
        <w:t>’apprenant·e fait un choix entre deux options (objets ou stimuli) ou plus ».</w:t>
      </w:r>
    </w:p>
    <w:p w14:paraId="2328C773" w14:textId="75C9EE71" w:rsidR="00625036" w:rsidRPr="00036BDA" w:rsidRDefault="00625036" w:rsidP="00FA58D4">
      <w:pPr>
        <w:pStyle w:val="LegendeAbbildung"/>
      </w:pPr>
      <w:r w:rsidRPr="00036BDA">
        <w:t xml:space="preserve">Figure </w:t>
      </w:r>
      <w:r w:rsidRPr="00036BDA">
        <w:fldChar w:fldCharType="begin"/>
      </w:r>
      <w:r w:rsidRPr="00036BDA">
        <w:instrText xml:space="preserve"> SEQ Figure \* ARABIC </w:instrText>
      </w:r>
      <w:r w:rsidRPr="00036BDA">
        <w:fldChar w:fldCharType="separate"/>
      </w:r>
      <w:r w:rsidRPr="00036BDA">
        <w:t>2</w:t>
      </w:r>
      <w:r w:rsidRPr="00036BDA">
        <w:fldChar w:fldCharType="end"/>
      </w:r>
      <w:r w:rsidR="00294968">
        <w:t> :</w:t>
      </w:r>
      <w:r w:rsidRPr="00036BDA">
        <w:t xml:space="preserve"> Indications dans le manuel pour la bulle 36</w:t>
      </w:r>
    </w:p>
    <w:p w14:paraId="169F1DC8" w14:textId="439EA63A" w:rsidR="00FA7668" w:rsidRPr="00036BDA" w:rsidRDefault="00FA7668" w:rsidP="00E95BF1">
      <w:r w:rsidRPr="00036BDA">
        <w:rPr>
          <w:noProof/>
        </w:rPr>
        <w:drawing>
          <wp:inline distT="0" distB="0" distL="0" distR="0" wp14:anchorId="0C6D80CE" wp14:editId="0E80D11B">
            <wp:extent cx="4165446" cy="4427345"/>
            <wp:effectExtent l="19050" t="19050" r="26035" b="11430"/>
            <wp:docPr id="798439502" name="Image 3" descr="Titre : 36. L'apprenant·e fait un choix entre deux options (objets ou stimuli) ou plus&#10;&#10;Évaluation / propositions d'activités&#10;Présentez deux objets ou stimuli auxquels l'apprenant·e réagira, par exemple des jouets sonores ou de couleur vive, une odeur, le goût d'une boisson, etc. Observez l'apprenant·e pour voir si la réaction à un objet dure plus longtemps, ou s'il y a un changement visible dans le niveau d'activité.&#10;Ce que l'on peut observer&#10;Soyez attentif·ve à tout·e :&#10;augmentation du contact visuel avec un des objets/stimuli&#10;changement plus important dans l'expression faciale en réponse à un son lorsque deux stimuli sonores sont présentés en alternance ; laissez suffisamment de temps pour toute réponse.&#10;augmentation du niveau d'activité (par exemple, des mouvements des bras ou des jambes) pendant la pause qui suit spécifiquement la dégustation d'un des deux aliments.&#10;Stratégies d'enseignement&#10;Proposez deux objets dans des situations variées&#10;Incluez un objet connu pour être préféré par l'apprenant·e&#10;Modifiez la position/l'ordre des objets au cours de plusieurs présentations.&#10;Permettez à l'apprenant·e d'explorer et de faire sa propre sélection (essayez de ne pas l'inciter à choisir).&#10;Exemples&#10;Nous avons installé Gaspard sur un tapis au sol, après avoir placé un jouet de chaque côté du tapis. Il s'est orienté vers le tambourin clignotant, quel que soit le côté où l'objet se trouvait, et a passé du temps à jouer avec celui-ci, même après qu'on ait déplacé celui-ci à plusieurs reprises.&#10;Louise a reçu une assiette contenant des morceaux de banane et des morceaux de pommes de terre cuites. Elle a choisi de manger toute la banane, morceau par morceau, mais n'a pas touché à un seul morceau de pomme de terre.&#10;Distinguer cette étape des autres&#10;Après avoir eu l'occasion de voir/manipuler chacun des objets séparément (surtout si l'apprenant·e présente une déficience visuelle), lorsqu'on les lui présente simultanément, de la même manière (c'est-à-dire à sa portée/ dans son champ visuel), l'apprenant·e en choisit un.&#10;L'attention de l'apprenant·e est ciblée sur l'objet préféré et son geste d'atteinte (le cas échéant) constitue manifestement une tentative de saisir ou de manipuler l'objet lui-même. Ses actions ne semblent pas destinées à communiquer quoi que ce soit à autr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39502" name="Image 3" descr="Titre : 36. L'apprenant·e fait un choix entre deux options (objets ou stimuli) ou plus&#10;&#10;Évaluation / propositions d'activités&#10;Présentez deux objets ou stimuli auxquels l'apprenant·e réagira, par exemple des jouets sonores ou de couleur vive, une odeur, le goût d'une boisson, etc. Observez l'apprenant·e pour voir si la réaction à un objet dure plus longtemps, ou s'il y a un changement visible dans le niveau d'activité.&#10;Ce que l'on peut observer&#10;Soyez attentif·ve à tout·e :&#10;augmentation du contact visuel avec un des objets/stimuli&#10;changement plus important dans l'expression faciale en réponse à un son lorsque deux stimuli sonores sont présentés en alternance ; laissez suffisamment de temps pour toute réponse.&#10;augmentation du niveau d'activité (par exemple, des mouvements des bras ou des jambes) pendant la pause qui suit spécifiquement la dégustation d'un des deux aliments.&#10;Stratégies d'enseignement&#10;Proposez deux objets dans des situations variées&#10;Incluez un objet connu pour être préféré par l'apprenant·e&#10;Modifiez la position/l'ordre des objets au cours de plusieurs présentations.&#10;Permettez à l'apprenant·e d'explorer et de faire sa propre sélection (essayez de ne pas l'inciter à choisir).&#10;Exemples&#10;Nous avons installé Gaspard sur un tapis au sol, après avoir placé un jouet de chaque côté du tapis. Il s'est orienté vers le tambourin clignotant, quel que soit le côté où l'objet se trouvait, et a passé du temps à jouer avec celui-ci, même après qu'on ait déplacé celui-ci à plusieurs reprises.&#10;Louise a reçu une assiette contenant des morceaux de banane et des morceaux de pommes de terre cuites. Elle a choisi de manger toute la banane, morceau par morceau, mais n'a pas touché à un seul morceau de pomme de terre.&#10;Distinguer cette étape des autres&#10;Après avoir eu l'occasion de voir/manipuler chacun des objets séparément (surtout si l'apprenant·e présente une déficience visuelle), lorsqu'on les lui présente simultanément, de la même manière (c'est-à-dire à sa portée/ dans son champ visuel), l'apprenant·e en choisit un.&#10;L'attention de l'apprenant·e est ciblée sur l'objet préféré et son geste d'atteinte (le cas échéant) constitue manifestement une tentative de saisir ou de manipuler l'objet lui-même. Ses actions ne semblent pas destinées à communiquer quoi que ce soit à autrui."/>
                    <pic:cNvPicPr/>
                  </pic:nvPicPr>
                  <pic:blipFill>
                    <a:blip r:embed="rId15">
                      <a:extLst>
                        <a:ext uri="{28A0092B-C50C-407E-A947-70E740481C1C}">
                          <a14:useLocalDpi xmlns:a14="http://schemas.microsoft.com/office/drawing/2010/main" val="0"/>
                        </a:ext>
                      </a:extLst>
                    </a:blip>
                    <a:stretch>
                      <a:fillRect/>
                    </a:stretch>
                  </pic:blipFill>
                  <pic:spPr>
                    <a:xfrm>
                      <a:off x="0" y="0"/>
                      <a:ext cx="4177183" cy="4439820"/>
                    </a:xfrm>
                    <a:prstGeom prst="rect">
                      <a:avLst/>
                    </a:prstGeom>
                    <a:ln w="6350">
                      <a:solidFill>
                        <a:schemeClr val="tx1"/>
                      </a:solidFill>
                    </a:ln>
                  </pic:spPr>
                </pic:pic>
              </a:graphicData>
            </a:graphic>
          </wp:inline>
        </w:drawing>
      </w:r>
    </w:p>
    <w:p w14:paraId="7146341E" w14:textId="105DF4B4" w:rsidR="00FA7668" w:rsidRPr="00036BDA" w:rsidRDefault="00FA7668" w:rsidP="00E95BF1">
      <w:pPr>
        <w:pStyle w:val="Titre2"/>
        <w:ind w:left="576" w:hanging="576"/>
      </w:pPr>
      <w:bookmarkStart w:id="28" w:name="_Toc228376056"/>
      <w:bookmarkStart w:id="29" w:name="_Toc228376120"/>
      <w:r w:rsidRPr="00036BDA">
        <w:t>Guide d’utilisation</w:t>
      </w:r>
      <w:bookmarkStart w:id="30" w:name="_Toc228376057"/>
      <w:bookmarkStart w:id="31" w:name="_Toc228376121"/>
      <w:bookmarkStart w:id="32" w:name="_Toc228376058"/>
      <w:bookmarkStart w:id="33" w:name="_Toc228376122"/>
      <w:bookmarkEnd w:id="28"/>
      <w:bookmarkEnd w:id="29"/>
      <w:bookmarkEnd w:id="30"/>
      <w:bookmarkEnd w:id="31"/>
      <w:bookmarkEnd w:id="32"/>
      <w:bookmarkEnd w:id="33"/>
    </w:p>
    <w:p w14:paraId="2D4A5CC5" w14:textId="3959375D" w:rsidR="00FA7668" w:rsidRPr="00036BDA" w:rsidRDefault="00FA7668" w:rsidP="00B65416">
      <w:pPr>
        <w:pStyle w:val="Corpsdetexte"/>
        <w:ind w:firstLine="0"/>
        <w:rPr>
          <w:rFonts w:eastAsia="Arial"/>
        </w:rPr>
      </w:pPr>
      <w:r w:rsidRPr="00036BDA">
        <w:t xml:space="preserve">Le guide d’utilisation est très complet. Il développe le contexte dans lequel l’outil d’évaluation a été créé et les principes sur lesquels il est fondé. Des conseils sont donnés sur la manière d’utiliser l’outil. Des chapitres du guide sont consacrés aux spécificités de l’évaluation avec ce groupe d’apprenantes et apprenants, aux approches pédagogiques à privilégier, au processus de communication, à l’utilisation </w:t>
      </w:r>
      <w:r w:rsidRPr="00036BDA">
        <w:rPr>
          <w:rFonts w:eastAsia="Arial"/>
          <w:bCs/>
        </w:rPr>
        <w:t>des technologies d’assistance dans l’enseignement et aux défis de l’inclusion</w:t>
      </w:r>
      <w:r w:rsidRPr="00036BDA">
        <w:rPr>
          <w:rFonts w:eastAsia="Arial"/>
          <w:b/>
        </w:rPr>
        <w:t xml:space="preserve">. </w:t>
      </w:r>
    </w:p>
    <w:p w14:paraId="18D5C929" w14:textId="66A9FC6A" w:rsidR="00FA7668" w:rsidRPr="00036BDA" w:rsidRDefault="00FA7668" w:rsidP="00E95BF1">
      <w:pPr>
        <w:pStyle w:val="Titre2"/>
        <w:ind w:left="576" w:hanging="576"/>
      </w:pPr>
      <w:bookmarkStart w:id="34" w:name="_Toc228376059"/>
      <w:bookmarkStart w:id="35" w:name="_Toc228376123"/>
      <w:r w:rsidRPr="00036BDA">
        <w:t>Vidéos</w:t>
      </w:r>
      <w:bookmarkStart w:id="36" w:name="_Toc228376060"/>
      <w:bookmarkStart w:id="37" w:name="_Toc228376124"/>
      <w:bookmarkStart w:id="38" w:name="_Toc228376061"/>
      <w:bookmarkStart w:id="39" w:name="_Toc228376125"/>
      <w:bookmarkEnd w:id="34"/>
      <w:bookmarkEnd w:id="35"/>
      <w:bookmarkEnd w:id="36"/>
      <w:bookmarkEnd w:id="37"/>
      <w:bookmarkEnd w:id="38"/>
      <w:bookmarkEnd w:id="39"/>
    </w:p>
    <w:p w14:paraId="5C92EA55" w14:textId="57BAFF80" w:rsidR="00FA7668" w:rsidRPr="00036BDA" w:rsidRDefault="00FA7668" w:rsidP="008446D5">
      <w:pPr>
        <w:pStyle w:val="Corpsdetexte"/>
        <w:ind w:firstLine="0"/>
      </w:pPr>
      <w:r w:rsidRPr="00036BDA">
        <w:t xml:space="preserve">Des </w:t>
      </w:r>
      <w:hyperlink r:id="rId16" w:anchor="exemplification-videos" w:history="1">
        <w:r w:rsidRPr="00036BDA">
          <w:rPr>
            <w:rStyle w:val="Lienhypertexte"/>
            <w:rFonts w:asciiTheme="majorHAnsi" w:hAnsiTheme="majorHAnsi" w:cstheme="majorHAnsi"/>
          </w:rPr>
          <w:t>vidéos d’APP dont les comportements illustrent chaque habileté de la feuille de route</w:t>
        </w:r>
      </w:hyperlink>
      <w:r w:rsidRPr="00036BDA">
        <w:t xml:space="preserve"> sont disponibles en ligne sur le site du gouvernement du Pays de Galles consacré à leur curriculum. Ces vidéos ont été filmées au Pays de Galle. À terme, le Petit Conservatoire du Polyhandicap souhaiterait récolter des vidéos d’APP recueillies en Suisse romande, en français, et les mettre en ligne.</w:t>
      </w:r>
    </w:p>
    <w:p w14:paraId="0B34A0D0" w14:textId="7838DC23" w:rsidR="00FA7668" w:rsidRPr="00036BDA" w:rsidRDefault="00FA7668" w:rsidP="00E95BF1">
      <w:pPr>
        <w:pStyle w:val="Titre1"/>
      </w:pPr>
      <w:bookmarkStart w:id="40" w:name="_Toc228376062"/>
      <w:bookmarkStart w:id="41" w:name="_Toc228376126"/>
      <w:r w:rsidRPr="00036BDA">
        <w:lastRenderedPageBreak/>
        <w:t>Apports de l’outil</w:t>
      </w:r>
      <w:bookmarkStart w:id="42" w:name="_Toc228376063"/>
      <w:bookmarkStart w:id="43" w:name="_Toc228376127"/>
      <w:bookmarkStart w:id="44" w:name="_Toc228376064"/>
      <w:bookmarkStart w:id="45" w:name="_Toc228376128"/>
      <w:bookmarkEnd w:id="40"/>
      <w:bookmarkEnd w:id="41"/>
      <w:bookmarkEnd w:id="42"/>
      <w:bookmarkEnd w:id="43"/>
      <w:bookmarkEnd w:id="44"/>
      <w:bookmarkEnd w:id="45"/>
    </w:p>
    <w:p w14:paraId="095DCD2C" w14:textId="256A1E3D" w:rsidR="00FA7668" w:rsidRPr="00036BDA" w:rsidRDefault="00FA7668" w:rsidP="008F408C">
      <w:pPr>
        <w:pStyle w:val="Corpsdetexte"/>
      </w:pPr>
      <w:r w:rsidRPr="00036BDA">
        <w:t xml:space="preserve">Les professionnelles </w:t>
      </w:r>
      <w:r w:rsidR="008C43FA" w:rsidRPr="00036BDA">
        <w:t xml:space="preserve">et professionnels ainsi que les </w:t>
      </w:r>
      <w:r w:rsidRPr="00036BDA">
        <w:t>directions des établissements au Royaume-Uni dans lesquels RfL est utilisé ont relevé les bénéfices suivants (McDermott, 2014</w:t>
      </w:r>
      <w:r w:rsidR="006F5ECC">
        <w:t> ;</w:t>
      </w:r>
      <w:r w:rsidRPr="00036BDA">
        <w:t xml:space="preserve"> McDermott &amp; Atkinson, 2016</w:t>
      </w:r>
      <w:r w:rsidR="006F5ECC">
        <w:t> ;</w:t>
      </w:r>
      <w:r w:rsidRPr="00036BDA">
        <w:t xml:space="preserve"> Weston &amp; Ware, 2018) :</w:t>
      </w:r>
    </w:p>
    <w:p w14:paraId="2A8DA033" w14:textId="75603C66" w:rsidR="00FA7668" w:rsidRPr="00036BDA" w:rsidRDefault="00612DB0" w:rsidP="00E65ADD">
      <w:pPr>
        <w:pStyle w:val="Titre3"/>
        <w:spacing w:after="0"/>
      </w:pPr>
      <w:r>
        <w:t>(</w:t>
      </w:r>
      <w:r w:rsidR="00FA7668" w:rsidRPr="00612DB0">
        <w:t xml:space="preserve">a) </w:t>
      </w:r>
      <w:r w:rsidR="00FA7668" w:rsidRPr="00DE0952">
        <w:t>pour les praticiennes et praticiens et les parents, l’outil</w:t>
      </w:r>
    </w:p>
    <w:p w14:paraId="16478FFC" w14:textId="7381DBDB" w:rsidR="00FA7668" w:rsidRPr="00036BDA" w:rsidRDefault="00FA7668" w:rsidP="00AA765C">
      <w:pPr>
        <w:pStyle w:val="Liste"/>
        <w:spacing w:after="60"/>
        <w:contextualSpacing w:val="0"/>
        <w:jc w:val="both"/>
      </w:pPr>
      <w:r w:rsidRPr="00036BDA">
        <w:t>soutient et stimule l'observation détaillée des apprenant</w:t>
      </w:r>
      <w:r w:rsidR="008C43FA" w:rsidRPr="00036BDA">
        <w:t>es et apprenants</w:t>
      </w:r>
      <w:r w:rsidRPr="00036BDA">
        <w:t xml:space="preserve">, en donnant des pistes sur ce qu'il faut observer à la fois dans le cadre des routines quotidiennes et des activités d'évaluation structurées ; </w:t>
      </w:r>
    </w:p>
    <w:p w14:paraId="526B66A6" w14:textId="7D6FF830" w:rsidR="00FA7668" w:rsidRPr="00036BDA" w:rsidRDefault="00FA7668" w:rsidP="00AA765C">
      <w:pPr>
        <w:pStyle w:val="Liste"/>
        <w:spacing w:after="60"/>
        <w:contextualSpacing w:val="0"/>
        <w:jc w:val="both"/>
      </w:pPr>
      <w:r w:rsidRPr="00036BDA">
        <w:t>soutient la recherche de preuves de la progression de l'apprenante</w:t>
      </w:r>
      <w:r w:rsidR="008C43FA" w:rsidRPr="00036BDA">
        <w:t xml:space="preserve"> ou de l’apprenant</w:t>
      </w:r>
      <w:r w:rsidRPr="00036BDA">
        <w:t> ;</w:t>
      </w:r>
    </w:p>
    <w:p w14:paraId="7D4DDFAB" w14:textId="688A40E4" w:rsidR="00FA7668" w:rsidRPr="00036BDA" w:rsidRDefault="00FA7668" w:rsidP="00AA765C">
      <w:pPr>
        <w:pStyle w:val="Liste"/>
        <w:spacing w:after="60"/>
        <w:contextualSpacing w:val="0"/>
        <w:jc w:val="both"/>
      </w:pPr>
      <w:r w:rsidRPr="00036BDA">
        <w:t>permet d’identifier les prochaines étapes et les priorités des futurs apprentissages ;</w:t>
      </w:r>
    </w:p>
    <w:p w14:paraId="2F8A9C82" w14:textId="736EC5EA" w:rsidR="00FA7668" w:rsidRPr="00036BDA" w:rsidRDefault="00FA7668" w:rsidP="00AA765C">
      <w:pPr>
        <w:pStyle w:val="Liste"/>
        <w:spacing w:after="60"/>
        <w:contextualSpacing w:val="0"/>
        <w:jc w:val="both"/>
      </w:pPr>
      <w:r w:rsidRPr="00036BDA">
        <w:t xml:space="preserve">fournit une image globale de l'apprenante </w:t>
      </w:r>
      <w:r w:rsidR="008C43FA" w:rsidRPr="00036BDA">
        <w:t xml:space="preserve">ou de l’apprenant </w:t>
      </w:r>
      <w:r w:rsidRPr="00036BDA">
        <w:t>et de son processus d'apprentissage ;</w:t>
      </w:r>
    </w:p>
    <w:p w14:paraId="6E94C0A3" w14:textId="04C9ED5F" w:rsidR="00FA7668" w:rsidRPr="00036BDA" w:rsidRDefault="00FA7668" w:rsidP="00AA765C">
      <w:pPr>
        <w:pStyle w:val="Liste"/>
        <w:jc w:val="both"/>
      </w:pPr>
      <w:r w:rsidRPr="00036BDA">
        <w:t xml:space="preserve">propose un cadre de référence commun au fil du temps, qui peut réunir </w:t>
      </w:r>
      <w:r w:rsidR="005D1E1A">
        <w:t>des</w:t>
      </w:r>
      <w:r w:rsidRPr="00036BDA">
        <w:t xml:space="preserve"> intervenantes et intervenants provenant de contextes disciplinaires différents</w:t>
      </w:r>
      <w:r w:rsidR="00CD04DD">
        <w:t>. P</w:t>
      </w:r>
      <w:r w:rsidRPr="00036BDA">
        <w:t xml:space="preserve">ar conséquent, </w:t>
      </w:r>
      <w:r w:rsidR="005D1E1A">
        <w:t xml:space="preserve">il y a </w:t>
      </w:r>
      <w:r w:rsidRPr="00036BDA">
        <w:t>plus de cohérence dans la prise en charge.</w:t>
      </w:r>
    </w:p>
    <w:p w14:paraId="68C3C1C4" w14:textId="5CF108D7" w:rsidR="00FA7668" w:rsidRPr="00F25F2B" w:rsidRDefault="00612DB0" w:rsidP="00E65ADD">
      <w:pPr>
        <w:pStyle w:val="Titre3"/>
        <w:spacing w:after="0"/>
      </w:pPr>
      <w:r w:rsidRPr="00612DB0">
        <w:t>(</w:t>
      </w:r>
      <w:r w:rsidR="00FA7668" w:rsidRPr="00612DB0">
        <w:t xml:space="preserve">b) </w:t>
      </w:r>
      <w:r w:rsidR="00FA7668" w:rsidRPr="00F25F2B">
        <w:t>pour les APP, l’outi</w:t>
      </w:r>
      <w:r w:rsidR="00AA765C" w:rsidRPr="00F25F2B">
        <w:t>l</w:t>
      </w:r>
    </w:p>
    <w:p w14:paraId="38ED7BE2" w14:textId="7215D9CC" w:rsidR="00FA7668" w:rsidRPr="00036BDA" w:rsidRDefault="00FA7668" w:rsidP="00AA765C">
      <w:pPr>
        <w:pStyle w:val="Liste"/>
        <w:contextualSpacing w:val="0"/>
        <w:jc w:val="both"/>
      </w:pPr>
      <w:r w:rsidRPr="00036BDA">
        <w:t>met en évidence et permet le suivi de leurs progrès ;</w:t>
      </w:r>
    </w:p>
    <w:p w14:paraId="725E3D0A" w14:textId="3414C57F" w:rsidR="00FA7668" w:rsidRPr="00036BDA" w:rsidRDefault="00FA7668" w:rsidP="00AA765C">
      <w:pPr>
        <w:pStyle w:val="Liste"/>
        <w:contextualSpacing w:val="0"/>
        <w:jc w:val="both"/>
      </w:pPr>
      <w:r w:rsidRPr="00036BDA">
        <w:t xml:space="preserve">séquence leurs apprentissages en petites étapes réalisables ; </w:t>
      </w:r>
    </w:p>
    <w:p w14:paraId="5BAF1B22" w14:textId="27B2F1BE" w:rsidR="00FA7668" w:rsidRPr="00036BDA" w:rsidRDefault="00FA7668" w:rsidP="00AA765C">
      <w:pPr>
        <w:pStyle w:val="Liste"/>
        <w:jc w:val="both"/>
      </w:pPr>
      <w:r w:rsidRPr="00036BDA">
        <w:t>leur permet de suivre leur propre parcours, de manière flexible.</w:t>
      </w:r>
    </w:p>
    <w:p w14:paraId="67B0D32C" w14:textId="3EC35519" w:rsidR="00FA7668" w:rsidRPr="00036BDA" w:rsidRDefault="00FA7668" w:rsidP="00E95BF1">
      <w:pPr>
        <w:pStyle w:val="Titre1"/>
      </w:pPr>
      <w:bookmarkStart w:id="46" w:name="_Toc228376065"/>
      <w:bookmarkStart w:id="47" w:name="_Toc228376129"/>
      <w:r w:rsidRPr="00036BDA">
        <w:t>Implémentation de l’outil dans les pratiques professionnelles</w:t>
      </w:r>
      <w:bookmarkStart w:id="48" w:name="_Toc228376066"/>
      <w:bookmarkStart w:id="49" w:name="_Toc228376130"/>
      <w:bookmarkStart w:id="50" w:name="_Toc228376067"/>
      <w:bookmarkStart w:id="51" w:name="_Toc228376131"/>
      <w:bookmarkEnd w:id="46"/>
      <w:bookmarkEnd w:id="47"/>
      <w:bookmarkEnd w:id="48"/>
      <w:bookmarkEnd w:id="49"/>
      <w:bookmarkEnd w:id="50"/>
      <w:bookmarkEnd w:id="51"/>
    </w:p>
    <w:p w14:paraId="05A22770" w14:textId="25A553D6" w:rsidR="00FA7668" w:rsidRPr="00036BDA" w:rsidRDefault="00CC386F" w:rsidP="00FA58D4">
      <w:pPr>
        <w:pStyle w:val="Corpsdetexte"/>
      </w:pPr>
      <w:r w:rsidRPr="00037AE3">
        <w:rPr>
          <w:noProof/>
        </w:rPr>
        <mc:AlternateContent>
          <mc:Choice Requires="wps">
            <w:drawing>
              <wp:anchor distT="45720" distB="45720" distL="46990" distR="46990" simplePos="0" relativeHeight="251658242" behindDoc="0" locked="0" layoutInCell="1" allowOverlap="0" wp14:anchorId="46469451" wp14:editId="1728A7BB">
                <wp:simplePos x="0" y="0"/>
                <wp:positionH relativeFrom="column">
                  <wp:posOffset>-900430</wp:posOffset>
                </wp:positionH>
                <wp:positionV relativeFrom="paragraph">
                  <wp:posOffset>2213122</wp:posOffset>
                </wp:positionV>
                <wp:extent cx="5759450" cy="720000"/>
                <wp:effectExtent l="0" t="0" r="0" b="4445"/>
                <wp:wrapTopAndBottom/>
                <wp:docPr id="164150136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720000"/>
                        </a:xfrm>
                        <a:prstGeom prst="rect">
                          <a:avLst/>
                        </a:prstGeom>
                        <a:noFill/>
                        <a:ln w="9525">
                          <a:noFill/>
                          <a:miter lim="800000"/>
                          <a:headEnd/>
                          <a:tailEnd/>
                        </a:ln>
                      </wps:spPr>
                      <wps:txbx>
                        <w:txbxContent>
                          <w:p w14:paraId="5F427DEE" w14:textId="64A591F5" w:rsidR="00CC386F" w:rsidRPr="0047168D" w:rsidRDefault="004133F9" w:rsidP="004930BB">
                            <w:pPr>
                              <w:pStyle w:val="Hervorhebung1"/>
                              <w:suppressAutoHyphens/>
                              <w:jc w:val="both"/>
                            </w:pPr>
                            <w:r w:rsidRPr="00036BDA">
                              <w:t xml:space="preserve">Le Petit Conservatoire du Polyhandicap propose une première formation à l’évaluation à </w:t>
                            </w:r>
                            <w:r w:rsidRPr="00880C39">
                              <w:t>l’aide d’En Route pour Apprendre</w:t>
                            </w:r>
                            <w:r w:rsidRPr="00A939EC">
                              <w:rPr>
                                <w:i w:val="0"/>
                                <w:iCs/>
                              </w:rPr>
                              <w:t xml:space="preserve"> </w:t>
                            </w:r>
                            <w:r w:rsidRPr="00036BDA">
                              <w:t xml:space="preserve">en septembre et novembre 2026, dans le cadre d’un cycle </w:t>
                            </w:r>
                            <w:r w:rsidRPr="00FA58D4">
                              <w:t>de</w:t>
                            </w:r>
                            <w:r w:rsidRPr="00036BDA">
                              <w:t xml:space="preserve"> formation à l’utilisation d’outils d’évaluation standardisés</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69451" id="_x0000_s1028" type="#_x0000_t202" alt="&quot;&quot;" style="position:absolute;left:0;text-align:left;margin-left:-70.9pt;margin-top:174.25pt;width:453.5pt;height:56.7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UB/QEAANYDAAAOAAAAZHJzL2Uyb0RvYy54bWysU9tu2zAMfR+wfxD0vtgJ4rUxohRduw4D&#10;ugvQ7QNkWY6FSaImKbGzrx8lu2mwvQ17EUhRPOQ5pLY3o9HkKH1QYBldLkpKpBXQKrtn9Pu3hzfX&#10;lITIbcs1WMnoSQZ6s3v9aju4Wq6gB91KTxDEhnpwjPYxurooguil4WEBTloMduANj+j6fdF6PiC6&#10;0cWqLN8WA/jWeRAyBLy9n4J0l/G7Tor4peuCjEQzir3FfPp8Nuksdlte7z13vRJzG/wfujBcWSx6&#10;hrrnkZODV39BGSU8BOjiQoApoOuUkJkDslmWf7B56rmTmQuKE9xZpvD/YMXn45P76kkc38GIA8wk&#10;gnsE8SMQC3c9t3t56z0MveQtFl4myYrBhXpOTVKHOiSQZvgELQ6ZHyJkoLHzJqmCPAmi4wBOZ9Hl&#10;GInAy+qq2qwrDAmMXeFMyzyVgtfP2c6H+EGCIclg1ONQMzo/PoaYuuH185NUzMKD0joPVlsyMLqp&#10;VlVOuIgYFXHvtDKMXqeS8yYkku9tm5MjV3qysYC2M+tEdKIcx2YkqmV0lSRJIjTQnlAGD9Oa4bdA&#10;owf/i5IBV4zR8PPAvaREf7RJynK9TpVJzO66QvaU+Oxsck+kuYxwKxCM0UjJZN7FvMkT6VsUvVNZ&#10;j5de5qZxebJM86Kn7bz086uX77j7DQAA//8DAFBLAwQUAAYACAAAACEAw4S+VOAAAAAMAQAADwAA&#10;AGRycy9kb3ducmV2LnhtbEyPwU7DMBBE70j8g7VI3FonJQ1tGqdCoEi9kiJx3cYmiWqvI9tJw99j&#10;TnAczWjmTXlcjGazcn6wJCBdJ8AUtVYO1An4ONerHTAfkCRqS0rAt/JwrO7vSiykvdG7mpvQsVhC&#10;vkABfQhjwblve2XQr+2oKHpf1hkMUbqOS4e3WG403yRJzg0OFBd6HNVrr9prMxkBbqwn4z73ST03&#10;uGj3dkq6+STE48PycgAW1BL+wvCLH9GhikwXO5H0TAtYpVka2YOAp2y3BRYjz/l2A+wiIMvTPfCq&#10;5P9PVD8AAAD//wMAUEsBAi0AFAAGAAgAAAAhALaDOJL+AAAA4QEAABMAAAAAAAAAAAAAAAAAAAAA&#10;AFtDb250ZW50X1R5cGVzXS54bWxQSwECLQAUAAYACAAAACEAOP0h/9YAAACUAQAACwAAAAAAAAAA&#10;AAAAAAAvAQAAX3JlbHMvLnJlbHNQSwECLQAUAAYACAAAACEAMbnFAf0BAADWAwAADgAAAAAAAAAA&#10;AAAAAAAuAgAAZHJzL2Uyb0RvYy54bWxQSwECLQAUAAYACAAAACEAw4S+VOAAAAAMAQAADwAAAAAA&#10;AAAAAAAAAABXBAAAZHJzL2Rvd25yZXYueG1sUEsFBgAAAAAEAAQA8wAAAGQFAAAAAA==&#10;" o:allowoverlap="f" filled="f" stroked="f">
                <v:textbox inset="29mm,,2.5mm">
                  <w:txbxContent>
                    <w:p w14:paraId="5F427DEE" w14:textId="64A591F5" w:rsidR="00CC386F" w:rsidRPr="0047168D" w:rsidRDefault="004133F9" w:rsidP="004930BB">
                      <w:pPr>
                        <w:pStyle w:val="Hervorhebung1"/>
                        <w:suppressAutoHyphens/>
                        <w:jc w:val="both"/>
                      </w:pPr>
                      <w:r w:rsidRPr="00036BDA">
                        <w:t xml:space="preserve">Le Petit Conservatoire du Polyhandicap propose une première formation à l’évaluation à </w:t>
                      </w:r>
                      <w:r w:rsidRPr="00880C39">
                        <w:t>l’aide d’En Route pour Apprendre</w:t>
                      </w:r>
                      <w:r w:rsidRPr="00A939EC">
                        <w:rPr>
                          <w:i w:val="0"/>
                          <w:iCs/>
                        </w:rPr>
                        <w:t xml:space="preserve"> </w:t>
                      </w:r>
                      <w:r w:rsidRPr="00036BDA">
                        <w:t xml:space="preserve">en septembre et novembre 2026, dans le cadre d’un cycle </w:t>
                      </w:r>
                      <w:r w:rsidRPr="00FA58D4">
                        <w:t>de</w:t>
                      </w:r>
                      <w:r w:rsidRPr="00036BDA">
                        <w:t xml:space="preserve"> formation à l’utilisation d’outils d’évaluation standardisés</w:t>
                      </w:r>
                      <w:r>
                        <w:t>.</w:t>
                      </w:r>
                    </w:p>
                  </w:txbxContent>
                </v:textbox>
                <w10:wrap type="topAndBottom"/>
              </v:shape>
            </w:pict>
          </mc:Fallback>
        </mc:AlternateContent>
      </w:r>
      <w:r w:rsidR="00FA7668" w:rsidRPr="00036BDA">
        <w:rPr>
          <w:i/>
          <w:iCs/>
        </w:rPr>
        <w:t>En Route pour Apprendre</w:t>
      </w:r>
      <w:r w:rsidR="00FA7668" w:rsidRPr="00036BDA">
        <w:t xml:space="preserve"> est disponible en ligne, en libre accès, sur </w:t>
      </w:r>
      <w:hyperlink r:id="rId17" w:history="1">
        <w:r w:rsidR="00FA7668" w:rsidRPr="001F1D5F">
          <w:rPr>
            <w:rStyle w:val="Lienhypertexte"/>
            <w:rFonts w:asciiTheme="majorHAnsi" w:hAnsiTheme="majorHAnsi" w:cstheme="majorHAnsi"/>
          </w:rPr>
          <w:t>le site du Petit Conservatoire du Polyhandicap</w:t>
        </w:r>
      </w:hyperlink>
      <w:r w:rsidR="00FA7668" w:rsidRPr="001F1D5F">
        <w:rPr>
          <w:rFonts w:asciiTheme="majorHAnsi" w:hAnsiTheme="majorHAnsi" w:cstheme="majorHAnsi"/>
          <w:bCs/>
          <w:iCs/>
        </w:rPr>
        <w:t xml:space="preserve"> (</w:t>
      </w:r>
      <w:hyperlink r:id="rId18" w:history="1">
        <w:r w:rsidR="00A141C9" w:rsidRPr="00821AC5">
          <w:rPr>
            <w:rStyle w:val="Lienhypertexte"/>
            <w:rFonts w:asciiTheme="majorHAnsi" w:hAnsiTheme="majorHAnsi" w:cstheme="majorHAnsi"/>
          </w:rPr>
          <w:t>www.polyhandicap.ch</w:t>
        </w:r>
      </w:hyperlink>
      <w:r w:rsidR="00FA7668" w:rsidRPr="001F1D5F">
        <w:rPr>
          <w:rFonts w:asciiTheme="majorHAnsi" w:hAnsiTheme="majorHAnsi" w:cstheme="majorHAnsi"/>
          <w:bCs/>
          <w:iCs/>
        </w:rPr>
        <w:t>)</w:t>
      </w:r>
      <w:r w:rsidR="00FA7668" w:rsidRPr="00036BDA">
        <w:t xml:space="preserve">. Il peut être utilisé par tout un chacun, conformément à l’intention des créatrices et créateurs de RfL. Toutefois, une formation à son utilisation est fortement recommandée par ces </w:t>
      </w:r>
      <w:r w:rsidR="0037194B">
        <w:t xml:space="preserve">dernières et </w:t>
      </w:r>
      <w:r w:rsidR="00FA7668" w:rsidRPr="00036BDA">
        <w:t>derniers. Le Petit Conservatoire du Polyhandicap propose une première formation à l’évaluation à l’aide d’</w:t>
      </w:r>
      <w:r w:rsidR="00FA7668" w:rsidRPr="009701A9">
        <w:rPr>
          <w:i/>
          <w:iCs/>
        </w:rPr>
        <w:t xml:space="preserve">En Route pour Apprendre </w:t>
      </w:r>
      <w:r w:rsidR="00FA7668" w:rsidRPr="00036BDA">
        <w:t xml:space="preserve">en septembre et novembre 2026, dans le cadre d’un cycle </w:t>
      </w:r>
      <w:r w:rsidR="00FA7668" w:rsidRPr="00FA58D4">
        <w:t>de</w:t>
      </w:r>
      <w:r w:rsidR="00FA7668" w:rsidRPr="00036BDA">
        <w:t xml:space="preserve"> formation à l’utilisation d’outils d’évaluation standardisés. Afin de favoriser l’appropriation de l’outil par les participantes et participants, la formation aura lieu sur deux journées espacées de deux mois, </w:t>
      </w:r>
      <w:r w:rsidR="008C45B1">
        <w:t>pour</w:t>
      </w:r>
      <w:r w:rsidR="00FA7668" w:rsidRPr="00036BDA">
        <w:t xml:space="preserve"> leur permettre de s’entrainer à l’utilisation de l’outil, en se filmant. La </w:t>
      </w:r>
      <w:r w:rsidR="00131216">
        <w:t xml:space="preserve">deuxième </w:t>
      </w:r>
      <w:r w:rsidR="00FA7668" w:rsidRPr="00036BDA">
        <w:t>journée sera consacrée aux échanges à partir des expériences et vidéos de leur choix,</w:t>
      </w:r>
      <w:r w:rsidR="00951CB3">
        <w:t xml:space="preserve"> ainsi qu’</w:t>
      </w:r>
      <w:r w:rsidR="00FA7668" w:rsidRPr="00036BDA">
        <w:t xml:space="preserve">à des retours </w:t>
      </w:r>
      <w:r w:rsidR="002D5C6F">
        <w:t xml:space="preserve">donnés </w:t>
      </w:r>
      <w:r w:rsidR="00FA7668" w:rsidRPr="00036BDA">
        <w:t xml:space="preserve">par la formatrice. Des accompagnements à plus long terme sous forme d’intervisions seront possibles, à la demande. </w:t>
      </w:r>
      <w:r w:rsidR="00F76625">
        <w:t>En outre, l</w:t>
      </w:r>
      <w:r w:rsidR="00FA7668" w:rsidRPr="00036BDA">
        <w:t xml:space="preserve">e Petit Conservatoire du Polyhandicap préconise que tous les membres des équipes d’un établissement souhaitant utiliser </w:t>
      </w:r>
      <w:r w:rsidR="00FA7668" w:rsidRPr="00036BDA">
        <w:rPr>
          <w:i/>
          <w:iCs/>
        </w:rPr>
        <w:t>En Route pour</w:t>
      </w:r>
      <w:r w:rsidR="00FA7668" w:rsidRPr="00036BDA">
        <w:t xml:space="preserve"> </w:t>
      </w:r>
      <w:r w:rsidR="00FA7668" w:rsidRPr="00036BDA">
        <w:rPr>
          <w:i/>
          <w:iCs/>
        </w:rPr>
        <w:t>Apprendre</w:t>
      </w:r>
      <w:r w:rsidR="00FA7668" w:rsidRPr="00036BDA">
        <w:t xml:space="preserve"> bénéficient d’une sensibilisation à l’outil. </w:t>
      </w:r>
    </w:p>
    <w:p w14:paraId="4C2879E8" w14:textId="5F75184C" w:rsidR="00FA7668" w:rsidRDefault="00FA7668" w:rsidP="00CC386F">
      <w:pPr>
        <w:pStyle w:val="Corpsdetexte"/>
        <w:ind w:firstLine="0"/>
      </w:pPr>
      <w:r w:rsidRPr="00036BDA">
        <w:t>L’équipe de RfL est très intéressée par l’implémentation de leur outil en Suisse romande. Elle souhaite, à terme, que les données recueillies par les praticiennes et praticiens à l’aide d’</w:t>
      </w:r>
      <w:r w:rsidRPr="00036BDA">
        <w:rPr>
          <w:i/>
          <w:iCs/>
        </w:rPr>
        <w:t>En Route pour</w:t>
      </w:r>
      <w:r w:rsidRPr="00036BDA">
        <w:t xml:space="preserve"> </w:t>
      </w:r>
      <w:r w:rsidRPr="00036BDA">
        <w:rPr>
          <w:i/>
          <w:iCs/>
        </w:rPr>
        <w:t>Apprendre</w:t>
      </w:r>
      <w:r w:rsidRPr="00036BDA">
        <w:t xml:space="preserve"> lui permettent d’obtenir de plus grands échantillons pour mesurer l’efficacité de l’outil – un défi dans la recherche sur le polyhandicap </w:t>
      </w:r>
      <w:r w:rsidRPr="00A939EC">
        <w:t>(Maes et al., 2020).</w:t>
      </w:r>
      <w:r w:rsidRPr="00036BDA">
        <w:t xml:space="preserve"> Quant au Petit Conservatoire du Polyhandicap, </w:t>
      </w:r>
      <w:r w:rsidR="00D65510">
        <w:t>son équipe</w:t>
      </w:r>
      <w:r w:rsidR="001A3C87">
        <w:t xml:space="preserve"> </w:t>
      </w:r>
      <w:r w:rsidRPr="00036BDA">
        <w:t>form</w:t>
      </w:r>
      <w:r w:rsidR="001A3C87">
        <w:t>ent</w:t>
      </w:r>
      <w:r w:rsidRPr="00036BDA">
        <w:t xml:space="preserve"> </w:t>
      </w:r>
      <w:r w:rsidR="00D8479E">
        <w:t>d</w:t>
      </w:r>
      <w:r w:rsidR="001A3C87">
        <w:t>es</w:t>
      </w:r>
      <w:r w:rsidRPr="00036BDA">
        <w:t xml:space="preserve"> vœux </w:t>
      </w:r>
      <w:r w:rsidR="00D8479E">
        <w:t xml:space="preserve">pour </w:t>
      </w:r>
      <w:r w:rsidRPr="00036BDA">
        <w:t>qu’</w:t>
      </w:r>
      <w:r w:rsidRPr="00036BDA">
        <w:rPr>
          <w:i/>
          <w:iCs/>
        </w:rPr>
        <w:t>En Route pour</w:t>
      </w:r>
      <w:r w:rsidRPr="00036BDA">
        <w:t xml:space="preserve"> </w:t>
      </w:r>
      <w:r w:rsidRPr="00036BDA">
        <w:rPr>
          <w:i/>
          <w:iCs/>
        </w:rPr>
        <w:t xml:space="preserve">Apprendre </w:t>
      </w:r>
      <w:r w:rsidRPr="00036BDA">
        <w:t>puisse faire son chemin dans d’autres pays francophones.</w:t>
      </w:r>
    </w:p>
    <w:bookmarkStart w:id="52" w:name="_Toc228376068"/>
    <w:bookmarkStart w:id="53" w:name="_Toc228376132"/>
    <w:p w14:paraId="3AD0E6BC" w14:textId="49892C27" w:rsidR="005A7B0F" w:rsidRDefault="000D4D04" w:rsidP="009D4F45">
      <w:pPr>
        <w:pStyle w:val="Fragen"/>
        <w:ind w:firstLine="0"/>
        <w:jc w:val="left"/>
        <w:rPr>
          <w:lang w:eastAsia="fr-FR"/>
        </w:rPr>
      </w:pPr>
      <w:r>
        <w:rPr>
          <w:bCs/>
          <w:iCs/>
          <w:lang w:eastAsia="fr-FR"/>
        </w:rPr>
        <w:fldChar w:fldCharType="begin"/>
      </w:r>
      <w:r>
        <w:rPr>
          <w:bCs/>
          <w:iCs/>
          <w:lang w:eastAsia="fr-FR"/>
        </w:rPr>
        <w:instrText>HYPERLINK "https://link.szh-csps.ch/en-route-pour-apprendre"</w:instrText>
      </w:r>
      <w:r>
        <w:rPr>
          <w:bCs/>
          <w:iCs/>
          <w:lang w:eastAsia="fr-FR"/>
        </w:rPr>
      </w:r>
      <w:r>
        <w:rPr>
          <w:bCs/>
          <w:iCs/>
          <w:lang w:eastAsia="fr-FR"/>
        </w:rPr>
        <w:fldChar w:fldCharType="separate"/>
      </w:r>
      <w:r w:rsidR="005A7B0F" w:rsidRPr="000D4D04">
        <w:rPr>
          <w:rStyle w:val="Lienhypertexte"/>
          <w:lang w:eastAsia="fr-FR"/>
        </w:rPr>
        <w:t xml:space="preserve">En Route pour Apprendre sera disponible </w:t>
      </w:r>
      <w:r w:rsidR="00B54EC1" w:rsidRPr="000D4D04">
        <w:rPr>
          <w:rStyle w:val="Lienhypertexte"/>
          <w:lang w:eastAsia="fr-FR"/>
        </w:rPr>
        <w:t xml:space="preserve">prochainement sur le site internet </w:t>
      </w:r>
      <w:r w:rsidR="00B54EC1" w:rsidRPr="000D4D04">
        <w:rPr>
          <w:rStyle w:val="Lienhypertexte"/>
          <w:lang w:eastAsia="fr-FR"/>
        </w:rPr>
        <w:br/>
        <w:t>du Petit Conservatoire du Polyhandicap</w:t>
      </w:r>
      <w:r w:rsidRPr="000D4D04">
        <w:rPr>
          <w:rStyle w:val="Lienhypertexte"/>
          <w:lang w:eastAsia="fr-FR"/>
        </w:rPr>
        <w:t xml:space="preserve"> (cliquez ici)</w:t>
      </w:r>
      <w:r>
        <w:rPr>
          <w:bCs/>
          <w:iCs/>
          <w:lang w:eastAsia="fr-FR"/>
        </w:rPr>
        <w:fldChar w:fldCharType="end"/>
      </w:r>
      <w:r>
        <w:rPr>
          <w:bCs/>
          <w:iCs/>
          <w:lang w:eastAsia="fr-FR"/>
        </w:rPr>
        <w:t xml:space="preserve">. </w:t>
      </w:r>
    </w:p>
    <w:p w14:paraId="68B0A17B" w14:textId="2A31F334" w:rsidR="00A16C09" w:rsidRDefault="00B262E2">
      <w:pPr>
        <w:spacing w:after="200" w:line="240" w:lineRule="auto"/>
        <w:rPr>
          <w:rFonts w:eastAsiaTheme="majorEastAsia" w:cs="Open Sans SemiCondensed"/>
          <w:b/>
          <w:bCs/>
          <w:color w:val="000000" w:themeColor="text1"/>
          <w:sz w:val="24"/>
          <w:szCs w:val="32"/>
        </w:rPr>
      </w:pPr>
      <w:r>
        <w:rPr>
          <w:noProof/>
        </w:rPr>
        <w:drawing>
          <wp:anchor distT="0" distB="0" distL="114300" distR="114300" simplePos="0" relativeHeight="251659266" behindDoc="0" locked="0" layoutInCell="1" allowOverlap="1" wp14:anchorId="658CABB8" wp14:editId="15E5B984">
            <wp:simplePos x="0" y="0"/>
            <wp:positionH relativeFrom="column">
              <wp:posOffset>5034703</wp:posOffset>
            </wp:positionH>
            <wp:positionV relativeFrom="paragraph">
              <wp:posOffset>-514773</wp:posOffset>
            </wp:positionV>
            <wp:extent cx="676910" cy="676910"/>
            <wp:effectExtent l="0" t="0" r="8890" b="8890"/>
            <wp:wrapNone/>
            <wp:docPr id="54877838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78385" name="Image 5">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910" cy="676910"/>
                    </a:xfrm>
                    <a:prstGeom prst="rect">
                      <a:avLst/>
                    </a:prstGeom>
                    <a:noFill/>
                    <a:ln>
                      <a:noFill/>
                    </a:ln>
                  </pic:spPr>
                </pic:pic>
              </a:graphicData>
            </a:graphic>
          </wp:anchor>
        </w:drawing>
      </w:r>
      <w:r w:rsidR="00A16C09">
        <w:br w:type="page"/>
      </w:r>
    </w:p>
    <w:p w14:paraId="50A1B944" w14:textId="5DB7A137" w:rsidR="00FA7668" w:rsidRPr="00036BDA" w:rsidRDefault="00FA7668" w:rsidP="00E95BF1">
      <w:pPr>
        <w:pStyle w:val="Titre1"/>
      </w:pPr>
      <w:r w:rsidRPr="00036BDA">
        <w:lastRenderedPageBreak/>
        <w:t>Autrice</w:t>
      </w:r>
      <w:bookmarkEnd w:id="52"/>
      <w:bookmarkEnd w:id="53"/>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957CAD" w:rsidRPr="00036BDA" w14:paraId="009A7C1F" w14:textId="77777777" w:rsidTr="00957CAD">
        <w:tc>
          <w:tcPr>
            <w:tcW w:w="5000" w:type="pct"/>
            <w:vAlign w:val="center"/>
          </w:tcPr>
          <w:p w14:paraId="7AE9B419" w14:textId="77777777" w:rsidR="00957CAD" w:rsidRPr="00036BDA" w:rsidRDefault="00957CAD" w:rsidP="00FA58D4">
            <w:pPr>
              <w:pStyle w:val="Corpsdetexte3"/>
            </w:pPr>
            <w:r w:rsidRPr="00036BDA">
              <w:rPr>
                <w:noProof/>
              </w:rPr>
              <w:drawing>
                <wp:inline distT="0" distB="0" distL="0" distR="0" wp14:anchorId="59427F13" wp14:editId="290ACD5A">
                  <wp:extent cx="8839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Lst>
                          </a:blip>
                          <a:srcRect l="14706"/>
                          <a:stretch/>
                        </pic:blipFill>
                        <pic:spPr bwMode="auto">
                          <a:xfrm>
                            <a:off x="0" y="0"/>
                            <a:ext cx="883920" cy="1036320"/>
                          </a:xfrm>
                          <a:prstGeom prst="rect">
                            <a:avLst/>
                          </a:prstGeom>
                          <a:ln>
                            <a:noFill/>
                          </a:ln>
                          <a:extLst>
                            <a:ext uri="{53640926-AAD7-44D8-BBD7-CCE9431645EC}">
                              <a14:shadowObscured xmlns:a14="http://schemas.microsoft.com/office/drawing/2010/main"/>
                            </a:ext>
                          </a:extLst>
                        </pic:spPr>
                      </pic:pic>
                    </a:graphicData>
                  </a:graphic>
                </wp:inline>
              </w:drawing>
            </w:r>
          </w:p>
        </w:tc>
      </w:tr>
      <w:tr w:rsidR="00957CAD" w:rsidRPr="00036BDA" w14:paraId="40355674" w14:textId="77777777" w:rsidTr="00957CAD">
        <w:trPr>
          <w:trHeight w:val="960"/>
        </w:trPr>
        <w:tc>
          <w:tcPr>
            <w:tcW w:w="5000" w:type="pct"/>
          </w:tcPr>
          <w:p w14:paraId="742F0315" w14:textId="2B208974" w:rsidR="00957CAD" w:rsidRPr="00036BDA" w:rsidRDefault="00957CAD" w:rsidP="00FA58D4">
            <w:pPr>
              <w:pStyle w:val="Corpsdetexte3"/>
            </w:pPr>
            <w:r w:rsidRPr="00036BDA">
              <w:t xml:space="preserve">Juliane Dind, </w:t>
            </w:r>
            <w:r w:rsidRPr="00036BDA">
              <w:br/>
              <w:t>Lectrice à l’Université de Fribourg</w:t>
            </w:r>
            <w:r w:rsidRPr="00036BDA">
              <w:br/>
              <w:t xml:space="preserve">Directrice du Petit Conservatoire </w:t>
            </w:r>
            <w:r w:rsidR="00044A73">
              <w:br/>
            </w:r>
            <w:r w:rsidRPr="00036BDA">
              <w:t>du Polyhandicap</w:t>
            </w:r>
            <w:r w:rsidRPr="00036BDA">
              <w:br/>
            </w:r>
            <w:hyperlink r:id="rId21" w:history="1">
              <w:r w:rsidRPr="00036BDA">
                <w:rPr>
                  <w:rStyle w:val="Lienhypertexte"/>
                  <w:rFonts w:asciiTheme="majorHAnsi" w:hAnsiTheme="majorHAnsi" w:cstheme="majorHAnsi"/>
                </w:rPr>
                <w:t>juliane.dind@unifr.ch</w:t>
              </w:r>
            </w:hyperlink>
          </w:p>
        </w:tc>
      </w:tr>
    </w:tbl>
    <w:p w14:paraId="72C6A742" w14:textId="05A58639" w:rsidR="00FA7668" w:rsidRPr="00036BDA" w:rsidRDefault="00FA7668" w:rsidP="00E95BF1">
      <w:pPr>
        <w:pStyle w:val="Titre1"/>
      </w:pPr>
      <w:bookmarkStart w:id="54" w:name="_Toc228376069"/>
      <w:bookmarkStart w:id="55" w:name="_Toc228376133"/>
      <w:r w:rsidRPr="00036BDA">
        <w:t>Références</w:t>
      </w:r>
      <w:bookmarkEnd w:id="54"/>
      <w:bookmarkEnd w:id="55"/>
    </w:p>
    <w:p w14:paraId="355AF061" w14:textId="299A3E85" w:rsidR="00FA7668" w:rsidRPr="00832B27" w:rsidRDefault="00FA7668" w:rsidP="002A0854">
      <w:pPr>
        <w:pStyle w:val="Bibliographie"/>
        <w:rPr>
          <w:lang w:val="en-GB"/>
        </w:rPr>
      </w:pPr>
      <w:r w:rsidRPr="00036BDA">
        <w:t xml:space="preserve">Caron, J. (1999). </w:t>
      </w:r>
      <w:r w:rsidRPr="00036BDA">
        <w:rPr>
          <w:i/>
        </w:rPr>
        <w:t>Un guide de validation transculturelle des instruments de mesure en santé mentale.</w:t>
      </w:r>
      <w:r w:rsidRPr="00036BDA">
        <w:t xml:space="preserve"> </w:t>
      </w:r>
      <w:r w:rsidRPr="00832B27">
        <w:rPr>
          <w:lang w:val="en-GB"/>
        </w:rPr>
        <w:t xml:space="preserve">Université McGill. </w:t>
      </w:r>
      <w:hyperlink r:id="rId22" w:history="1">
        <w:r w:rsidRPr="00832B27">
          <w:rPr>
            <w:rStyle w:val="Lienhypertexte"/>
            <w:lang w:val="en-GB"/>
          </w:rPr>
          <w:t>http://doi.org/10.13140/RG.2.1.2157.7041</w:t>
        </w:r>
      </w:hyperlink>
      <w:r w:rsidRPr="00832B27">
        <w:rPr>
          <w:lang w:val="en-GB"/>
        </w:rPr>
        <w:t xml:space="preserve"> </w:t>
      </w:r>
    </w:p>
    <w:p w14:paraId="7CC47FE4" w14:textId="77777777" w:rsidR="00FA7668" w:rsidRPr="00832B27" w:rsidRDefault="00FA7668" w:rsidP="002A0854">
      <w:pPr>
        <w:pStyle w:val="Bibliographie"/>
        <w:rPr>
          <w:lang w:val="en-GB"/>
        </w:rPr>
      </w:pPr>
      <w:r w:rsidRPr="00832B27">
        <w:rPr>
          <w:lang w:val="en-GB"/>
        </w:rPr>
        <w:t>Imray, P., &amp; Hinchcliffe, V. (2014). Curricula for Teaching Children and Young People with Severe or Profound and Multiple Learning Difficulties. Routledge.</w:t>
      </w:r>
    </w:p>
    <w:p w14:paraId="196B590C" w14:textId="1D5D4ADC" w:rsidR="00FA7668" w:rsidRPr="00036BDA" w:rsidRDefault="00FA7668" w:rsidP="002A0854">
      <w:pPr>
        <w:pStyle w:val="Bibliographie"/>
      </w:pPr>
      <w:r w:rsidRPr="00832B27">
        <w:rPr>
          <w:lang w:val="en-GB"/>
        </w:rPr>
        <w:t xml:space="preserve">Lacey, P., Ashdown, R., Jones, P., Lawson, H., &amp; Pipe, M. (2015). </w:t>
      </w:r>
      <w:r w:rsidRPr="00832B27">
        <w:rPr>
          <w:i/>
          <w:lang w:val="en-GB"/>
        </w:rPr>
        <w:t>The Routledge Companion to Severe, Profound and Multiple Learning Difficulties</w:t>
      </w:r>
      <w:r w:rsidRPr="00832B27">
        <w:rPr>
          <w:lang w:val="en-GB"/>
        </w:rPr>
        <w:t xml:space="preserve">. </w:t>
      </w:r>
      <w:r w:rsidRPr="00036BDA">
        <w:t>Routledge.</w:t>
      </w:r>
    </w:p>
    <w:p w14:paraId="4643E7B8" w14:textId="07E93977" w:rsidR="00FA7668" w:rsidRPr="00036BDA" w:rsidRDefault="00FA7668" w:rsidP="002A0854">
      <w:pPr>
        <w:pStyle w:val="Bibliographie"/>
      </w:pPr>
      <w:r w:rsidRPr="00036BDA">
        <w:t xml:space="preserve">Lamoureux-Hébert, M. (2006). </w:t>
      </w:r>
      <w:r w:rsidRPr="00036BDA">
        <w:rPr>
          <w:i/>
        </w:rPr>
        <w:t>Les besoins de soutien des personnes présentant un retard mental manifestant des comportements problématiques</w:t>
      </w:r>
      <w:r w:rsidRPr="00036BDA">
        <w:t xml:space="preserve">. [Thèse de doctorat, Université du Québec]. </w:t>
      </w:r>
      <w:hyperlink r:id="rId23" w:history="1">
        <w:r w:rsidRPr="00036BDA">
          <w:rPr>
            <w:rStyle w:val="Lienhypertexte"/>
          </w:rPr>
          <w:t>https://archipel.uqam.ca/secure/id/eprint/1964</w:t>
        </w:r>
      </w:hyperlink>
      <w:r w:rsidRPr="00036BDA">
        <w:t xml:space="preserve"> </w:t>
      </w:r>
    </w:p>
    <w:p w14:paraId="361D46D3" w14:textId="4D5DE981" w:rsidR="00FA7668" w:rsidRPr="00832B27" w:rsidRDefault="00FA7668" w:rsidP="002A0854">
      <w:pPr>
        <w:pStyle w:val="Bibliographie"/>
        <w:rPr>
          <w:lang w:val="en-GB"/>
        </w:rPr>
      </w:pPr>
      <w:r w:rsidRPr="00832B27">
        <w:rPr>
          <w:lang w:val="de-DE"/>
        </w:rPr>
        <w:t xml:space="preserve">Maes, B., Nijs, S., Vandesande, S., Van keer, I., Arthur-Kelly, M., Dind, J., Goldbart, J., Petitpierre, G., &amp; Van der Putten, A. (2020). </w:t>
      </w:r>
      <w:r w:rsidRPr="00832B27">
        <w:rPr>
          <w:lang w:val="en-GB"/>
        </w:rPr>
        <w:t xml:space="preserve">Looking back, looking forward: Methodological challenges and future directions in research on persons with profound intellectual and multiple disabilities. </w:t>
      </w:r>
      <w:r w:rsidRPr="00832B27">
        <w:rPr>
          <w:i/>
          <w:lang w:val="en-GB"/>
        </w:rPr>
        <w:t>Journal of Applied Research in Intellectual Disabilities</w:t>
      </w:r>
      <w:r w:rsidRPr="00832B27">
        <w:rPr>
          <w:lang w:val="en-GB"/>
        </w:rPr>
        <w:t xml:space="preserve">, </w:t>
      </w:r>
      <w:r w:rsidRPr="00832B27">
        <w:rPr>
          <w:i/>
          <w:lang w:val="en-GB"/>
        </w:rPr>
        <w:t>24</w:t>
      </w:r>
      <w:r w:rsidRPr="00832B27">
        <w:rPr>
          <w:lang w:val="en-GB"/>
        </w:rPr>
        <w:t>(1), 250</w:t>
      </w:r>
      <w:r w:rsidR="009944D4">
        <w:rPr>
          <w:lang w:val="en-GB"/>
        </w:rPr>
        <w:t>-</w:t>
      </w:r>
      <w:r w:rsidRPr="00832B27">
        <w:rPr>
          <w:lang w:val="en-GB"/>
        </w:rPr>
        <w:t xml:space="preserve">262. </w:t>
      </w:r>
      <w:hyperlink r:id="rId24" w:history="1">
        <w:r w:rsidRPr="00832B27">
          <w:rPr>
            <w:rStyle w:val="Lienhypertexte"/>
            <w:lang w:val="en-GB"/>
          </w:rPr>
          <w:t>https://doi.org/10.1111/jar.12803</w:t>
        </w:r>
      </w:hyperlink>
      <w:r w:rsidRPr="00832B27">
        <w:rPr>
          <w:lang w:val="en-GB"/>
        </w:rPr>
        <w:t xml:space="preserve"> </w:t>
      </w:r>
    </w:p>
    <w:p w14:paraId="1C32E359" w14:textId="6206A148" w:rsidR="00FA7668" w:rsidRPr="00832B27" w:rsidRDefault="00FA7668" w:rsidP="002A0854">
      <w:pPr>
        <w:pStyle w:val="Bibliographie"/>
        <w:rPr>
          <w:lang w:val="en-GB"/>
        </w:rPr>
      </w:pPr>
      <w:r w:rsidRPr="00036BDA">
        <w:t>Massoubre, C., Lang, F., Jaeger, B., Jullien, M., &amp; Pellet, J. (2002). La traduction des questionnaires et des tests</w:t>
      </w:r>
      <w:r w:rsidR="006941D5">
        <w:t> :</w:t>
      </w:r>
      <w:r w:rsidRPr="00036BDA">
        <w:t xml:space="preserve"> Techniques et problèmes. </w:t>
      </w:r>
      <w:r w:rsidRPr="0025533E">
        <w:rPr>
          <w:i/>
          <w:lang w:val="en-GB"/>
        </w:rPr>
        <w:t>The Canadian Journal of Psychiatry</w:t>
      </w:r>
      <w:r w:rsidRPr="0025533E">
        <w:rPr>
          <w:lang w:val="en-GB"/>
        </w:rPr>
        <w:t xml:space="preserve">, </w:t>
      </w:r>
      <w:r w:rsidRPr="0025533E">
        <w:rPr>
          <w:i/>
          <w:lang w:val="en-GB"/>
        </w:rPr>
        <w:t>47</w:t>
      </w:r>
      <w:r w:rsidRPr="0025533E">
        <w:rPr>
          <w:lang w:val="en-GB"/>
        </w:rPr>
        <w:t>(1), 61</w:t>
      </w:r>
      <w:r w:rsidR="006941D5" w:rsidRPr="0025533E">
        <w:rPr>
          <w:lang w:val="en-GB"/>
        </w:rPr>
        <w:t>-</w:t>
      </w:r>
      <w:r w:rsidRPr="0025533E">
        <w:rPr>
          <w:lang w:val="en-GB"/>
        </w:rPr>
        <w:t xml:space="preserve">67. </w:t>
      </w:r>
      <w:hyperlink r:id="rId25" w:history="1">
        <w:r w:rsidRPr="00832B27">
          <w:rPr>
            <w:rStyle w:val="Lienhypertexte"/>
            <w:lang w:val="en-GB"/>
          </w:rPr>
          <w:t>https://doi.org/10.1177/070674370204700110</w:t>
        </w:r>
      </w:hyperlink>
      <w:r w:rsidRPr="00832B27">
        <w:rPr>
          <w:lang w:val="en-GB"/>
        </w:rPr>
        <w:t xml:space="preserve"> </w:t>
      </w:r>
    </w:p>
    <w:p w14:paraId="674886E0" w14:textId="2A60EC6A" w:rsidR="00FA7668" w:rsidRPr="00832B27" w:rsidRDefault="00FA7668" w:rsidP="002A0854">
      <w:pPr>
        <w:pStyle w:val="Bibliographie"/>
        <w:rPr>
          <w:lang w:val="en-GB"/>
        </w:rPr>
      </w:pPr>
      <w:r w:rsidRPr="00832B27">
        <w:rPr>
          <w:lang w:val="en-GB"/>
        </w:rPr>
        <w:t xml:space="preserve">McDermott, H. (2014). </w:t>
      </w:r>
      <w:r w:rsidRPr="00FA6BE2">
        <w:rPr>
          <w:i/>
          <w:iCs/>
          <w:lang w:val="en-GB"/>
        </w:rPr>
        <w:t>An exploratory multiple case study investigating how the Routes for Learning assessment approach has been implemented by professionals working with children and young people with profound and multiple learning difficulties</w:t>
      </w:r>
      <w:r w:rsidRPr="00832B27">
        <w:rPr>
          <w:lang w:val="en-GB"/>
        </w:rPr>
        <w:t>. University of Manchester.</w:t>
      </w:r>
      <w:r w:rsidR="00176D30">
        <w:rPr>
          <w:rFonts w:ascii="Courier New" w:eastAsia="Times New Roman" w:hAnsi="Courier New" w:cs="Courier New"/>
          <w:color w:val="2E414F"/>
          <w:sz w:val="21"/>
          <w:szCs w:val="21"/>
          <w:shd w:val="clear" w:color="auto" w:fill="FFFFFF"/>
          <w:lang w:val="en-GB"/>
        </w:rPr>
        <w:t xml:space="preserve"> </w:t>
      </w:r>
      <w:hyperlink r:id="rId26" w:history="1">
        <w:r w:rsidR="00FA6BE2" w:rsidRPr="002836DB">
          <w:rPr>
            <w:rStyle w:val="Lienhypertexte"/>
            <w:lang w:val="en-GB"/>
          </w:rPr>
          <w:t>https://api.semanticscholar.org/CorpusID:141626706</w:t>
        </w:r>
      </w:hyperlink>
      <w:r w:rsidRPr="00832B27">
        <w:rPr>
          <w:lang w:val="en-GB"/>
        </w:rPr>
        <w:t xml:space="preserve"> </w:t>
      </w:r>
    </w:p>
    <w:p w14:paraId="646B2C65" w14:textId="106A00A7" w:rsidR="00FA7668" w:rsidRPr="00A939EC" w:rsidRDefault="00FA7668" w:rsidP="00C52A94">
      <w:pPr>
        <w:pStyle w:val="Bibliographie"/>
        <w:jc w:val="both"/>
        <w:rPr>
          <w:lang w:val="en-GB"/>
        </w:rPr>
      </w:pPr>
      <w:r w:rsidRPr="00832B27">
        <w:rPr>
          <w:lang w:val="en-GB"/>
        </w:rPr>
        <w:t xml:space="preserve">McDermott, H., &amp; Atkinson, C. (2016). Routes for Learning: professionals’ implementation of the approach in supporting children with profound and multiple learning difficulties. </w:t>
      </w:r>
      <w:r w:rsidRPr="00A939EC">
        <w:rPr>
          <w:i/>
          <w:lang w:val="en-GB"/>
        </w:rPr>
        <w:t>The SLD Experience</w:t>
      </w:r>
      <w:r w:rsidRPr="00A939EC">
        <w:rPr>
          <w:lang w:val="en-GB"/>
        </w:rPr>
        <w:t xml:space="preserve">, </w:t>
      </w:r>
      <w:r w:rsidR="006B2109" w:rsidRPr="00A939EC">
        <w:rPr>
          <w:i/>
          <w:iCs/>
          <w:lang w:val="en-GB"/>
        </w:rPr>
        <w:t>75</w:t>
      </w:r>
      <w:r w:rsidR="006B2109" w:rsidRPr="00A939EC">
        <w:rPr>
          <w:lang w:val="en-GB"/>
        </w:rPr>
        <w:t>(1),</w:t>
      </w:r>
      <w:r w:rsidRPr="00A939EC">
        <w:rPr>
          <w:lang w:val="en-GB"/>
        </w:rPr>
        <w:t>10</w:t>
      </w:r>
      <w:r w:rsidR="00236CA2" w:rsidRPr="00A939EC">
        <w:rPr>
          <w:lang w:val="en-GB"/>
        </w:rPr>
        <w:t>-</w:t>
      </w:r>
      <w:r w:rsidRPr="00A939EC">
        <w:rPr>
          <w:lang w:val="en-GB"/>
        </w:rPr>
        <w:t>17.</w:t>
      </w:r>
      <w:r w:rsidR="002968C9" w:rsidRPr="00A939EC">
        <w:rPr>
          <w:lang w:val="en-GB"/>
        </w:rPr>
        <w:t xml:space="preserve"> </w:t>
      </w:r>
      <w:hyperlink r:id="rId27" w:history="1">
        <w:r w:rsidR="00C52A94" w:rsidRPr="00A939EC">
          <w:rPr>
            <w:rStyle w:val="Lienhypertexte"/>
            <w:lang w:val="en-GB"/>
          </w:rPr>
          <w:t>https://research.manchester.ac.uk/en/publications/routes-for-learning-professionals-implementation-of-the-approach</w:t>
        </w:r>
        <w:r w:rsidR="00C52A94" w:rsidRPr="00821AC5">
          <w:rPr>
            <w:rStyle w:val="Lienhypertexte"/>
            <w:lang w:val="en-GB"/>
          </w:rPr>
          <w:t>-</w:t>
        </w:r>
        <w:r w:rsidR="00C52A94" w:rsidRPr="00A939EC">
          <w:rPr>
            <w:rStyle w:val="Lienhypertexte"/>
            <w:lang w:val="en-GB"/>
          </w:rPr>
          <w:t>/</w:t>
        </w:r>
      </w:hyperlink>
      <w:r w:rsidR="00C52A94">
        <w:rPr>
          <w:lang w:val="en-GB"/>
        </w:rPr>
        <w:t xml:space="preserve"> </w:t>
      </w:r>
    </w:p>
    <w:p w14:paraId="2919EA8F" w14:textId="2D5C4363" w:rsidR="00FA7668" w:rsidRPr="00832B27" w:rsidRDefault="00FA7668" w:rsidP="002A0854">
      <w:pPr>
        <w:pStyle w:val="Bibliographie"/>
        <w:rPr>
          <w:lang w:val="en-GB"/>
        </w:rPr>
      </w:pPr>
      <w:r w:rsidRPr="00036BDA">
        <w:t xml:space="preserve">Petitpierre, G., &amp; Rolfo, A. (2019). Chapitre 4. Les interventions éducatives dans le champ du polyhandicap. In P. Brun &amp; D. Mellier (Eds), </w:t>
      </w:r>
      <w:r w:rsidRPr="00036BDA">
        <w:rPr>
          <w:i/>
        </w:rPr>
        <w:t xml:space="preserve">12 interventions en psychologie du développement </w:t>
      </w:r>
      <w:r w:rsidRPr="00036BDA">
        <w:t>(pp. 79</w:t>
      </w:r>
      <w:r w:rsidR="008F4B28">
        <w:t>-</w:t>
      </w:r>
      <w:r w:rsidRPr="00036BDA">
        <w:t xml:space="preserve">98). </w:t>
      </w:r>
      <w:r w:rsidRPr="00832B27">
        <w:rPr>
          <w:lang w:val="en-GB"/>
        </w:rPr>
        <w:t xml:space="preserve">Dunod. </w:t>
      </w:r>
      <w:r w:rsidRPr="00832B27">
        <w:rPr>
          <w:lang w:val="en-GB"/>
        </w:rPr>
        <w:br/>
      </w:r>
      <w:r w:rsidRPr="00832B27">
        <w:rPr>
          <w:rStyle w:val="Lienhypertexte"/>
          <w:bCs w:val="0"/>
          <w:lang w:val="en-GB"/>
        </w:rPr>
        <w:t>https://doi.org/10.3917/dunod.brun.2019.03.0079</w:t>
      </w:r>
    </w:p>
    <w:p w14:paraId="68FBD811" w14:textId="2CA7235B" w:rsidR="00FA7668" w:rsidRPr="00036BDA" w:rsidRDefault="00FA7668" w:rsidP="002A0854">
      <w:pPr>
        <w:pStyle w:val="Bibliographie"/>
      </w:pPr>
      <w:r w:rsidRPr="00832B27">
        <w:rPr>
          <w:lang w:val="en-GB"/>
        </w:rPr>
        <w:t xml:space="preserve">Survey Research Center. (2016). </w:t>
      </w:r>
      <w:r w:rsidRPr="00832B27">
        <w:rPr>
          <w:i/>
          <w:lang w:val="en-GB"/>
        </w:rPr>
        <w:t>Guidelines for Best Practice in Cross-Cultural Surveys</w:t>
      </w:r>
      <w:r w:rsidRPr="00832B27">
        <w:rPr>
          <w:lang w:val="en-GB"/>
        </w:rPr>
        <w:t xml:space="preserve">. Survey Research Center, Institute for Social Research, University of Michigan. </w:t>
      </w:r>
      <w:hyperlink r:id="rId28" w:history="1">
        <w:r w:rsidRPr="00036BDA">
          <w:rPr>
            <w:rStyle w:val="Lienhypertexte"/>
          </w:rPr>
          <w:t>http://ccsg.isr.umich.edu/</w:t>
        </w:r>
      </w:hyperlink>
      <w:r w:rsidRPr="00036BDA">
        <w:t xml:space="preserve"> </w:t>
      </w:r>
    </w:p>
    <w:p w14:paraId="209CE5A9" w14:textId="3B4E012B" w:rsidR="00FA7668" w:rsidRPr="00832B27" w:rsidRDefault="00FA7668" w:rsidP="002A0854">
      <w:pPr>
        <w:pStyle w:val="Bibliographie"/>
        <w:rPr>
          <w:lang w:val="en-GB"/>
        </w:rPr>
      </w:pPr>
      <w:r w:rsidRPr="00036BDA">
        <w:t xml:space="preserve">Tassé, M. J., &amp; Craig, E. M. (1999). </w:t>
      </w:r>
      <w:r w:rsidRPr="00832B27">
        <w:rPr>
          <w:lang w:val="en-GB"/>
        </w:rPr>
        <w:t xml:space="preserve">Critical issues in cross-cultural assessment of Adaptive behavior. In R. L. Schalock &amp; D. L. Braddock (Eds), </w:t>
      </w:r>
      <w:r w:rsidRPr="00832B27">
        <w:rPr>
          <w:i/>
          <w:lang w:val="en-GB"/>
        </w:rPr>
        <w:t xml:space="preserve">Adaptive Behavior and Its Measurement: Implications for the Field of Mental Retardation </w:t>
      </w:r>
      <w:r w:rsidRPr="00832B27">
        <w:rPr>
          <w:lang w:val="en-GB"/>
        </w:rPr>
        <w:t>(pp. 161</w:t>
      </w:r>
      <w:r w:rsidR="007252D9">
        <w:rPr>
          <w:lang w:val="en-GB"/>
        </w:rPr>
        <w:t>-</w:t>
      </w:r>
      <w:r w:rsidRPr="00832B27">
        <w:rPr>
          <w:lang w:val="en-GB"/>
        </w:rPr>
        <w:t>163). American Association of Mental Retardation.</w:t>
      </w:r>
    </w:p>
    <w:p w14:paraId="3E2343EF" w14:textId="0B1D2358" w:rsidR="00FA7668" w:rsidRPr="00832B27" w:rsidRDefault="00FA7668" w:rsidP="002A0854">
      <w:pPr>
        <w:pStyle w:val="Bibliographie"/>
        <w:rPr>
          <w:lang w:val="en-GB"/>
        </w:rPr>
      </w:pPr>
      <w:r w:rsidRPr="00832B27">
        <w:rPr>
          <w:lang w:val="en-GB"/>
        </w:rPr>
        <w:lastRenderedPageBreak/>
        <w:t xml:space="preserve">Vlaskamp, C. (2005). Assessing people with profound intellectual and multiple disabilities. In J. Hogg &amp; A. Langa (Eds), </w:t>
      </w:r>
      <w:r w:rsidRPr="00832B27">
        <w:rPr>
          <w:i/>
          <w:lang w:val="en-GB"/>
        </w:rPr>
        <w:t>Assessing Adults with Intellectual Disabilities</w:t>
      </w:r>
      <w:r w:rsidRPr="00832B27">
        <w:rPr>
          <w:lang w:val="en-GB"/>
        </w:rPr>
        <w:t xml:space="preserve"> (pp. 152</w:t>
      </w:r>
      <w:r w:rsidR="004C3C2F">
        <w:rPr>
          <w:lang w:val="en-GB"/>
        </w:rPr>
        <w:t>-</w:t>
      </w:r>
      <w:r w:rsidRPr="00832B27">
        <w:rPr>
          <w:lang w:val="en-GB"/>
        </w:rPr>
        <w:t>163). BPS Blackwell.</w:t>
      </w:r>
    </w:p>
    <w:p w14:paraId="69F202DC" w14:textId="2951DB41" w:rsidR="00FA7668" w:rsidRPr="00A939EC" w:rsidRDefault="00FA7668" w:rsidP="002A0854">
      <w:pPr>
        <w:pStyle w:val="Bibliographie"/>
        <w:rPr>
          <w:lang w:val="en-GB"/>
        </w:rPr>
      </w:pPr>
      <w:r w:rsidRPr="00832B27">
        <w:rPr>
          <w:lang w:val="en-GB"/>
        </w:rPr>
        <w:t xml:space="preserve">Weston, H., &amp; Ware, J. (2018). The use of the ‘Routes for Learning’ assessment for learners with profound and multiple learning difficulties (PMLD) in England and Wales. </w:t>
      </w:r>
      <w:r w:rsidRPr="00A939EC">
        <w:rPr>
          <w:i/>
          <w:lang w:val="en-GB"/>
        </w:rPr>
        <w:t>The SLD Experience</w:t>
      </w:r>
      <w:r w:rsidRPr="00A939EC">
        <w:rPr>
          <w:lang w:val="en-GB"/>
        </w:rPr>
        <w:t xml:space="preserve">, </w:t>
      </w:r>
      <w:r w:rsidR="00953B05" w:rsidRPr="00A939EC">
        <w:rPr>
          <w:i/>
          <w:iCs/>
          <w:lang w:val="en-GB"/>
        </w:rPr>
        <w:t>79</w:t>
      </w:r>
      <w:r w:rsidR="00953B05" w:rsidRPr="00A939EC">
        <w:rPr>
          <w:lang w:val="en-GB"/>
        </w:rPr>
        <w:t xml:space="preserve">(1), </w:t>
      </w:r>
      <w:r w:rsidRPr="00A939EC">
        <w:rPr>
          <w:lang w:val="en-GB"/>
        </w:rPr>
        <w:t>15</w:t>
      </w:r>
      <w:r w:rsidR="004C3C2F" w:rsidRPr="00A939EC">
        <w:rPr>
          <w:lang w:val="en-GB"/>
        </w:rPr>
        <w:t>-</w:t>
      </w:r>
      <w:r w:rsidRPr="00A939EC">
        <w:rPr>
          <w:lang w:val="en-GB"/>
        </w:rPr>
        <w:t>23.</w:t>
      </w:r>
      <w:r w:rsidR="00B863B0" w:rsidRPr="00A939EC">
        <w:rPr>
          <w:lang w:val="en-GB"/>
        </w:rPr>
        <w:t xml:space="preserve"> </w:t>
      </w:r>
      <w:hyperlink r:id="rId29" w:history="1">
        <w:r w:rsidR="00B863B0" w:rsidRPr="00A939EC">
          <w:rPr>
            <w:rStyle w:val="Lienhypertexte"/>
            <w:lang w:val="en-GB"/>
          </w:rPr>
          <w:t>https://www.ingentaconnect.com/contentone/bild/sld/2018/00000079/00000001/art00004</w:t>
        </w:r>
      </w:hyperlink>
      <w:r w:rsidR="00B863B0">
        <w:rPr>
          <w:lang w:val="en-GB"/>
        </w:rPr>
        <w:t xml:space="preserve"> </w:t>
      </w:r>
    </w:p>
    <w:p w14:paraId="7D9085E3" w14:textId="77777777" w:rsidR="00FA7668" w:rsidRPr="00A939EC" w:rsidRDefault="00FA7668" w:rsidP="002A0854">
      <w:pPr>
        <w:pStyle w:val="Bibliographie"/>
        <w:rPr>
          <w:lang w:val="en-GB"/>
        </w:rPr>
      </w:pPr>
      <w:r w:rsidRPr="00A939EC">
        <w:rPr>
          <w:lang w:val="en-GB"/>
        </w:rPr>
        <w:t xml:space="preserve"> </w:t>
      </w:r>
    </w:p>
    <w:p w14:paraId="2F9661E1" w14:textId="6BB2F897" w:rsidR="00FA7668" w:rsidRPr="00A939EC" w:rsidRDefault="00FA7668" w:rsidP="00E95BF1">
      <w:pPr>
        <w:rPr>
          <w:lang w:val="en-GB"/>
        </w:rPr>
      </w:pPr>
    </w:p>
    <w:sectPr w:rsidR="00FA7668" w:rsidRPr="00A939EC" w:rsidSect="00EF77FC">
      <w:headerReference w:type="default" r:id="rId30"/>
      <w:footerReference w:type="default" r:id="rId31"/>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7BF47" w14:textId="77777777" w:rsidR="006654AC" w:rsidRDefault="006654AC">
      <w:pPr>
        <w:spacing w:line="240" w:lineRule="auto"/>
      </w:pPr>
      <w:r>
        <w:separator/>
      </w:r>
    </w:p>
  </w:endnote>
  <w:endnote w:type="continuationSeparator" w:id="0">
    <w:p w14:paraId="1C71DE08" w14:textId="77777777" w:rsidR="006654AC" w:rsidRDefault="006654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7302B72-044B-47F1-9623-14CB2E929113}"/>
    <w:embedBold r:id="rId2" w:fontKey="{A301CB31-806F-4488-9D00-7EA79017E6BD}"/>
    <w:embedItalic r:id="rId3" w:fontKey="{51234CB9-9C13-4C20-B990-800A5B1D5252}"/>
    <w:embedBoldItalic r:id="rId4" w:fontKey="{DBADD9EE-876E-493D-BD81-7DD12A10173B}"/>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ue Haas Grotesk Display Pro">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5FAF" w14:textId="2D65D57C" w:rsidR="002B22C8" w:rsidRPr="002B22C8" w:rsidRDefault="002B22C8">
    <w:pPr>
      <w:pStyle w:val="Pieddepage"/>
      <w:rPr>
        <w:szCs w:val="22"/>
      </w:rPr>
    </w:pPr>
    <w:r>
      <w:rPr>
        <w:noProof/>
      </w:rPr>
      <w:drawing>
        <wp:anchor distT="0" distB="0" distL="114300" distR="114300" simplePos="0" relativeHeight="251658241" behindDoc="1" locked="0" layoutInCell="1" allowOverlap="1" wp14:anchorId="34A50182" wp14:editId="3937B55D">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7B448B">
      <w:rPr>
        <w:szCs w:val="22"/>
      </w:rPr>
      <w:fldChar w:fldCharType="begin"/>
    </w:r>
    <w:r w:rsidRPr="007B448B">
      <w:rPr>
        <w:szCs w:val="22"/>
      </w:rPr>
      <w:instrText>PAGE  \* Arabic  \* MERGEFORMAT</w:instrText>
    </w:r>
    <w:r w:rsidRPr="007B448B">
      <w:rPr>
        <w:szCs w:val="22"/>
      </w:rPr>
      <w:fldChar w:fldCharType="separate"/>
    </w:r>
    <w:r>
      <w:rPr>
        <w:szCs w:val="22"/>
      </w:rPr>
      <w:t>1</w:t>
    </w:r>
    <w:r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C2E55" w14:textId="77777777" w:rsidR="006654AC" w:rsidRPr="00777A2F" w:rsidRDefault="006654A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55E322E" w14:textId="77777777" w:rsidR="006654AC" w:rsidRDefault="006654AC">
      <w:r>
        <w:continuationSeparator/>
      </w:r>
    </w:p>
  </w:footnote>
  <w:footnote w:type="continuationNotice" w:id="1">
    <w:p w14:paraId="0B002D56" w14:textId="77777777" w:rsidR="006654AC" w:rsidRDefault="006654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3E50" w14:textId="77777777" w:rsidR="007E13A9" w:rsidRPr="007B448B" w:rsidRDefault="007E13A9" w:rsidP="007E13A9">
    <w:pPr>
      <w:pStyle w:val="Themenschwerpunkt"/>
      <w:rPr>
        <w:lang w:val="fr-CH"/>
      </w:rPr>
    </w:pPr>
    <w:r>
      <mc:AlternateContent>
        <mc:Choice Requires="wps">
          <w:drawing>
            <wp:anchor distT="0" distB="0" distL="114299" distR="114299" simplePos="0" relativeHeight="251658240" behindDoc="0" locked="0" layoutInCell="1" allowOverlap="1" wp14:anchorId="2DB7D019" wp14:editId="7FB719A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3B676F3">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ACB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Pr>
        <w:lang w:val="fr-CH"/>
      </w:rPr>
      <w:t>Communication et polyhandicap</w:t>
    </w:r>
    <w:r>
      <w:rPr>
        <w:lang w:val="fr-CH"/>
      </w:rPr>
      <w:tab/>
    </w:r>
    <w:r>
      <w:rPr>
        <w:lang w:val="fr-CH"/>
      </w:rPr>
      <w:tab/>
    </w:r>
    <w:r w:rsidRPr="00ED473A">
      <w:rPr>
        <w:b w:val="0"/>
        <w:bCs/>
        <w:lang w:val="fr-CH"/>
      </w:rPr>
      <w:t xml:space="preserve">Revue </w:t>
    </w:r>
    <w:r>
      <w:rPr>
        <w:b w:val="0"/>
        <w:bCs/>
        <w:lang w:val="fr-CH"/>
      </w:rPr>
      <w:t>s</w:t>
    </w:r>
    <w:r w:rsidRPr="00ED473A">
      <w:rPr>
        <w:b w:val="0"/>
        <w:bCs/>
        <w:lang w:val="fr-CH"/>
      </w:rPr>
      <w:t xml:space="preserve">uisse de </w:t>
    </w:r>
    <w:r>
      <w:rPr>
        <w:b w:val="0"/>
        <w:bCs/>
        <w:lang w:val="fr-CH"/>
      </w:rPr>
      <w:t>p</w:t>
    </w:r>
    <w:r w:rsidRPr="00ED473A">
      <w:rPr>
        <w:b w:val="0"/>
        <w:bCs/>
        <w:lang w:val="fr-CH"/>
      </w:rPr>
      <w:t xml:space="preserve">édagogie </w:t>
    </w:r>
    <w:r>
      <w:rPr>
        <w:b w:val="0"/>
        <w:bCs/>
        <w:lang w:val="fr-CH"/>
      </w:rPr>
      <w:t>s</w:t>
    </w:r>
    <w:r w:rsidRPr="00ED473A">
      <w:rPr>
        <w:b w:val="0"/>
        <w:bCs/>
        <w:lang w:val="fr-CH"/>
      </w:rPr>
      <w:t xml:space="preserve">pécialisée, Vol. </w:t>
    </w:r>
    <w:r>
      <w:rPr>
        <w:b w:val="0"/>
        <w:bCs/>
        <w:lang w:val="fr-CH"/>
      </w:rPr>
      <w:t>16</w:t>
    </w:r>
    <w:r w:rsidRPr="00ED473A">
      <w:rPr>
        <w:b w:val="0"/>
        <w:bCs/>
        <w:lang w:val="fr-CH"/>
      </w:rPr>
      <w:t xml:space="preserve">, </w:t>
    </w:r>
    <w:r>
      <w:rPr>
        <w:b w:val="0"/>
        <w:bCs/>
        <w:lang w:val="fr-CH"/>
      </w:rPr>
      <w:t>02</w:t>
    </w:r>
    <w:r w:rsidRPr="00ED473A">
      <w:rPr>
        <w:b w:val="0"/>
        <w:bCs/>
        <w:lang w:val="fr-CH"/>
      </w:rPr>
      <w:t>/</w:t>
    </w:r>
    <w:r>
      <w:rPr>
        <w:b w:val="0"/>
        <w:bCs/>
        <w:lang w:val="fr-CH"/>
      </w:rPr>
      <w:t>2026</w:t>
    </w:r>
  </w:p>
  <w:p w14:paraId="2DE99CF5" w14:textId="43C0E5C8" w:rsidR="007E13A9" w:rsidRPr="007E13A9" w:rsidRDefault="007E13A9" w:rsidP="007E13A9">
    <w:pPr>
      <w:pStyle w:val="Themenschwerpunkt"/>
      <w:rPr>
        <w:b w:val="0"/>
        <w:bCs/>
        <w:lang w:val="fr-CH"/>
      </w:rPr>
    </w:pPr>
    <w:r w:rsidRPr="006555BD">
      <w:rPr>
        <w:b w:val="0"/>
        <w:bCs/>
        <w:lang w:val="fr-CH"/>
      </w:rPr>
      <w:t xml:space="preserve">| </w:t>
    </w:r>
    <w:r>
      <w:rPr>
        <w:b w:val="0"/>
        <w:bCs/>
        <w:lang w:val="fr-CH"/>
      </w:rPr>
      <w:t>ARTICLE</w:t>
    </w:r>
    <w:r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6ABC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7ECD0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9C5634F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1F88B3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E14630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ABE6FE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04E948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3DD693F"/>
    <w:multiLevelType w:val="hybridMultilevel"/>
    <w:tmpl w:val="AEA2E9B8"/>
    <w:lvl w:ilvl="0" w:tplc="E8D285F6">
      <w:start w:val="1"/>
      <w:numFmt w:val="decimal"/>
      <w:lvlText w:val="%1."/>
      <w:lvlJc w:val="left"/>
      <w:pPr>
        <w:ind w:left="720" w:hanging="360"/>
      </w:pPr>
    </w:lvl>
    <w:lvl w:ilvl="1" w:tplc="A2205740">
      <w:start w:val="1"/>
      <w:numFmt w:val="decimal"/>
      <w:lvlText w:val="%2."/>
      <w:lvlJc w:val="left"/>
      <w:pPr>
        <w:ind w:left="720" w:hanging="360"/>
      </w:pPr>
    </w:lvl>
    <w:lvl w:ilvl="2" w:tplc="A41E7D46">
      <w:start w:val="1"/>
      <w:numFmt w:val="decimal"/>
      <w:lvlText w:val="%3."/>
      <w:lvlJc w:val="left"/>
      <w:pPr>
        <w:ind w:left="720" w:hanging="360"/>
      </w:pPr>
    </w:lvl>
    <w:lvl w:ilvl="3" w:tplc="5BA646A6">
      <w:start w:val="1"/>
      <w:numFmt w:val="decimal"/>
      <w:lvlText w:val="%4."/>
      <w:lvlJc w:val="left"/>
      <w:pPr>
        <w:ind w:left="720" w:hanging="360"/>
      </w:pPr>
    </w:lvl>
    <w:lvl w:ilvl="4" w:tplc="AE8241E6">
      <w:start w:val="1"/>
      <w:numFmt w:val="decimal"/>
      <w:lvlText w:val="%5."/>
      <w:lvlJc w:val="left"/>
      <w:pPr>
        <w:ind w:left="720" w:hanging="360"/>
      </w:pPr>
    </w:lvl>
    <w:lvl w:ilvl="5" w:tplc="928200F8">
      <w:start w:val="1"/>
      <w:numFmt w:val="decimal"/>
      <w:lvlText w:val="%6."/>
      <w:lvlJc w:val="left"/>
      <w:pPr>
        <w:ind w:left="720" w:hanging="360"/>
      </w:pPr>
    </w:lvl>
    <w:lvl w:ilvl="6" w:tplc="8BB65A16">
      <w:start w:val="1"/>
      <w:numFmt w:val="decimal"/>
      <w:lvlText w:val="%7."/>
      <w:lvlJc w:val="left"/>
      <w:pPr>
        <w:ind w:left="720" w:hanging="360"/>
      </w:pPr>
    </w:lvl>
    <w:lvl w:ilvl="7" w:tplc="7BCE1CCC">
      <w:start w:val="1"/>
      <w:numFmt w:val="decimal"/>
      <w:lvlText w:val="%8."/>
      <w:lvlJc w:val="left"/>
      <w:pPr>
        <w:ind w:left="720" w:hanging="360"/>
      </w:pPr>
    </w:lvl>
    <w:lvl w:ilvl="8" w:tplc="208CDC10">
      <w:start w:val="1"/>
      <w:numFmt w:val="decimal"/>
      <w:lvlText w:val="%9."/>
      <w:lvlJc w:val="left"/>
      <w:pPr>
        <w:ind w:left="720" w:hanging="360"/>
      </w:pPr>
    </w:lvl>
  </w:abstractNum>
  <w:abstractNum w:abstractNumId="9" w15:restartNumberingAfterBreak="0">
    <w:nsid w:val="04C23D52"/>
    <w:multiLevelType w:val="hybridMultilevel"/>
    <w:tmpl w:val="784A2DB2"/>
    <w:lvl w:ilvl="0" w:tplc="8AAE9B32">
      <w:start w:val="1"/>
      <w:numFmt w:val="decimal"/>
      <w:lvlText w:val="%1."/>
      <w:lvlJc w:val="left"/>
      <w:pPr>
        <w:ind w:left="720" w:hanging="360"/>
      </w:pPr>
    </w:lvl>
    <w:lvl w:ilvl="1" w:tplc="50843DFC">
      <w:start w:val="1"/>
      <w:numFmt w:val="decimal"/>
      <w:lvlText w:val="%2."/>
      <w:lvlJc w:val="left"/>
      <w:pPr>
        <w:ind w:left="720" w:hanging="360"/>
      </w:pPr>
    </w:lvl>
    <w:lvl w:ilvl="2" w:tplc="40CA0E3A">
      <w:start w:val="1"/>
      <w:numFmt w:val="decimal"/>
      <w:lvlText w:val="%3."/>
      <w:lvlJc w:val="left"/>
      <w:pPr>
        <w:ind w:left="720" w:hanging="360"/>
      </w:pPr>
    </w:lvl>
    <w:lvl w:ilvl="3" w:tplc="05BC48CA">
      <w:start w:val="1"/>
      <w:numFmt w:val="decimal"/>
      <w:lvlText w:val="%4."/>
      <w:lvlJc w:val="left"/>
      <w:pPr>
        <w:ind w:left="720" w:hanging="360"/>
      </w:pPr>
    </w:lvl>
    <w:lvl w:ilvl="4" w:tplc="C54A6090">
      <w:start w:val="1"/>
      <w:numFmt w:val="decimal"/>
      <w:lvlText w:val="%5."/>
      <w:lvlJc w:val="left"/>
      <w:pPr>
        <w:ind w:left="720" w:hanging="360"/>
      </w:pPr>
    </w:lvl>
    <w:lvl w:ilvl="5" w:tplc="0160126E">
      <w:start w:val="1"/>
      <w:numFmt w:val="decimal"/>
      <w:lvlText w:val="%6."/>
      <w:lvlJc w:val="left"/>
      <w:pPr>
        <w:ind w:left="720" w:hanging="360"/>
      </w:pPr>
    </w:lvl>
    <w:lvl w:ilvl="6" w:tplc="65C84746">
      <w:start w:val="1"/>
      <w:numFmt w:val="decimal"/>
      <w:lvlText w:val="%7."/>
      <w:lvlJc w:val="left"/>
      <w:pPr>
        <w:ind w:left="720" w:hanging="360"/>
      </w:pPr>
    </w:lvl>
    <w:lvl w:ilvl="7" w:tplc="C2BC4BE0">
      <w:start w:val="1"/>
      <w:numFmt w:val="decimal"/>
      <w:lvlText w:val="%8."/>
      <w:lvlJc w:val="left"/>
      <w:pPr>
        <w:ind w:left="720" w:hanging="360"/>
      </w:pPr>
    </w:lvl>
    <w:lvl w:ilvl="8" w:tplc="21983AA0">
      <w:start w:val="1"/>
      <w:numFmt w:val="decimal"/>
      <w:lvlText w:val="%9."/>
      <w:lvlJc w:val="left"/>
      <w:pPr>
        <w:ind w:left="720" w:hanging="360"/>
      </w:pPr>
    </w:lvl>
  </w:abstractNum>
  <w:abstractNum w:abstractNumId="10" w15:restartNumberingAfterBreak="0">
    <w:nsid w:val="05DE54DC"/>
    <w:multiLevelType w:val="hybridMultilevel"/>
    <w:tmpl w:val="6A26C77C"/>
    <w:lvl w:ilvl="0" w:tplc="6B842782">
      <w:start w:val="1"/>
      <w:numFmt w:val="decimal"/>
      <w:lvlText w:val="%1."/>
      <w:lvlJc w:val="left"/>
      <w:pPr>
        <w:ind w:left="1440" w:hanging="360"/>
      </w:pPr>
    </w:lvl>
    <w:lvl w:ilvl="1" w:tplc="1E783596">
      <w:start w:val="1"/>
      <w:numFmt w:val="decimal"/>
      <w:lvlText w:val="%2."/>
      <w:lvlJc w:val="left"/>
      <w:pPr>
        <w:ind w:left="1440" w:hanging="360"/>
      </w:pPr>
    </w:lvl>
    <w:lvl w:ilvl="2" w:tplc="07C67CD2">
      <w:start w:val="1"/>
      <w:numFmt w:val="decimal"/>
      <w:lvlText w:val="%3."/>
      <w:lvlJc w:val="left"/>
      <w:pPr>
        <w:ind w:left="1440" w:hanging="360"/>
      </w:pPr>
    </w:lvl>
    <w:lvl w:ilvl="3" w:tplc="E33274C8">
      <w:start w:val="1"/>
      <w:numFmt w:val="decimal"/>
      <w:lvlText w:val="%4."/>
      <w:lvlJc w:val="left"/>
      <w:pPr>
        <w:ind w:left="1440" w:hanging="360"/>
      </w:pPr>
    </w:lvl>
    <w:lvl w:ilvl="4" w:tplc="AF9ECF5A">
      <w:start w:val="1"/>
      <w:numFmt w:val="decimal"/>
      <w:lvlText w:val="%5."/>
      <w:lvlJc w:val="left"/>
      <w:pPr>
        <w:ind w:left="1440" w:hanging="360"/>
      </w:pPr>
    </w:lvl>
    <w:lvl w:ilvl="5" w:tplc="409AE620">
      <w:start w:val="1"/>
      <w:numFmt w:val="decimal"/>
      <w:lvlText w:val="%6."/>
      <w:lvlJc w:val="left"/>
      <w:pPr>
        <w:ind w:left="1440" w:hanging="360"/>
      </w:pPr>
    </w:lvl>
    <w:lvl w:ilvl="6" w:tplc="19A67C4A">
      <w:start w:val="1"/>
      <w:numFmt w:val="decimal"/>
      <w:lvlText w:val="%7."/>
      <w:lvlJc w:val="left"/>
      <w:pPr>
        <w:ind w:left="1440" w:hanging="360"/>
      </w:pPr>
    </w:lvl>
    <w:lvl w:ilvl="7" w:tplc="BE6CACA6">
      <w:start w:val="1"/>
      <w:numFmt w:val="decimal"/>
      <w:lvlText w:val="%8."/>
      <w:lvlJc w:val="left"/>
      <w:pPr>
        <w:ind w:left="1440" w:hanging="360"/>
      </w:pPr>
    </w:lvl>
    <w:lvl w:ilvl="8" w:tplc="EE1A1634">
      <w:start w:val="1"/>
      <w:numFmt w:val="decimal"/>
      <w:lvlText w:val="%9."/>
      <w:lvlJc w:val="left"/>
      <w:pPr>
        <w:ind w:left="1440" w:hanging="360"/>
      </w:pPr>
    </w:lvl>
  </w:abstractNum>
  <w:abstractNum w:abstractNumId="1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2" w15:restartNumberingAfterBreak="0">
    <w:nsid w:val="07241B04"/>
    <w:multiLevelType w:val="hybridMultilevel"/>
    <w:tmpl w:val="4C1AFF50"/>
    <w:lvl w:ilvl="0" w:tplc="432AF868">
      <w:start w:val="1"/>
      <w:numFmt w:val="decimal"/>
      <w:lvlText w:val="%1."/>
      <w:lvlJc w:val="left"/>
      <w:pPr>
        <w:ind w:left="1440" w:hanging="360"/>
      </w:pPr>
    </w:lvl>
    <w:lvl w:ilvl="1" w:tplc="64C8B6F4">
      <w:start w:val="1"/>
      <w:numFmt w:val="decimal"/>
      <w:lvlText w:val="%2."/>
      <w:lvlJc w:val="left"/>
      <w:pPr>
        <w:ind w:left="1440" w:hanging="360"/>
      </w:pPr>
    </w:lvl>
    <w:lvl w:ilvl="2" w:tplc="274CD730">
      <w:start w:val="1"/>
      <w:numFmt w:val="decimal"/>
      <w:lvlText w:val="%3."/>
      <w:lvlJc w:val="left"/>
      <w:pPr>
        <w:ind w:left="1440" w:hanging="360"/>
      </w:pPr>
    </w:lvl>
    <w:lvl w:ilvl="3" w:tplc="FAD4277C">
      <w:start w:val="1"/>
      <w:numFmt w:val="decimal"/>
      <w:lvlText w:val="%4."/>
      <w:lvlJc w:val="left"/>
      <w:pPr>
        <w:ind w:left="1440" w:hanging="360"/>
      </w:pPr>
    </w:lvl>
    <w:lvl w:ilvl="4" w:tplc="0D8E5CF2">
      <w:start w:val="1"/>
      <w:numFmt w:val="decimal"/>
      <w:lvlText w:val="%5."/>
      <w:lvlJc w:val="left"/>
      <w:pPr>
        <w:ind w:left="1440" w:hanging="360"/>
      </w:pPr>
    </w:lvl>
    <w:lvl w:ilvl="5" w:tplc="3FCA8652">
      <w:start w:val="1"/>
      <w:numFmt w:val="decimal"/>
      <w:lvlText w:val="%6."/>
      <w:lvlJc w:val="left"/>
      <w:pPr>
        <w:ind w:left="1440" w:hanging="360"/>
      </w:pPr>
    </w:lvl>
    <w:lvl w:ilvl="6" w:tplc="586EDE48">
      <w:start w:val="1"/>
      <w:numFmt w:val="decimal"/>
      <w:lvlText w:val="%7."/>
      <w:lvlJc w:val="left"/>
      <w:pPr>
        <w:ind w:left="1440" w:hanging="360"/>
      </w:pPr>
    </w:lvl>
    <w:lvl w:ilvl="7" w:tplc="112C1092">
      <w:start w:val="1"/>
      <w:numFmt w:val="decimal"/>
      <w:lvlText w:val="%8."/>
      <w:lvlJc w:val="left"/>
      <w:pPr>
        <w:ind w:left="1440" w:hanging="360"/>
      </w:pPr>
    </w:lvl>
    <w:lvl w:ilvl="8" w:tplc="17C652A4">
      <w:start w:val="1"/>
      <w:numFmt w:val="decimal"/>
      <w:lvlText w:val="%9."/>
      <w:lvlJc w:val="left"/>
      <w:pPr>
        <w:ind w:left="1440" w:hanging="360"/>
      </w:pPr>
    </w:lvl>
  </w:abstractNum>
  <w:abstractNum w:abstractNumId="13" w15:restartNumberingAfterBreak="0">
    <w:nsid w:val="0935677D"/>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A708FB"/>
    <w:multiLevelType w:val="hybridMultilevel"/>
    <w:tmpl w:val="76B0AAF8"/>
    <w:lvl w:ilvl="0" w:tplc="596635CE">
      <w:start w:val="1"/>
      <w:numFmt w:val="decimal"/>
      <w:lvlText w:val="%1."/>
      <w:lvlJc w:val="left"/>
      <w:pPr>
        <w:ind w:left="1440" w:hanging="360"/>
      </w:pPr>
    </w:lvl>
    <w:lvl w:ilvl="1" w:tplc="A5342AB4">
      <w:start w:val="1"/>
      <w:numFmt w:val="decimal"/>
      <w:lvlText w:val="%2."/>
      <w:lvlJc w:val="left"/>
      <w:pPr>
        <w:ind w:left="1440" w:hanging="360"/>
      </w:pPr>
    </w:lvl>
    <w:lvl w:ilvl="2" w:tplc="A27AC2BC">
      <w:start w:val="1"/>
      <w:numFmt w:val="decimal"/>
      <w:lvlText w:val="%3."/>
      <w:lvlJc w:val="left"/>
      <w:pPr>
        <w:ind w:left="1440" w:hanging="360"/>
      </w:pPr>
    </w:lvl>
    <w:lvl w:ilvl="3" w:tplc="3ACE61FE">
      <w:start w:val="1"/>
      <w:numFmt w:val="decimal"/>
      <w:lvlText w:val="%4."/>
      <w:lvlJc w:val="left"/>
      <w:pPr>
        <w:ind w:left="1440" w:hanging="360"/>
      </w:pPr>
    </w:lvl>
    <w:lvl w:ilvl="4" w:tplc="D84A271A">
      <w:start w:val="1"/>
      <w:numFmt w:val="decimal"/>
      <w:lvlText w:val="%5."/>
      <w:lvlJc w:val="left"/>
      <w:pPr>
        <w:ind w:left="1440" w:hanging="360"/>
      </w:pPr>
    </w:lvl>
    <w:lvl w:ilvl="5" w:tplc="980EDDD8">
      <w:start w:val="1"/>
      <w:numFmt w:val="decimal"/>
      <w:lvlText w:val="%6."/>
      <w:lvlJc w:val="left"/>
      <w:pPr>
        <w:ind w:left="1440" w:hanging="360"/>
      </w:pPr>
    </w:lvl>
    <w:lvl w:ilvl="6" w:tplc="45764F02">
      <w:start w:val="1"/>
      <w:numFmt w:val="decimal"/>
      <w:lvlText w:val="%7."/>
      <w:lvlJc w:val="left"/>
      <w:pPr>
        <w:ind w:left="1440" w:hanging="360"/>
      </w:pPr>
    </w:lvl>
    <w:lvl w:ilvl="7" w:tplc="884075CC">
      <w:start w:val="1"/>
      <w:numFmt w:val="decimal"/>
      <w:lvlText w:val="%8."/>
      <w:lvlJc w:val="left"/>
      <w:pPr>
        <w:ind w:left="1440" w:hanging="360"/>
      </w:pPr>
    </w:lvl>
    <w:lvl w:ilvl="8" w:tplc="859EA8FE">
      <w:start w:val="1"/>
      <w:numFmt w:val="decimal"/>
      <w:lvlText w:val="%9."/>
      <w:lvlJc w:val="left"/>
      <w:pPr>
        <w:ind w:left="1440" w:hanging="360"/>
      </w:pPr>
    </w:lvl>
  </w:abstractNum>
  <w:abstractNum w:abstractNumId="15" w15:restartNumberingAfterBreak="0">
    <w:nsid w:val="15E22159"/>
    <w:multiLevelType w:val="multilevel"/>
    <w:tmpl w:val="20000023"/>
    <w:styleLink w:val="ArticleSection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6BA1C74"/>
    <w:multiLevelType w:val="hybridMultilevel"/>
    <w:tmpl w:val="87D6B13A"/>
    <w:lvl w:ilvl="0" w:tplc="6C265BD8">
      <w:start w:val="1"/>
      <w:numFmt w:val="decimal"/>
      <w:lvlText w:val="%1."/>
      <w:lvlJc w:val="left"/>
      <w:pPr>
        <w:ind w:left="720" w:hanging="360"/>
      </w:pPr>
    </w:lvl>
    <w:lvl w:ilvl="1" w:tplc="E4A0491C">
      <w:start w:val="1"/>
      <w:numFmt w:val="decimal"/>
      <w:lvlText w:val="%2."/>
      <w:lvlJc w:val="left"/>
      <w:pPr>
        <w:ind w:left="720" w:hanging="360"/>
      </w:pPr>
    </w:lvl>
    <w:lvl w:ilvl="2" w:tplc="22FEE7A8">
      <w:start w:val="1"/>
      <w:numFmt w:val="decimal"/>
      <w:lvlText w:val="%3."/>
      <w:lvlJc w:val="left"/>
      <w:pPr>
        <w:ind w:left="720" w:hanging="360"/>
      </w:pPr>
    </w:lvl>
    <w:lvl w:ilvl="3" w:tplc="C63A261A">
      <w:start w:val="1"/>
      <w:numFmt w:val="decimal"/>
      <w:lvlText w:val="%4."/>
      <w:lvlJc w:val="left"/>
      <w:pPr>
        <w:ind w:left="720" w:hanging="360"/>
      </w:pPr>
    </w:lvl>
    <w:lvl w:ilvl="4" w:tplc="39864AD2">
      <w:start w:val="1"/>
      <w:numFmt w:val="decimal"/>
      <w:lvlText w:val="%5."/>
      <w:lvlJc w:val="left"/>
      <w:pPr>
        <w:ind w:left="720" w:hanging="360"/>
      </w:pPr>
    </w:lvl>
    <w:lvl w:ilvl="5" w:tplc="F30499AC">
      <w:start w:val="1"/>
      <w:numFmt w:val="decimal"/>
      <w:lvlText w:val="%6."/>
      <w:lvlJc w:val="left"/>
      <w:pPr>
        <w:ind w:left="720" w:hanging="360"/>
      </w:pPr>
    </w:lvl>
    <w:lvl w:ilvl="6" w:tplc="D0C0DD60">
      <w:start w:val="1"/>
      <w:numFmt w:val="decimal"/>
      <w:lvlText w:val="%7."/>
      <w:lvlJc w:val="left"/>
      <w:pPr>
        <w:ind w:left="720" w:hanging="360"/>
      </w:pPr>
    </w:lvl>
    <w:lvl w:ilvl="7" w:tplc="706A170C">
      <w:start w:val="1"/>
      <w:numFmt w:val="decimal"/>
      <w:lvlText w:val="%8."/>
      <w:lvlJc w:val="left"/>
      <w:pPr>
        <w:ind w:left="720" w:hanging="360"/>
      </w:pPr>
    </w:lvl>
    <w:lvl w:ilvl="8" w:tplc="AA54D2F0">
      <w:start w:val="1"/>
      <w:numFmt w:val="decimal"/>
      <w:lvlText w:val="%9."/>
      <w:lvlJc w:val="left"/>
      <w:pPr>
        <w:ind w:left="720" w:hanging="360"/>
      </w:pPr>
    </w:lvl>
  </w:abstractNum>
  <w:abstractNum w:abstractNumId="17" w15:restartNumberingAfterBreak="0">
    <w:nsid w:val="29195DFF"/>
    <w:multiLevelType w:val="hybridMultilevel"/>
    <w:tmpl w:val="700E485C"/>
    <w:lvl w:ilvl="0" w:tplc="458449D2">
      <w:start w:val="1"/>
      <w:numFmt w:val="decimal"/>
      <w:lvlText w:val="%1."/>
      <w:lvlJc w:val="left"/>
      <w:pPr>
        <w:ind w:left="1440" w:hanging="360"/>
      </w:pPr>
    </w:lvl>
    <w:lvl w:ilvl="1" w:tplc="4BEE3C42">
      <w:start w:val="1"/>
      <w:numFmt w:val="decimal"/>
      <w:lvlText w:val="%2."/>
      <w:lvlJc w:val="left"/>
      <w:pPr>
        <w:ind w:left="1440" w:hanging="360"/>
      </w:pPr>
    </w:lvl>
    <w:lvl w:ilvl="2" w:tplc="0BC00904">
      <w:start w:val="1"/>
      <w:numFmt w:val="decimal"/>
      <w:lvlText w:val="%3."/>
      <w:lvlJc w:val="left"/>
      <w:pPr>
        <w:ind w:left="1440" w:hanging="360"/>
      </w:pPr>
    </w:lvl>
    <w:lvl w:ilvl="3" w:tplc="2194A154">
      <w:start w:val="1"/>
      <w:numFmt w:val="decimal"/>
      <w:lvlText w:val="%4."/>
      <w:lvlJc w:val="left"/>
      <w:pPr>
        <w:ind w:left="1440" w:hanging="360"/>
      </w:pPr>
    </w:lvl>
    <w:lvl w:ilvl="4" w:tplc="AD9CF058">
      <w:start w:val="1"/>
      <w:numFmt w:val="decimal"/>
      <w:lvlText w:val="%5."/>
      <w:lvlJc w:val="left"/>
      <w:pPr>
        <w:ind w:left="1440" w:hanging="360"/>
      </w:pPr>
    </w:lvl>
    <w:lvl w:ilvl="5" w:tplc="2292BDA4">
      <w:start w:val="1"/>
      <w:numFmt w:val="decimal"/>
      <w:lvlText w:val="%6."/>
      <w:lvlJc w:val="left"/>
      <w:pPr>
        <w:ind w:left="1440" w:hanging="360"/>
      </w:pPr>
    </w:lvl>
    <w:lvl w:ilvl="6" w:tplc="E33AB53A">
      <w:start w:val="1"/>
      <w:numFmt w:val="decimal"/>
      <w:lvlText w:val="%7."/>
      <w:lvlJc w:val="left"/>
      <w:pPr>
        <w:ind w:left="1440" w:hanging="360"/>
      </w:pPr>
    </w:lvl>
    <w:lvl w:ilvl="7" w:tplc="223835CA">
      <w:start w:val="1"/>
      <w:numFmt w:val="decimal"/>
      <w:lvlText w:val="%8."/>
      <w:lvlJc w:val="left"/>
      <w:pPr>
        <w:ind w:left="1440" w:hanging="360"/>
      </w:pPr>
    </w:lvl>
    <w:lvl w:ilvl="8" w:tplc="01127CE2">
      <w:start w:val="1"/>
      <w:numFmt w:val="decimal"/>
      <w:lvlText w:val="%9."/>
      <w:lvlJc w:val="left"/>
      <w:pPr>
        <w:ind w:left="1440" w:hanging="360"/>
      </w:pPr>
    </w:lvl>
  </w:abstractNum>
  <w:abstractNum w:abstractNumId="18" w15:restartNumberingAfterBreak="0">
    <w:nsid w:val="2C0E6228"/>
    <w:multiLevelType w:val="hybridMultilevel"/>
    <w:tmpl w:val="D258296A"/>
    <w:lvl w:ilvl="0" w:tplc="16CE309C">
      <w:start w:val="1"/>
      <w:numFmt w:val="decimal"/>
      <w:lvlText w:val="%1."/>
      <w:lvlJc w:val="left"/>
      <w:pPr>
        <w:ind w:left="720" w:hanging="360"/>
      </w:pPr>
    </w:lvl>
    <w:lvl w:ilvl="1" w:tplc="3F32AB78">
      <w:start w:val="1"/>
      <w:numFmt w:val="decimal"/>
      <w:lvlText w:val="%2."/>
      <w:lvlJc w:val="left"/>
      <w:pPr>
        <w:ind w:left="720" w:hanging="360"/>
      </w:pPr>
    </w:lvl>
    <w:lvl w:ilvl="2" w:tplc="955E9EAA">
      <w:start w:val="1"/>
      <w:numFmt w:val="decimal"/>
      <w:lvlText w:val="%3."/>
      <w:lvlJc w:val="left"/>
      <w:pPr>
        <w:ind w:left="720" w:hanging="360"/>
      </w:pPr>
    </w:lvl>
    <w:lvl w:ilvl="3" w:tplc="45FE72F8">
      <w:start w:val="1"/>
      <w:numFmt w:val="decimal"/>
      <w:lvlText w:val="%4."/>
      <w:lvlJc w:val="left"/>
      <w:pPr>
        <w:ind w:left="720" w:hanging="360"/>
      </w:pPr>
    </w:lvl>
    <w:lvl w:ilvl="4" w:tplc="F1500E36">
      <w:start w:val="1"/>
      <w:numFmt w:val="decimal"/>
      <w:lvlText w:val="%5."/>
      <w:lvlJc w:val="left"/>
      <w:pPr>
        <w:ind w:left="720" w:hanging="360"/>
      </w:pPr>
    </w:lvl>
    <w:lvl w:ilvl="5" w:tplc="AA900556">
      <w:start w:val="1"/>
      <w:numFmt w:val="decimal"/>
      <w:lvlText w:val="%6."/>
      <w:lvlJc w:val="left"/>
      <w:pPr>
        <w:ind w:left="720" w:hanging="360"/>
      </w:pPr>
    </w:lvl>
    <w:lvl w:ilvl="6" w:tplc="02ACDBCA">
      <w:start w:val="1"/>
      <w:numFmt w:val="decimal"/>
      <w:lvlText w:val="%7."/>
      <w:lvlJc w:val="left"/>
      <w:pPr>
        <w:ind w:left="720" w:hanging="360"/>
      </w:pPr>
    </w:lvl>
    <w:lvl w:ilvl="7" w:tplc="7F962098">
      <w:start w:val="1"/>
      <w:numFmt w:val="decimal"/>
      <w:lvlText w:val="%8."/>
      <w:lvlJc w:val="left"/>
      <w:pPr>
        <w:ind w:left="720" w:hanging="360"/>
      </w:pPr>
    </w:lvl>
    <w:lvl w:ilvl="8" w:tplc="CA662930">
      <w:start w:val="1"/>
      <w:numFmt w:val="decimal"/>
      <w:lvlText w:val="%9."/>
      <w:lvlJc w:val="left"/>
      <w:pPr>
        <w:ind w:left="720" w:hanging="360"/>
      </w:pPr>
    </w:lvl>
  </w:abstractNum>
  <w:abstractNum w:abstractNumId="19" w15:restartNumberingAfterBreak="0">
    <w:nsid w:val="2F965AE0"/>
    <w:multiLevelType w:val="hybridMultilevel"/>
    <w:tmpl w:val="1A56DCAC"/>
    <w:lvl w:ilvl="0" w:tplc="40AEC45E">
      <w:start w:val="1"/>
      <w:numFmt w:val="decimal"/>
      <w:lvlText w:val="%1."/>
      <w:lvlJc w:val="left"/>
      <w:pPr>
        <w:ind w:left="720" w:hanging="360"/>
      </w:pPr>
    </w:lvl>
    <w:lvl w:ilvl="1" w:tplc="E6C0D736">
      <w:start w:val="1"/>
      <w:numFmt w:val="decimal"/>
      <w:lvlText w:val="%2."/>
      <w:lvlJc w:val="left"/>
      <w:pPr>
        <w:ind w:left="720" w:hanging="360"/>
      </w:pPr>
    </w:lvl>
    <w:lvl w:ilvl="2" w:tplc="B0C05A18">
      <w:start w:val="1"/>
      <w:numFmt w:val="decimal"/>
      <w:lvlText w:val="%3."/>
      <w:lvlJc w:val="left"/>
      <w:pPr>
        <w:ind w:left="720" w:hanging="360"/>
      </w:pPr>
    </w:lvl>
    <w:lvl w:ilvl="3" w:tplc="DD5CA946">
      <w:start w:val="1"/>
      <w:numFmt w:val="decimal"/>
      <w:lvlText w:val="%4."/>
      <w:lvlJc w:val="left"/>
      <w:pPr>
        <w:ind w:left="720" w:hanging="360"/>
      </w:pPr>
    </w:lvl>
    <w:lvl w:ilvl="4" w:tplc="5D54FC5E">
      <w:start w:val="1"/>
      <w:numFmt w:val="decimal"/>
      <w:lvlText w:val="%5."/>
      <w:lvlJc w:val="left"/>
      <w:pPr>
        <w:ind w:left="720" w:hanging="360"/>
      </w:pPr>
    </w:lvl>
    <w:lvl w:ilvl="5" w:tplc="59A447DA">
      <w:start w:val="1"/>
      <w:numFmt w:val="decimal"/>
      <w:lvlText w:val="%6."/>
      <w:lvlJc w:val="left"/>
      <w:pPr>
        <w:ind w:left="720" w:hanging="360"/>
      </w:pPr>
    </w:lvl>
    <w:lvl w:ilvl="6" w:tplc="F932A6E4">
      <w:start w:val="1"/>
      <w:numFmt w:val="decimal"/>
      <w:lvlText w:val="%7."/>
      <w:lvlJc w:val="left"/>
      <w:pPr>
        <w:ind w:left="720" w:hanging="360"/>
      </w:pPr>
    </w:lvl>
    <w:lvl w:ilvl="7" w:tplc="0A3840A8">
      <w:start w:val="1"/>
      <w:numFmt w:val="decimal"/>
      <w:lvlText w:val="%8."/>
      <w:lvlJc w:val="left"/>
      <w:pPr>
        <w:ind w:left="720" w:hanging="360"/>
      </w:pPr>
    </w:lvl>
    <w:lvl w:ilvl="8" w:tplc="B74A38FA">
      <w:start w:val="1"/>
      <w:numFmt w:val="decimal"/>
      <w:lvlText w:val="%9."/>
      <w:lvlJc w:val="left"/>
      <w:pPr>
        <w:ind w:left="720" w:hanging="360"/>
      </w:pPr>
    </w:lvl>
  </w:abstractNum>
  <w:abstractNum w:abstractNumId="20" w15:restartNumberingAfterBreak="0">
    <w:nsid w:val="3D7C6EC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14C3594"/>
    <w:multiLevelType w:val="hybridMultilevel"/>
    <w:tmpl w:val="3A54192E"/>
    <w:lvl w:ilvl="0" w:tplc="818ECAEC">
      <w:start w:val="1"/>
      <w:numFmt w:val="decimal"/>
      <w:lvlText w:val="%1."/>
      <w:lvlJc w:val="left"/>
      <w:pPr>
        <w:ind w:left="1440" w:hanging="360"/>
      </w:pPr>
    </w:lvl>
    <w:lvl w:ilvl="1" w:tplc="5F3E5778">
      <w:start w:val="1"/>
      <w:numFmt w:val="decimal"/>
      <w:lvlText w:val="%2."/>
      <w:lvlJc w:val="left"/>
      <w:pPr>
        <w:ind w:left="1440" w:hanging="360"/>
      </w:pPr>
    </w:lvl>
    <w:lvl w:ilvl="2" w:tplc="0428BA8A">
      <w:start w:val="1"/>
      <w:numFmt w:val="decimal"/>
      <w:lvlText w:val="%3."/>
      <w:lvlJc w:val="left"/>
      <w:pPr>
        <w:ind w:left="1440" w:hanging="360"/>
      </w:pPr>
    </w:lvl>
    <w:lvl w:ilvl="3" w:tplc="D5AE1C32">
      <w:start w:val="1"/>
      <w:numFmt w:val="decimal"/>
      <w:lvlText w:val="%4."/>
      <w:lvlJc w:val="left"/>
      <w:pPr>
        <w:ind w:left="1440" w:hanging="360"/>
      </w:pPr>
    </w:lvl>
    <w:lvl w:ilvl="4" w:tplc="F5D22F72">
      <w:start w:val="1"/>
      <w:numFmt w:val="decimal"/>
      <w:lvlText w:val="%5."/>
      <w:lvlJc w:val="left"/>
      <w:pPr>
        <w:ind w:left="1440" w:hanging="360"/>
      </w:pPr>
    </w:lvl>
    <w:lvl w:ilvl="5" w:tplc="6EB69F14">
      <w:start w:val="1"/>
      <w:numFmt w:val="decimal"/>
      <w:lvlText w:val="%6."/>
      <w:lvlJc w:val="left"/>
      <w:pPr>
        <w:ind w:left="1440" w:hanging="360"/>
      </w:pPr>
    </w:lvl>
    <w:lvl w:ilvl="6" w:tplc="744AAD34">
      <w:start w:val="1"/>
      <w:numFmt w:val="decimal"/>
      <w:lvlText w:val="%7."/>
      <w:lvlJc w:val="left"/>
      <w:pPr>
        <w:ind w:left="1440" w:hanging="360"/>
      </w:pPr>
    </w:lvl>
    <w:lvl w:ilvl="7" w:tplc="3B74466A">
      <w:start w:val="1"/>
      <w:numFmt w:val="decimal"/>
      <w:lvlText w:val="%8."/>
      <w:lvlJc w:val="left"/>
      <w:pPr>
        <w:ind w:left="1440" w:hanging="360"/>
      </w:pPr>
    </w:lvl>
    <w:lvl w:ilvl="8" w:tplc="CBA8AB2C">
      <w:start w:val="1"/>
      <w:numFmt w:val="decimal"/>
      <w:lvlText w:val="%9."/>
      <w:lvlJc w:val="left"/>
      <w:pPr>
        <w:ind w:left="1440" w:hanging="360"/>
      </w:pPr>
    </w:lvl>
  </w:abstractNum>
  <w:abstractNum w:abstractNumId="22"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6E3CE3"/>
    <w:multiLevelType w:val="hybridMultilevel"/>
    <w:tmpl w:val="40AEDFC4"/>
    <w:lvl w:ilvl="0" w:tplc="FAC039F2">
      <w:start w:val="1"/>
      <w:numFmt w:val="decimal"/>
      <w:lvlText w:val="%1."/>
      <w:lvlJc w:val="left"/>
      <w:pPr>
        <w:ind w:left="1440" w:hanging="360"/>
      </w:pPr>
    </w:lvl>
    <w:lvl w:ilvl="1" w:tplc="752C8200">
      <w:start w:val="1"/>
      <w:numFmt w:val="decimal"/>
      <w:lvlText w:val="%2."/>
      <w:lvlJc w:val="left"/>
      <w:pPr>
        <w:ind w:left="1440" w:hanging="360"/>
      </w:pPr>
    </w:lvl>
    <w:lvl w:ilvl="2" w:tplc="BF14F090">
      <w:start w:val="1"/>
      <w:numFmt w:val="decimal"/>
      <w:lvlText w:val="%3."/>
      <w:lvlJc w:val="left"/>
      <w:pPr>
        <w:ind w:left="1440" w:hanging="360"/>
      </w:pPr>
    </w:lvl>
    <w:lvl w:ilvl="3" w:tplc="5D8AF9B2">
      <w:start w:val="1"/>
      <w:numFmt w:val="decimal"/>
      <w:lvlText w:val="%4."/>
      <w:lvlJc w:val="left"/>
      <w:pPr>
        <w:ind w:left="1440" w:hanging="360"/>
      </w:pPr>
    </w:lvl>
    <w:lvl w:ilvl="4" w:tplc="EE76ED3C">
      <w:start w:val="1"/>
      <w:numFmt w:val="decimal"/>
      <w:lvlText w:val="%5."/>
      <w:lvlJc w:val="left"/>
      <w:pPr>
        <w:ind w:left="1440" w:hanging="360"/>
      </w:pPr>
    </w:lvl>
    <w:lvl w:ilvl="5" w:tplc="AAD40360">
      <w:start w:val="1"/>
      <w:numFmt w:val="decimal"/>
      <w:lvlText w:val="%6."/>
      <w:lvlJc w:val="left"/>
      <w:pPr>
        <w:ind w:left="1440" w:hanging="360"/>
      </w:pPr>
    </w:lvl>
    <w:lvl w:ilvl="6" w:tplc="CDF60454">
      <w:start w:val="1"/>
      <w:numFmt w:val="decimal"/>
      <w:lvlText w:val="%7."/>
      <w:lvlJc w:val="left"/>
      <w:pPr>
        <w:ind w:left="1440" w:hanging="360"/>
      </w:pPr>
    </w:lvl>
    <w:lvl w:ilvl="7" w:tplc="74229E76">
      <w:start w:val="1"/>
      <w:numFmt w:val="decimal"/>
      <w:lvlText w:val="%8."/>
      <w:lvlJc w:val="left"/>
      <w:pPr>
        <w:ind w:left="1440" w:hanging="360"/>
      </w:pPr>
    </w:lvl>
    <w:lvl w:ilvl="8" w:tplc="90C2D048">
      <w:start w:val="1"/>
      <w:numFmt w:val="decimal"/>
      <w:lvlText w:val="%9."/>
      <w:lvlJc w:val="left"/>
      <w:pPr>
        <w:ind w:left="1440" w:hanging="360"/>
      </w:pPr>
    </w:lvl>
  </w:abstractNum>
  <w:abstractNum w:abstractNumId="24" w15:restartNumberingAfterBreak="0">
    <w:nsid w:val="6C845D98"/>
    <w:multiLevelType w:val="hybridMultilevel"/>
    <w:tmpl w:val="D9C046E0"/>
    <w:lvl w:ilvl="0" w:tplc="77F20BDA">
      <w:start w:val="1"/>
      <w:numFmt w:val="decimal"/>
      <w:lvlText w:val="%1."/>
      <w:lvlJc w:val="left"/>
      <w:pPr>
        <w:ind w:left="720" w:hanging="360"/>
      </w:pPr>
    </w:lvl>
    <w:lvl w:ilvl="1" w:tplc="FE4EA914">
      <w:start w:val="1"/>
      <w:numFmt w:val="decimal"/>
      <w:lvlText w:val="%2."/>
      <w:lvlJc w:val="left"/>
      <w:pPr>
        <w:ind w:left="720" w:hanging="360"/>
      </w:pPr>
    </w:lvl>
    <w:lvl w:ilvl="2" w:tplc="0E483130">
      <w:start w:val="1"/>
      <w:numFmt w:val="decimal"/>
      <w:lvlText w:val="%3."/>
      <w:lvlJc w:val="left"/>
      <w:pPr>
        <w:ind w:left="720" w:hanging="360"/>
      </w:pPr>
    </w:lvl>
    <w:lvl w:ilvl="3" w:tplc="5456EB54">
      <w:start w:val="1"/>
      <w:numFmt w:val="decimal"/>
      <w:lvlText w:val="%4."/>
      <w:lvlJc w:val="left"/>
      <w:pPr>
        <w:ind w:left="720" w:hanging="360"/>
      </w:pPr>
    </w:lvl>
    <w:lvl w:ilvl="4" w:tplc="B64869B0">
      <w:start w:val="1"/>
      <w:numFmt w:val="decimal"/>
      <w:lvlText w:val="%5."/>
      <w:lvlJc w:val="left"/>
      <w:pPr>
        <w:ind w:left="720" w:hanging="360"/>
      </w:pPr>
    </w:lvl>
    <w:lvl w:ilvl="5" w:tplc="F2AEC340">
      <w:start w:val="1"/>
      <w:numFmt w:val="decimal"/>
      <w:lvlText w:val="%6."/>
      <w:lvlJc w:val="left"/>
      <w:pPr>
        <w:ind w:left="720" w:hanging="360"/>
      </w:pPr>
    </w:lvl>
    <w:lvl w:ilvl="6" w:tplc="1474E430">
      <w:start w:val="1"/>
      <w:numFmt w:val="decimal"/>
      <w:lvlText w:val="%7."/>
      <w:lvlJc w:val="left"/>
      <w:pPr>
        <w:ind w:left="720" w:hanging="360"/>
      </w:pPr>
    </w:lvl>
    <w:lvl w:ilvl="7" w:tplc="A532E0A0">
      <w:start w:val="1"/>
      <w:numFmt w:val="decimal"/>
      <w:lvlText w:val="%8."/>
      <w:lvlJc w:val="left"/>
      <w:pPr>
        <w:ind w:left="720" w:hanging="360"/>
      </w:pPr>
    </w:lvl>
    <w:lvl w:ilvl="8" w:tplc="D6948EA2">
      <w:start w:val="1"/>
      <w:numFmt w:val="decimal"/>
      <w:lvlText w:val="%9."/>
      <w:lvlJc w:val="left"/>
      <w:pPr>
        <w:ind w:left="720" w:hanging="360"/>
      </w:pPr>
    </w:lvl>
  </w:abstractNum>
  <w:abstractNum w:abstractNumId="25" w15:restartNumberingAfterBreak="0">
    <w:nsid w:val="6E116165"/>
    <w:multiLevelType w:val="hybridMultilevel"/>
    <w:tmpl w:val="4984A018"/>
    <w:lvl w:ilvl="0" w:tplc="20FCECDC">
      <w:start w:val="1"/>
      <w:numFmt w:val="decimal"/>
      <w:lvlText w:val="%1."/>
      <w:lvlJc w:val="left"/>
      <w:pPr>
        <w:ind w:left="1440" w:hanging="360"/>
      </w:pPr>
    </w:lvl>
    <w:lvl w:ilvl="1" w:tplc="538201AA">
      <w:start w:val="1"/>
      <w:numFmt w:val="decimal"/>
      <w:lvlText w:val="%2."/>
      <w:lvlJc w:val="left"/>
      <w:pPr>
        <w:ind w:left="1440" w:hanging="360"/>
      </w:pPr>
    </w:lvl>
    <w:lvl w:ilvl="2" w:tplc="23746B1E">
      <w:start w:val="1"/>
      <w:numFmt w:val="decimal"/>
      <w:lvlText w:val="%3."/>
      <w:lvlJc w:val="left"/>
      <w:pPr>
        <w:ind w:left="1440" w:hanging="360"/>
      </w:pPr>
    </w:lvl>
    <w:lvl w:ilvl="3" w:tplc="BCD4C4C6">
      <w:start w:val="1"/>
      <w:numFmt w:val="decimal"/>
      <w:lvlText w:val="%4."/>
      <w:lvlJc w:val="left"/>
      <w:pPr>
        <w:ind w:left="1440" w:hanging="360"/>
      </w:pPr>
    </w:lvl>
    <w:lvl w:ilvl="4" w:tplc="5CC2ED32">
      <w:start w:val="1"/>
      <w:numFmt w:val="decimal"/>
      <w:lvlText w:val="%5."/>
      <w:lvlJc w:val="left"/>
      <w:pPr>
        <w:ind w:left="1440" w:hanging="360"/>
      </w:pPr>
    </w:lvl>
    <w:lvl w:ilvl="5" w:tplc="4C1E91EA">
      <w:start w:val="1"/>
      <w:numFmt w:val="decimal"/>
      <w:lvlText w:val="%6."/>
      <w:lvlJc w:val="left"/>
      <w:pPr>
        <w:ind w:left="1440" w:hanging="360"/>
      </w:pPr>
    </w:lvl>
    <w:lvl w:ilvl="6" w:tplc="2746EB52">
      <w:start w:val="1"/>
      <w:numFmt w:val="decimal"/>
      <w:lvlText w:val="%7."/>
      <w:lvlJc w:val="left"/>
      <w:pPr>
        <w:ind w:left="1440" w:hanging="360"/>
      </w:pPr>
    </w:lvl>
    <w:lvl w:ilvl="7" w:tplc="4AD0688A">
      <w:start w:val="1"/>
      <w:numFmt w:val="decimal"/>
      <w:lvlText w:val="%8."/>
      <w:lvlJc w:val="left"/>
      <w:pPr>
        <w:ind w:left="1440" w:hanging="360"/>
      </w:pPr>
    </w:lvl>
    <w:lvl w:ilvl="8" w:tplc="0CD21CF8">
      <w:start w:val="1"/>
      <w:numFmt w:val="decimal"/>
      <w:lvlText w:val="%9."/>
      <w:lvlJc w:val="left"/>
      <w:pPr>
        <w:ind w:left="1440" w:hanging="360"/>
      </w:pPr>
    </w:lvl>
  </w:abstractNum>
  <w:abstractNum w:abstractNumId="26" w15:restartNumberingAfterBreak="0">
    <w:nsid w:val="7FDD0919"/>
    <w:multiLevelType w:val="hybridMultilevel"/>
    <w:tmpl w:val="7166DB5C"/>
    <w:lvl w:ilvl="0" w:tplc="FD1E2CA6">
      <w:start w:val="1"/>
      <w:numFmt w:val="decimal"/>
      <w:lvlText w:val="%1."/>
      <w:lvlJc w:val="left"/>
      <w:pPr>
        <w:ind w:left="720" w:hanging="360"/>
      </w:pPr>
    </w:lvl>
    <w:lvl w:ilvl="1" w:tplc="22DCC4F8">
      <w:start w:val="1"/>
      <w:numFmt w:val="decimal"/>
      <w:lvlText w:val="%2."/>
      <w:lvlJc w:val="left"/>
      <w:pPr>
        <w:ind w:left="720" w:hanging="360"/>
      </w:pPr>
    </w:lvl>
    <w:lvl w:ilvl="2" w:tplc="F796DF9E">
      <w:start w:val="1"/>
      <w:numFmt w:val="decimal"/>
      <w:lvlText w:val="%3."/>
      <w:lvlJc w:val="left"/>
      <w:pPr>
        <w:ind w:left="720" w:hanging="360"/>
      </w:pPr>
    </w:lvl>
    <w:lvl w:ilvl="3" w:tplc="6458D8CA">
      <w:start w:val="1"/>
      <w:numFmt w:val="decimal"/>
      <w:lvlText w:val="%4."/>
      <w:lvlJc w:val="left"/>
      <w:pPr>
        <w:ind w:left="720" w:hanging="360"/>
      </w:pPr>
    </w:lvl>
    <w:lvl w:ilvl="4" w:tplc="4710BCC2">
      <w:start w:val="1"/>
      <w:numFmt w:val="decimal"/>
      <w:lvlText w:val="%5."/>
      <w:lvlJc w:val="left"/>
      <w:pPr>
        <w:ind w:left="720" w:hanging="360"/>
      </w:pPr>
    </w:lvl>
    <w:lvl w:ilvl="5" w:tplc="100CDA0A">
      <w:start w:val="1"/>
      <w:numFmt w:val="decimal"/>
      <w:lvlText w:val="%6."/>
      <w:lvlJc w:val="left"/>
      <w:pPr>
        <w:ind w:left="720" w:hanging="360"/>
      </w:pPr>
    </w:lvl>
    <w:lvl w:ilvl="6" w:tplc="2FA42BAE">
      <w:start w:val="1"/>
      <w:numFmt w:val="decimal"/>
      <w:lvlText w:val="%7."/>
      <w:lvlJc w:val="left"/>
      <w:pPr>
        <w:ind w:left="720" w:hanging="360"/>
      </w:pPr>
    </w:lvl>
    <w:lvl w:ilvl="7" w:tplc="1A2A04C2">
      <w:start w:val="1"/>
      <w:numFmt w:val="decimal"/>
      <w:lvlText w:val="%8."/>
      <w:lvlJc w:val="left"/>
      <w:pPr>
        <w:ind w:left="720" w:hanging="360"/>
      </w:pPr>
    </w:lvl>
    <w:lvl w:ilvl="8" w:tplc="D15074EA">
      <w:start w:val="1"/>
      <w:numFmt w:val="decimal"/>
      <w:lvlText w:val="%9."/>
      <w:lvlJc w:val="left"/>
      <w:pPr>
        <w:ind w:left="720" w:hanging="360"/>
      </w:pPr>
    </w:lvl>
  </w:abstractNum>
  <w:num w:numId="1" w16cid:durableId="1816487952">
    <w:abstractNumId w:val="11"/>
  </w:num>
  <w:num w:numId="2" w16cid:durableId="379716589">
    <w:abstractNumId w:val="22"/>
  </w:num>
  <w:num w:numId="3" w16cid:durableId="1479614155">
    <w:abstractNumId w:val="7"/>
  </w:num>
  <w:num w:numId="4" w16cid:durableId="511799406">
    <w:abstractNumId w:val="13"/>
  </w:num>
  <w:num w:numId="5" w16cid:durableId="564728320">
    <w:abstractNumId w:val="20"/>
  </w:num>
  <w:num w:numId="6" w16cid:durableId="2093695897">
    <w:abstractNumId w:val="15"/>
  </w:num>
  <w:num w:numId="7" w16cid:durableId="1785267678">
    <w:abstractNumId w:val="6"/>
  </w:num>
  <w:num w:numId="8" w16cid:durableId="431632836">
    <w:abstractNumId w:val="5"/>
  </w:num>
  <w:num w:numId="9" w16cid:durableId="1609895735">
    <w:abstractNumId w:val="4"/>
  </w:num>
  <w:num w:numId="10" w16cid:durableId="1049302211">
    <w:abstractNumId w:val="3"/>
  </w:num>
  <w:num w:numId="11" w16cid:durableId="1905141946">
    <w:abstractNumId w:val="2"/>
  </w:num>
  <w:num w:numId="12" w16cid:durableId="2018842146">
    <w:abstractNumId w:val="1"/>
  </w:num>
  <w:num w:numId="13" w16cid:durableId="1480801957">
    <w:abstractNumId w:val="0"/>
  </w:num>
  <w:num w:numId="14" w16cid:durableId="1394541269">
    <w:abstractNumId w:val="1"/>
  </w:num>
  <w:num w:numId="15" w16cid:durableId="1811942442">
    <w:abstractNumId w:val="0"/>
  </w:num>
  <w:num w:numId="16" w16cid:durableId="969475176">
    <w:abstractNumId w:val="1"/>
  </w:num>
  <w:num w:numId="17" w16cid:durableId="975260354">
    <w:abstractNumId w:val="0"/>
  </w:num>
  <w:num w:numId="18" w16cid:durableId="763771842">
    <w:abstractNumId w:val="21"/>
  </w:num>
  <w:num w:numId="19" w16cid:durableId="1760903851">
    <w:abstractNumId w:val="8"/>
  </w:num>
  <w:num w:numId="20" w16cid:durableId="821778435">
    <w:abstractNumId w:val="17"/>
  </w:num>
  <w:num w:numId="21" w16cid:durableId="1270816983">
    <w:abstractNumId w:val="9"/>
  </w:num>
  <w:num w:numId="22" w16cid:durableId="1716463099">
    <w:abstractNumId w:val="25"/>
  </w:num>
  <w:num w:numId="23" w16cid:durableId="2051494568">
    <w:abstractNumId w:val="16"/>
  </w:num>
  <w:num w:numId="24" w16cid:durableId="1676957156">
    <w:abstractNumId w:val="12"/>
  </w:num>
  <w:num w:numId="25" w16cid:durableId="611941089">
    <w:abstractNumId w:val="24"/>
  </w:num>
  <w:num w:numId="26" w16cid:durableId="1443527856">
    <w:abstractNumId w:val="14"/>
  </w:num>
  <w:num w:numId="27" w16cid:durableId="1728454952">
    <w:abstractNumId w:val="26"/>
  </w:num>
  <w:num w:numId="28" w16cid:durableId="1801192437">
    <w:abstractNumId w:val="23"/>
  </w:num>
  <w:num w:numId="29" w16cid:durableId="883057714">
    <w:abstractNumId w:val="18"/>
  </w:num>
  <w:num w:numId="30" w16cid:durableId="471993457">
    <w:abstractNumId w:val="10"/>
  </w:num>
  <w:num w:numId="31" w16cid:durableId="525945877">
    <w:abstractNumId w:val="19"/>
  </w:num>
  <w:num w:numId="32" w16cid:durableId="1385063774">
    <w:abstractNumId w:val="1"/>
  </w:num>
  <w:num w:numId="33" w16cid:durableId="150505416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90"/>
    <w:rsid w:val="00001993"/>
    <w:rsid w:val="000165B0"/>
    <w:rsid w:val="00016BFF"/>
    <w:rsid w:val="00020E67"/>
    <w:rsid w:val="00024143"/>
    <w:rsid w:val="000302CB"/>
    <w:rsid w:val="00030D46"/>
    <w:rsid w:val="00032F9F"/>
    <w:rsid w:val="0003314D"/>
    <w:rsid w:val="000352CE"/>
    <w:rsid w:val="00036BDA"/>
    <w:rsid w:val="00037AE3"/>
    <w:rsid w:val="00044A73"/>
    <w:rsid w:val="000453DA"/>
    <w:rsid w:val="00045B45"/>
    <w:rsid w:val="00046BAC"/>
    <w:rsid w:val="00053353"/>
    <w:rsid w:val="00055F68"/>
    <w:rsid w:val="00072D06"/>
    <w:rsid w:val="000759D7"/>
    <w:rsid w:val="0009048D"/>
    <w:rsid w:val="00090C5C"/>
    <w:rsid w:val="00093502"/>
    <w:rsid w:val="00096F04"/>
    <w:rsid w:val="000B5BB8"/>
    <w:rsid w:val="000B662A"/>
    <w:rsid w:val="000D3CF3"/>
    <w:rsid w:val="000D4D04"/>
    <w:rsid w:val="000E6A66"/>
    <w:rsid w:val="000F0956"/>
    <w:rsid w:val="000F4B54"/>
    <w:rsid w:val="000F5288"/>
    <w:rsid w:val="0010334E"/>
    <w:rsid w:val="00106465"/>
    <w:rsid w:val="001114E2"/>
    <w:rsid w:val="001150A5"/>
    <w:rsid w:val="00115EF5"/>
    <w:rsid w:val="001161D6"/>
    <w:rsid w:val="00120CBF"/>
    <w:rsid w:val="001310CD"/>
    <w:rsid w:val="00131216"/>
    <w:rsid w:val="001366F0"/>
    <w:rsid w:val="00141D3E"/>
    <w:rsid w:val="0014623C"/>
    <w:rsid w:val="00151BCA"/>
    <w:rsid w:val="00153133"/>
    <w:rsid w:val="00157D7E"/>
    <w:rsid w:val="00167858"/>
    <w:rsid w:val="00176D30"/>
    <w:rsid w:val="00187720"/>
    <w:rsid w:val="00190992"/>
    <w:rsid w:val="0019507A"/>
    <w:rsid w:val="001A2EEC"/>
    <w:rsid w:val="001A3C87"/>
    <w:rsid w:val="001B05BD"/>
    <w:rsid w:val="001B16E8"/>
    <w:rsid w:val="001B25F3"/>
    <w:rsid w:val="001B7781"/>
    <w:rsid w:val="001C6A82"/>
    <w:rsid w:val="001D3BFB"/>
    <w:rsid w:val="001D651C"/>
    <w:rsid w:val="001E3BE9"/>
    <w:rsid w:val="001F1D5F"/>
    <w:rsid w:val="001F314A"/>
    <w:rsid w:val="00202A19"/>
    <w:rsid w:val="0020467E"/>
    <w:rsid w:val="002178DC"/>
    <w:rsid w:val="0022028B"/>
    <w:rsid w:val="00225659"/>
    <w:rsid w:val="00227EAD"/>
    <w:rsid w:val="002337AC"/>
    <w:rsid w:val="00235446"/>
    <w:rsid w:val="00235A6C"/>
    <w:rsid w:val="00236CA2"/>
    <w:rsid w:val="002443A6"/>
    <w:rsid w:val="0025533E"/>
    <w:rsid w:val="00263678"/>
    <w:rsid w:val="00272C0C"/>
    <w:rsid w:val="00276B2C"/>
    <w:rsid w:val="00284EA0"/>
    <w:rsid w:val="002862AA"/>
    <w:rsid w:val="00294741"/>
    <w:rsid w:val="00294968"/>
    <w:rsid w:val="002968C9"/>
    <w:rsid w:val="002A0854"/>
    <w:rsid w:val="002A1535"/>
    <w:rsid w:val="002B22C8"/>
    <w:rsid w:val="002C1D11"/>
    <w:rsid w:val="002C5235"/>
    <w:rsid w:val="002D1620"/>
    <w:rsid w:val="002D429A"/>
    <w:rsid w:val="002D5C6F"/>
    <w:rsid w:val="002E13B6"/>
    <w:rsid w:val="002E5374"/>
    <w:rsid w:val="002F66C8"/>
    <w:rsid w:val="002F72FA"/>
    <w:rsid w:val="0030447C"/>
    <w:rsid w:val="00307EC7"/>
    <w:rsid w:val="00314879"/>
    <w:rsid w:val="00320F4C"/>
    <w:rsid w:val="00322024"/>
    <w:rsid w:val="003222A6"/>
    <w:rsid w:val="00327255"/>
    <w:rsid w:val="00335873"/>
    <w:rsid w:val="00365730"/>
    <w:rsid w:val="0037194B"/>
    <w:rsid w:val="0037398D"/>
    <w:rsid w:val="003751FF"/>
    <w:rsid w:val="00376816"/>
    <w:rsid w:val="003819B7"/>
    <w:rsid w:val="00382314"/>
    <w:rsid w:val="00383074"/>
    <w:rsid w:val="00386CFF"/>
    <w:rsid w:val="003A0EA7"/>
    <w:rsid w:val="003A2717"/>
    <w:rsid w:val="003A4659"/>
    <w:rsid w:val="003A55EC"/>
    <w:rsid w:val="003A6978"/>
    <w:rsid w:val="003A7B73"/>
    <w:rsid w:val="003B20DE"/>
    <w:rsid w:val="003B4C81"/>
    <w:rsid w:val="003C4904"/>
    <w:rsid w:val="003D221C"/>
    <w:rsid w:val="003D2738"/>
    <w:rsid w:val="003D502F"/>
    <w:rsid w:val="003E022D"/>
    <w:rsid w:val="003E0578"/>
    <w:rsid w:val="003F4AEC"/>
    <w:rsid w:val="003F5B1B"/>
    <w:rsid w:val="003F6A6B"/>
    <w:rsid w:val="003F78C2"/>
    <w:rsid w:val="00401236"/>
    <w:rsid w:val="004027D5"/>
    <w:rsid w:val="00404F18"/>
    <w:rsid w:val="004108D3"/>
    <w:rsid w:val="004125A1"/>
    <w:rsid w:val="004133F9"/>
    <w:rsid w:val="00414332"/>
    <w:rsid w:val="00421D05"/>
    <w:rsid w:val="0042486F"/>
    <w:rsid w:val="00426606"/>
    <w:rsid w:val="00441F45"/>
    <w:rsid w:val="0045144F"/>
    <w:rsid w:val="00454057"/>
    <w:rsid w:val="00454BCF"/>
    <w:rsid w:val="00467E46"/>
    <w:rsid w:val="0047168D"/>
    <w:rsid w:val="00471DE4"/>
    <w:rsid w:val="0047389C"/>
    <w:rsid w:val="00486270"/>
    <w:rsid w:val="004930BB"/>
    <w:rsid w:val="004A2854"/>
    <w:rsid w:val="004B1834"/>
    <w:rsid w:val="004B29F8"/>
    <w:rsid w:val="004B3001"/>
    <w:rsid w:val="004B3A29"/>
    <w:rsid w:val="004C13EB"/>
    <w:rsid w:val="004C3BDA"/>
    <w:rsid w:val="004C3C2F"/>
    <w:rsid w:val="004C45F4"/>
    <w:rsid w:val="004C4A76"/>
    <w:rsid w:val="004D1ADF"/>
    <w:rsid w:val="004D542D"/>
    <w:rsid w:val="004D58AC"/>
    <w:rsid w:val="004E232F"/>
    <w:rsid w:val="004E307D"/>
    <w:rsid w:val="004E555E"/>
    <w:rsid w:val="004F5C23"/>
    <w:rsid w:val="00501A08"/>
    <w:rsid w:val="00501CBC"/>
    <w:rsid w:val="005055D5"/>
    <w:rsid w:val="00507DCC"/>
    <w:rsid w:val="00507EA4"/>
    <w:rsid w:val="005109B9"/>
    <w:rsid w:val="00511A54"/>
    <w:rsid w:val="00521559"/>
    <w:rsid w:val="0052774F"/>
    <w:rsid w:val="00530B9F"/>
    <w:rsid w:val="00530E98"/>
    <w:rsid w:val="005329FE"/>
    <w:rsid w:val="00533DA1"/>
    <w:rsid w:val="00546490"/>
    <w:rsid w:val="0055561F"/>
    <w:rsid w:val="0056578A"/>
    <w:rsid w:val="0056595B"/>
    <w:rsid w:val="00571196"/>
    <w:rsid w:val="00571C0D"/>
    <w:rsid w:val="00572C4C"/>
    <w:rsid w:val="00575910"/>
    <w:rsid w:val="0057605E"/>
    <w:rsid w:val="00576E09"/>
    <w:rsid w:val="00577261"/>
    <w:rsid w:val="0058024C"/>
    <w:rsid w:val="00581DB2"/>
    <w:rsid w:val="00582F5A"/>
    <w:rsid w:val="00583DDC"/>
    <w:rsid w:val="00585ED0"/>
    <w:rsid w:val="005873A9"/>
    <w:rsid w:val="00594747"/>
    <w:rsid w:val="00594844"/>
    <w:rsid w:val="005A646E"/>
    <w:rsid w:val="005A6F41"/>
    <w:rsid w:val="005A7AE7"/>
    <w:rsid w:val="005A7B0F"/>
    <w:rsid w:val="005D15B8"/>
    <w:rsid w:val="005D1E1A"/>
    <w:rsid w:val="005D519B"/>
    <w:rsid w:val="005E150A"/>
    <w:rsid w:val="005E5D6E"/>
    <w:rsid w:val="005E7DD5"/>
    <w:rsid w:val="005F1460"/>
    <w:rsid w:val="005F31CA"/>
    <w:rsid w:val="005F704C"/>
    <w:rsid w:val="006111D5"/>
    <w:rsid w:val="006111F5"/>
    <w:rsid w:val="00612DB0"/>
    <w:rsid w:val="00614B17"/>
    <w:rsid w:val="00623E11"/>
    <w:rsid w:val="00625036"/>
    <w:rsid w:val="00640779"/>
    <w:rsid w:val="006411DE"/>
    <w:rsid w:val="006412A7"/>
    <w:rsid w:val="00643E9A"/>
    <w:rsid w:val="006448C5"/>
    <w:rsid w:val="006458A5"/>
    <w:rsid w:val="006477B5"/>
    <w:rsid w:val="006555BD"/>
    <w:rsid w:val="006644A2"/>
    <w:rsid w:val="006654AC"/>
    <w:rsid w:val="006676E2"/>
    <w:rsid w:val="006741D4"/>
    <w:rsid w:val="00680C43"/>
    <w:rsid w:val="00682B8C"/>
    <w:rsid w:val="00685EB4"/>
    <w:rsid w:val="0068798C"/>
    <w:rsid w:val="006941D5"/>
    <w:rsid w:val="00694B9D"/>
    <w:rsid w:val="006A2BB4"/>
    <w:rsid w:val="006A4C05"/>
    <w:rsid w:val="006A7E90"/>
    <w:rsid w:val="006B1C14"/>
    <w:rsid w:val="006B2109"/>
    <w:rsid w:val="006B5540"/>
    <w:rsid w:val="006C2B84"/>
    <w:rsid w:val="006C3DFC"/>
    <w:rsid w:val="006D5D28"/>
    <w:rsid w:val="006E210A"/>
    <w:rsid w:val="006E260B"/>
    <w:rsid w:val="006E6CE8"/>
    <w:rsid w:val="006F5ECC"/>
    <w:rsid w:val="00702BE5"/>
    <w:rsid w:val="00711413"/>
    <w:rsid w:val="007155B8"/>
    <w:rsid w:val="00716D99"/>
    <w:rsid w:val="00721277"/>
    <w:rsid w:val="007252D9"/>
    <w:rsid w:val="00730308"/>
    <w:rsid w:val="007337B2"/>
    <w:rsid w:val="007373E7"/>
    <w:rsid w:val="007424F5"/>
    <w:rsid w:val="007434C1"/>
    <w:rsid w:val="0074442C"/>
    <w:rsid w:val="0075223F"/>
    <w:rsid w:val="00754C37"/>
    <w:rsid w:val="0077041C"/>
    <w:rsid w:val="00775592"/>
    <w:rsid w:val="00777A2F"/>
    <w:rsid w:val="00787B6E"/>
    <w:rsid w:val="0079155A"/>
    <w:rsid w:val="007A3489"/>
    <w:rsid w:val="007A75E1"/>
    <w:rsid w:val="007B01DC"/>
    <w:rsid w:val="007B448B"/>
    <w:rsid w:val="007B4F54"/>
    <w:rsid w:val="007B5701"/>
    <w:rsid w:val="007B62B5"/>
    <w:rsid w:val="007C5AB3"/>
    <w:rsid w:val="007E13A9"/>
    <w:rsid w:val="007E601C"/>
    <w:rsid w:val="007E78D0"/>
    <w:rsid w:val="007F43B0"/>
    <w:rsid w:val="007F5E1D"/>
    <w:rsid w:val="00812E94"/>
    <w:rsid w:val="00814DC5"/>
    <w:rsid w:val="008152E5"/>
    <w:rsid w:val="00822118"/>
    <w:rsid w:val="0082716E"/>
    <w:rsid w:val="00830A17"/>
    <w:rsid w:val="00832B27"/>
    <w:rsid w:val="008351F7"/>
    <w:rsid w:val="008446D5"/>
    <w:rsid w:val="008465DF"/>
    <w:rsid w:val="00853805"/>
    <w:rsid w:val="00855097"/>
    <w:rsid w:val="00857AA8"/>
    <w:rsid w:val="00863C53"/>
    <w:rsid w:val="00870508"/>
    <w:rsid w:val="00870F2F"/>
    <w:rsid w:val="00880C39"/>
    <w:rsid w:val="00882B9B"/>
    <w:rsid w:val="008854C8"/>
    <w:rsid w:val="00891E7D"/>
    <w:rsid w:val="008924D4"/>
    <w:rsid w:val="008926E4"/>
    <w:rsid w:val="008934B9"/>
    <w:rsid w:val="008A2229"/>
    <w:rsid w:val="008B46ED"/>
    <w:rsid w:val="008C180C"/>
    <w:rsid w:val="008C43FA"/>
    <w:rsid w:val="008C45B1"/>
    <w:rsid w:val="008C6EDB"/>
    <w:rsid w:val="008D1807"/>
    <w:rsid w:val="008D1B80"/>
    <w:rsid w:val="008D2029"/>
    <w:rsid w:val="008D4B2A"/>
    <w:rsid w:val="008D5616"/>
    <w:rsid w:val="008D5D95"/>
    <w:rsid w:val="008E5961"/>
    <w:rsid w:val="008E778C"/>
    <w:rsid w:val="008F2E4E"/>
    <w:rsid w:val="008F408C"/>
    <w:rsid w:val="008F4B28"/>
    <w:rsid w:val="008F7696"/>
    <w:rsid w:val="009113C7"/>
    <w:rsid w:val="00911AD9"/>
    <w:rsid w:val="00912E02"/>
    <w:rsid w:val="009201F2"/>
    <w:rsid w:val="00920595"/>
    <w:rsid w:val="00920846"/>
    <w:rsid w:val="00920A21"/>
    <w:rsid w:val="00926284"/>
    <w:rsid w:val="0093015C"/>
    <w:rsid w:val="0093389C"/>
    <w:rsid w:val="00943B46"/>
    <w:rsid w:val="00944DCE"/>
    <w:rsid w:val="00946D1E"/>
    <w:rsid w:val="009515D7"/>
    <w:rsid w:val="00951CB3"/>
    <w:rsid w:val="00953B05"/>
    <w:rsid w:val="009552F9"/>
    <w:rsid w:val="00957CAD"/>
    <w:rsid w:val="00960DA0"/>
    <w:rsid w:val="00965C00"/>
    <w:rsid w:val="009660DC"/>
    <w:rsid w:val="00967D5F"/>
    <w:rsid w:val="009701A9"/>
    <w:rsid w:val="00982DBF"/>
    <w:rsid w:val="00985126"/>
    <w:rsid w:val="009944D4"/>
    <w:rsid w:val="009A7FF6"/>
    <w:rsid w:val="009B6873"/>
    <w:rsid w:val="009C140B"/>
    <w:rsid w:val="009C3339"/>
    <w:rsid w:val="009C3A95"/>
    <w:rsid w:val="009C6886"/>
    <w:rsid w:val="009D0CF3"/>
    <w:rsid w:val="009D4CCF"/>
    <w:rsid w:val="009D4F45"/>
    <w:rsid w:val="009E4ACD"/>
    <w:rsid w:val="009E5005"/>
    <w:rsid w:val="009F19E4"/>
    <w:rsid w:val="009F4CD6"/>
    <w:rsid w:val="009F6A07"/>
    <w:rsid w:val="00A10362"/>
    <w:rsid w:val="00A11404"/>
    <w:rsid w:val="00A125B2"/>
    <w:rsid w:val="00A141C9"/>
    <w:rsid w:val="00A16C09"/>
    <w:rsid w:val="00A17723"/>
    <w:rsid w:val="00A24C52"/>
    <w:rsid w:val="00A25BA3"/>
    <w:rsid w:val="00A31F9F"/>
    <w:rsid w:val="00A369F3"/>
    <w:rsid w:val="00A37E53"/>
    <w:rsid w:val="00A50A1E"/>
    <w:rsid w:val="00A543D6"/>
    <w:rsid w:val="00A55E72"/>
    <w:rsid w:val="00A61330"/>
    <w:rsid w:val="00A661C3"/>
    <w:rsid w:val="00A67B8A"/>
    <w:rsid w:val="00A92D0E"/>
    <w:rsid w:val="00A939EC"/>
    <w:rsid w:val="00AA02A6"/>
    <w:rsid w:val="00AA2F41"/>
    <w:rsid w:val="00AA3192"/>
    <w:rsid w:val="00AA765C"/>
    <w:rsid w:val="00AA7D4C"/>
    <w:rsid w:val="00AB7501"/>
    <w:rsid w:val="00AC20F1"/>
    <w:rsid w:val="00AD1145"/>
    <w:rsid w:val="00AD3118"/>
    <w:rsid w:val="00AD3667"/>
    <w:rsid w:val="00AD571B"/>
    <w:rsid w:val="00AE583E"/>
    <w:rsid w:val="00AE5D15"/>
    <w:rsid w:val="00AE631D"/>
    <w:rsid w:val="00AE6860"/>
    <w:rsid w:val="00AE7D61"/>
    <w:rsid w:val="00AF05B3"/>
    <w:rsid w:val="00AF16EB"/>
    <w:rsid w:val="00B02289"/>
    <w:rsid w:val="00B14D2A"/>
    <w:rsid w:val="00B167CB"/>
    <w:rsid w:val="00B16E46"/>
    <w:rsid w:val="00B178F1"/>
    <w:rsid w:val="00B23FEC"/>
    <w:rsid w:val="00B262E2"/>
    <w:rsid w:val="00B373BD"/>
    <w:rsid w:val="00B50E21"/>
    <w:rsid w:val="00B5201B"/>
    <w:rsid w:val="00B527EA"/>
    <w:rsid w:val="00B54E5C"/>
    <w:rsid w:val="00B54EC1"/>
    <w:rsid w:val="00B55B94"/>
    <w:rsid w:val="00B60C12"/>
    <w:rsid w:val="00B612B3"/>
    <w:rsid w:val="00B65416"/>
    <w:rsid w:val="00B71621"/>
    <w:rsid w:val="00B7489C"/>
    <w:rsid w:val="00B74F64"/>
    <w:rsid w:val="00B7596B"/>
    <w:rsid w:val="00B8194C"/>
    <w:rsid w:val="00B863B0"/>
    <w:rsid w:val="00B936F1"/>
    <w:rsid w:val="00BB3270"/>
    <w:rsid w:val="00BC32F4"/>
    <w:rsid w:val="00BC744B"/>
    <w:rsid w:val="00BD4FAD"/>
    <w:rsid w:val="00BD7141"/>
    <w:rsid w:val="00BD74F7"/>
    <w:rsid w:val="00BE00A0"/>
    <w:rsid w:val="00C201F8"/>
    <w:rsid w:val="00C23AA4"/>
    <w:rsid w:val="00C24833"/>
    <w:rsid w:val="00C27052"/>
    <w:rsid w:val="00C350DC"/>
    <w:rsid w:val="00C40F3B"/>
    <w:rsid w:val="00C43705"/>
    <w:rsid w:val="00C504A6"/>
    <w:rsid w:val="00C50519"/>
    <w:rsid w:val="00C50710"/>
    <w:rsid w:val="00C52A94"/>
    <w:rsid w:val="00C6238B"/>
    <w:rsid w:val="00C63A74"/>
    <w:rsid w:val="00C63ADB"/>
    <w:rsid w:val="00C77896"/>
    <w:rsid w:val="00C77A77"/>
    <w:rsid w:val="00C85052"/>
    <w:rsid w:val="00C90953"/>
    <w:rsid w:val="00C93623"/>
    <w:rsid w:val="00C9392D"/>
    <w:rsid w:val="00CA0162"/>
    <w:rsid w:val="00CC1689"/>
    <w:rsid w:val="00CC386F"/>
    <w:rsid w:val="00CC6CC2"/>
    <w:rsid w:val="00CD018B"/>
    <w:rsid w:val="00CD04DD"/>
    <w:rsid w:val="00CD4400"/>
    <w:rsid w:val="00CE4C44"/>
    <w:rsid w:val="00CE5EE5"/>
    <w:rsid w:val="00CE68B7"/>
    <w:rsid w:val="00CF4C21"/>
    <w:rsid w:val="00CF788D"/>
    <w:rsid w:val="00D02DE1"/>
    <w:rsid w:val="00D111A6"/>
    <w:rsid w:val="00D13A9B"/>
    <w:rsid w:val="00D177DD"/>
    <w:rsid w:val="00D17F8E"/>
    <w:rsid w:val="00D30491"/>
    <w:rsid w:val="00D3291D"/>
    <w:rsid w:val="00D33603"/>
    <w:rsid w:val="00D348C2"/>
    <w:rsid w:val="00D45296"/>
    <w:rsid w:val="00D45554"/>
    <w:rsid w:val="00D55316"/>
    <w:rsid w:val="00D57467"/>
    <w:rsid w:val="00D614DC"/>
    <w:rsid w:val="00D63906"/>
    <w:rsid w:val="00D65100"/>
    <w:rsid w:val="00D65510"/>
    <w:rsid w:val="00D75B90"/>
    <w:rsid w:val="00D8479E"/>
    <w:rsid w:val="00D848DF"/>
    <w:rsid w:val="00D919B4"/>
    <w:rsid w:val="00D9463F"/>
    <w:rsid w:val="00D95641"/>
    <w:rsid w:val="00D969AF"/>
    <w:rsid w:val="00DA3CEB"/>
    <w:rsid w:val="00DB085C"/>
    <w:rsid w:val="00DB1F8B"/>
    <w:rsid w:val="00DB4181"/>
    <w:rsid w:val="00DB5151"/>
    <w:rsid w:val="00DB5625"/>
    <w:rsid w:val="00DC0AB5"/>
    <w:rsid w:val="00DC399A"/>
    <w:rsid w:val="00DD4EFE"/>
    <w:rsid w:val="00DE0952"/>
    <w:rsid w:val="00DE6B7F"/>
    <w:rsid w:val="00DF11B1"/>
    <w:rsid w:val="00DF5157"/>
    <w:rsid w:val="00E03695"/>
    <w:rsid w:val="00E04BAE"/>
    <w:rsid w:val="00E0522B"/>
    <w:rsid w:val="00E06082"/>
    <w:rsid w:val="00E23124"/>
    <w:rsid w:val="00E2679B"/>
    <w:rsid w:val="00E269BA"/>
    <w:rsid w:val="00E26F3D"/>
    <w:rsid w:val="00E31225"/>
    <w:rsid w:val="00E359C0"/>
    <w:rsid w:val="00E42E44"/>
    <w:rsid w:val="00E47B9D"/>
    <w:rsid w:val="00E54DD0"/>
    <w:rsid w:val="00E62321"/>
    <w:rsid w:val="00E6236B"/>
    <w:rsid w:val="00E65ADD"/>
    <w:rsid w:val="00E6716E"/>
    <w:rsid w:val="00E67CF0"/>
    <w:rsid w:val="00E7780E"/>
    <w:rsid w:val="00E8625B"/>
    <w:rsid w:val="00E9142E"/>
    <w:rsid w:val="00E95BD7"/>
    <w:rsid w:val="00E95BF1"/>
    <w:rsid w:val="00E96E69"/>
    <w:rsid w:val="00EA3755"/>
    <w:rsid w:val="00EA4676"/>
    <w:rsid w:val="00EA484D"/>
    <w:rsid w:val="00EC0A4F"/>
    <w:rsid w:val="00EC2E97"/>
    <w:rsid w:val="00EC356D"/>
    <w:rsid w:val="00EC4E90"/>
    <w:rsid w:val="00ED15D0"/>
    <w:rsid w:val="00ED473A"/>
    <w:rsid w:val="00EE011B"/>
    <w:rsid w:val="00EE612B"/>
    <w:rsid w:val="00EF1E77"/>
    <w:rsid w:val="00EF4C1D"/>
    <w:rsid w:val="00EF77FC"/>
    <w:rsid w:val="00EF7CFB"/>
    <w:rsid w:val="00EF7FAE"/>
    <w:rsid w:val="00F1657B"/>
    <w:rsid w:val="00F25F2B"/>
    <w:rsid w:val="00F260E5"/>
    <w:rsid w:val="00F30DB2"/>
    <w:rsid w:val="00F46546"/>
    <w:rsid w:val="00F47AD4"/>
    <w:rsid w:val="00F540B2"/>
    <w:rsid w:val="00F60CFC"/>
    <w:rsid w:val="00F619A7"/>
    <w:rsid w:val="00F76455"/>
    <w:rsid w:val="00F76625"/>
    <w:rsid w:val="00F767F6"/>
    <w:rsid w:val="00F76CB2"/>
    <w:rsid w:val="00F83A13"/>
    <w:rsid w:val="00F92A8A"/>
    <w:rsid w:val="00F97E71"/>
    <w:rsid w:val="00FA58D4"/>
    <w:rsid w:val="00FA6BE2"/>
    <w:rsid w:val="00FA7668"/>
    <w:rsid w:val="00FB2600"/>
    <w:rsid w:val="00FB2DAA"/>
    <w:rsid w:val="00FB48D2"/>
    <w:rsid w:val="00FB59B6"/>
    <w:rsid w:val="00FB7742"/>
    <w:rsid w:val="00FC7953"/>
    <w:rsid w:val="00FD5708"/>
    <w:rsid w:val="00FD6B48"/>
    <w:rsid w:val="00FE0CEA"/>
    <w:rsid w:val="00FE3A0D"/>
    <w:rsid w:val="00FE57F9"/>
    <w:rsid w:val="00FF2E2B"/>
    <w:rsid w:val="5BD19C7E"/>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DEEC2"/>
  <w15:docId w15:val="{B14CD61C-5478-48CC-AFC1-86E181C6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uiPriority w:val="34"/>
    <w:qFormat/>
    <w:rsid w:val="00B11335"/>
    <w:pPr>
      <w:ind w:left="720"/>
      <w:contextualSpacing/>
    </w:pPr>
  </w:style>
  <w:style w:type="paragraph" w:customStyle="1" w:styleId="Text">
    <w:name w:val="Text"/>
    <w:uiPriority w:val="99"/>
    <w:rsid w:val="008D3A7D"/>
    <w:pPr>
      <w:suppressAutoHyphens/>
      <w:autoSpaceDE w:val="0"/>
      <w:autoSpaceDN w:val="0"/>
      <w:adjustRightInd w:val="0"/>
      <w:spacing w:line="320" w:lineRule="atLeast"/>
      <w:jc w:val="both"/>
      <w:textAlignment w:val="center"/>
    </w:pPr>
    <w:rPr>
      <w:rFonts w:ascii="Neue Haas Grotesk Display Pro" w:hAnsi="Neue Haas Grotesk Display Pro" w:cs="Neue Haas Grotesk Display Pro"/>
      <w:color w:val="000000"/>
      <w:spacing w:val="2"/>
      <w:sz w:val="24"/>
      <w:szCs w:val="24"/>
    </w:rPr>
  </w:style>
  <w:style w:type="numbering" w:customStyle="1" w:styleId="111111">
    <w:name w:val="111111"/>
    <w:pPr>
      <w:numPr>
        <w:numId w:val="4"/>
      </w:numPr>
    </w:pPr>
  </w:style>
  <w:style w:type="numbering" w:customStyle="1" w:styleId="ArticleSection0">
    <w:name w:val="ArticleSection"/>
    <w:pPr>
      <w:numPr>
        <w:numId w:val="6"/>
      </w:numPr>
    </w:pPr>
  </w:style>
  <w:style w:type="numbering" w:customStyle="1" w:styleId="1ai">
    <w:name w:val="1ai"/>
    <w:pPr>
      <w:numPr>
        <w:numId w:val="5"/>
      </w:numPr>
    </w:pPr>
  </w:style>
  <w:style w:type="paragraph" w:styleId="Lgende">
    <w:name w:val="caption"/>
    <w:basedOn w:val="Normal"/>
    <w:next w:val="Normal"/>
    <w:semiHidden/>
    <w:unhideWhenUsed/>
    <w:rsid w:val="00AE6860"/>
    <w:pPr>
      <w:spacing w:after="200" w:line="240" w:lineRule="auto"/>
    </w:pPr>
    <w:rPr>
      <w:i/>
      <w:iCs/>
      <w:color w:val="252B46" w:themeColor="text2"/>
      <w:sz w:val="18"/>
      <w:szCs w:val="18"/>
    </w:rPr>
  </w:style>
  <w:style w:type="paragraph" w:styleId="Rvision">
    <w:name w:val="Revision"/>
    <w:hidden/>
    <w:semiHidden/>
    <w:rsid w:val="005E5D6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www.polyhandicap.ch" TargetMode="External"/><Relationship Id="rId26" Type="http://schemas.openxmlformats.org/officeDocument/2006/relationships/hyperlink" Target="https://api.semanticscholar.org/CorpusID:141626706" TargetMode="External"/><Relationship Id="rId3" Type="http://schemas.openxmlformats.org/officeDocument/2006/relationships/customXml" Target="../customXml/item3.xml"/><Relationship Id="rId21" Type="http://schemas.openxmlformats.org/officeDocument/2006/relationships/hyperlink" Target="mailto:juliane.dind@unifr.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polyhandicap.ch/" TargetMode="External"/><Relationship Id="rId25" Type="http://schemas.openxmlformats.org/officeDocument/2006/relationships/hyperlink" Target="https://doi.org/10.1177/07067437020470011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wb.gov.wales/curriculum-for-wales/routes-for-learning/" TargetMode="External"/><Relationship Id="rId20" Type="http://schemas.openxmlformats.org/officeDocument/2006/relationships/image" Target="media/image6.png"/><Relationship Id="rId29" Type="http://schemas.openxmlformats.org/officeDocument/2006/relationships/hyperlink" Target="https://www.ingentaconnect.com/contentone/bild/sld/2018/00000079/00000001/art0000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5" TargetMode="External"/><Relationship Id="rId24" Type="http://schemas.openxmlformats.org/officeDocument/2006/relationships/hyperlink" Target="https://doi.org/10.1111/jar.12803"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archipel.uqam.ca/secure/id/eprint/1964" TargetMode="External"/><Relationship Id="rId28" Type="http://schemas.openxmlformats.org/officeDocument/2006/relationships/hyperlink" Target="http://ccsg.isr.umich.edu/"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doi.org/10.13140/RG.2.1.2157.7041" TargetMode="External"/><Relationship Id="rId27" Type="http://schemas.openxmlformats.org/officeDocument/2006/relationships/hyperlink" Target="https://research.manchester.ac.uk/en/publications/routes-for-learning-professionals-implementation-of-the-approach-/"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78CE7E66-C436-4785-B708-1881719DE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2928</Words>
  <Characters>16690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En Route pour Apprendre_x000d_</vt:lpstr>
    </vt:vector>
  </TitlesOfParts>
  <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Route pour Apprendre</dc:title>
  <dc:subject/>
  <dc:creator>Juliane Dind</dc:creator>
  <cp:keywords>cognition, communication, compétence, évaluation, polyhandicap/Erkenntnis, Evaluation, Kommunikation, Kompetenz, Mehrfachbehinderung,</cp:keywords>
  <cp:lastModifiedBy>Morand, Robin</cp:lastModifiedBy>
  <cp:revision>220</cp:revision>
  <cp:lastPrinted>2026-05-28T20:13:00Z</cp:lastPrinted>
  <dcterms:created xsi:type="dcterms:W3CDTF">2026-03-13T09:59:00Z</dcterms:created>
  <dcterms:modified xsi:type="dcterms:W3CDTF">2026-05-28T20:14:00Z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