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DEF27" w14:textId="77777777" w:rsidR="00A26905" w:rsidRPr="006F0019" w:rsidRDefault="00A26905" w:rsidP="00BE5D3C">
      <w:pPr>
        <w:pStyle w:val="Titel"/>
        <w:suppressAutoHyphens/>
        <w:rPr>
          <w:rFonts w:cs="Open Sans SemiCondensed"/>
          <w:lang w:val="fr-CH"/>
        </w:rPr>
      </w:pPr>
      <w:r w:rsidRPr="006F0019">
        <w:rPr>
          <w:rFonts w:cs="Open Sans SemiCondensed"/>
          <w:lang w:val="fr-CH"/>
        </w:rPr>
        <w:t>Le comportement adaptatif des enfants et des jeunes présentant une déficience visuelle</w:t>
      </w:r>
    </w:p>
    <w:p w14:paraId="0C085D41" w14:textId="77777777" w:rsidR="009D1208" w:rsidRPr="00233777" w:rsidRDefault="009D1208" w:rsidP="009D1208">
      <w:pPr>
        <w:pStyle w:val="Untertitel"/>
        <w:rPr>
          <w:b/>
          <w:lang w:val="fr-CH"/>
        </w:rPr>
      </w:pPr>
      <w:r w:rsidRPr="00233777">
        <w:rPr>
          <w:lang w:val="fr-CH"/>
        </w:rPr>
        <w:t>Examen de la portée (</w:t>
      </w:r>
      <w:r w:rsidRPr="00233777">
        <w:rPr>
          <w:i/>
          <w:lang w:val="fr-CH"/>
        </w:rPr>
        <w:t>Scoping Review</w:t>
      </w:r>
      <w:r w:rsidRPr="00233777">
        <w:rPr>
          <w:lang w:val="fr-CH"/>
        </w:rPr>
        <w:t>)</w:t>
      </w:r>
    </w:p>
    <w:p w14:paraId="5986B6C0" w14:textId="77777777" w:rsidR="001820A7" w:rsidRPr="00233777" w:rsidRDefault="001820A7" w:rsidP="001820A7">
      <w:pPr>
        <w:pStyle w:val="Author"/>
      </w:pPr>
      <w:r w:rsidRPr="00233777">
        <w:t>Valerie Caron, Stefania Garbellini et Geneviève Petitpierre</w:t>
      </w:r>
    </w:p>
    <w:p w14:paraId="4DA116CC" w14:textId="2C1EFEFC" w:rsidR="000352CE" w:rsidRPr="00233777" w:rsidRDefault="004C13EB" w:rsidP="000352CE">
      <w:pPr>
        <w:pStyle w:val="Abstract"/>
        <w:rPr>
          <w:rFonts w:cs="Open Sans SemiCondensed"/>
          <w:lang w:val="fr-CH"/>
        </w:rPr>
      </w:pPr>
      <w:r w:rsidRPr="00233777">
        <w:rPr>
          <w:rFonts w:cs="Open Sans SemiCondensed"/>
          <w:lang w:val="fr-CH"/>
        </w:rPr>
        <w:t>Résumé</w:t>
      </w:r>
      <w:r w:rsidR="000352CE" w:rsidRPr="00233777">
        <w:rPr>
          <w:rFonts w:cs="Open Sans SemiCondensed"/>
          <w:lang w:val="fr-CH"/>
        </w:rPr>
        <w:br/>
      </w:r>
      <w:r w:rsidR="00B94549" w:rsidRPr="00233777">
        <w:rPr>
          <w:lang w:val="fr-CH" w:eastAsia="fr-FR"/>
        </w:rPr>
        <w:t>La déficience visuelle, qui se manifeste sur un spectre allant de la basse vision à la cécité totale, peut impacter le comportement adaptatif de manière variable. En ce sens,</w:t>
      </w:r>
      <w:r w:rsidR="00B94549" w:rsidRPr="00233777">
        <w:rPr>
          <w:lang w:val="fr-CH"/>
        </w:rPr>
        <w:t xml:space="preserve"> l’évaluation du comportement adaptatif (CA) à partir d’instruments validés peut être utile dans le contexte de l’intervention comme dans la recherche, car elle permet de situer les individus par rapport à la norme et de déterminer les apprentissages prioritaires. Cet article vise à présenter une synthèse des connaissances scientifiques issues d’une revue de littérature (scoping review) ayant analysé neuf articles portant spécifiquement sur ce thème. L’analyse des articles a permis de mettre non seulement en évidence des tendances de CA souvent plus bas que les pairs voyants, mais aussi d’identifier les sous-domaines qui représentent des forces.</w:t>
      </w:r>
    </w:p>
    <w:p w14:paraId="37F46F92" w14:textId="0D5BA7B2" w:rsidR="001114E2" w:rsidRPr="00233777" w:rsidRDefault="00985126" w:rsidP="49A970F3">
      <w:pPr>
        <w:pStyle w:val="Abstract"/>
        <w:rPr>
          <w:lang w:val="fr-CH"/>
        </w:rPr>
      </w:pPr>
      <w:r w:rsidRPr="2F4F3153">
        <w:rPr>
          <w:rFonts w:cs="Open Sans SemiCondensed"/>
          <w:lang w:val="fr-CH"/>
        </w:rPr>
        <w:t>Zusammenfassung</w:t>
      </w:r>
      <w:r>
        <w:br/>
      </w:r>
      <w:r w:rsidR="402C97D2">
        <w:t>Sehbehinderungen, di</w:t>
      </w:r>
      <w:r w:rsidR="081CD5A4">
        <w:t xml:space="preserve">e </w:t>
      </w:r>
      <w:r w:rsidR="402C97D2">
        <w:t xml:space="preserve">ein Spektrum von </w:t>
      </w:r>
      <w:r w:rsidR="44C8D2BA">
        <w:t>Low Vision</w:t>
      </w:r>
      <w:r w:rsidR="4CECC879">
        <w:t xml:space="preserve"> </w:t>
      </w:r>
      <w:r w:rsidR="402C97D2">
        <w:t xml:space="preserve">bis hin zu völliger Blindheit </w:t>
      </w:r>
      <w:r w:rsidR="094C7310">
        <w:t>umfassen</w:t>
      </w:r>
      <w:r w:rsidR="402C97D2">
        <w:t xml:space="preserve">, können das adaptive Verhalten unterschiedlich beeinflussen. In diesem Sinn kann </w:t>
      </w:r>
      <w:r w:rsidR="0D7F2BD8">
        <w:t xml:space="preserve">es nützlich sein, </w:t>
      </w:r>
      <w:r w:rsidR="402C97D2">
        <w:t>d</w:t>
      </w:r>
      <w:r w:rsidR="4FEF9B74">
        <w:t>a</w:t>
      </w:r>
      <w:r w:rsidR="402C97D2">
        <w:t xml:space="preserve">s adaptive Verhalten anhand validierter Instrumente sowohl im Interventions- als auch im Forschungskontext </w:t>
      </w:r>
      <w:r w:rsidR="4831D93B">
        <w:t>zu bewerten</w:t>
      </w:r>
      <w:r w:rsidR="41EE2254">
        <w:t xml:space="preserve">. Denn </w:t>
      </w:r>
      <w:r w:rsidR="4A0D3732">
        <w:t xml:space="preserve">diese Bewertung </w:t>
      </w:r>
      <w:r w:rsidR="402C97D2">
        <w:t>ermöglicht</w:t>
      </w:r>
      <w:r w:rsidR="1D9D3D28">
        <w:t xml:space="preserve"> es</w:t>
      </w:r>
      <w:r w:rsidR="402C97D2">
        <w:t xml:space="preserve">, Individuen in Bezug auf die Norm zu </w:t>
      </w:r>
      <w:r w:rsidR="7E6E05D7">
        <w:t>verort</w:t>
      </w:r>
      <w:r w:rsidR="402C97D2">
        <w:t xml:space="preserve">en und prioritäre Lernprozesse zu bestimmen. Dieser Artikel </w:t>
      </w:r>
      <w:r w:rsidR="3EE7E751">
        <w:t>fasst die</w:t>
      </w:r>
      <w:r w:rsidR="402C97D2">
        <w:t xml:space="preserve"> wissenschaftlichen Erkenntnisse a</w:t>
      </w:r>
      <w:r w:rsidR="6BA64BAE">
        <w:t xml:space="preserve">nhand </w:t>
      </w:r>
      <w:r w:rsidR="402C97D2">
        <w:t xml:space="preserve">einer Literaturübersicht (scoping review) </w:t>
      </w:r>
      <w:r w:rsidR="32670C54">
        <w:t>zusammen</w:t>
      </w:r>
      <w:r w:rsidR="402C97D2">
        <w:t xml:space="preserve">, in </w:t>
      </w:r>
      <w:r w:rsidR="074B509E">
        <w:t xml:space="preserve">welcher </w:t>
      </w:r>
      <w:r w:rsidR="402C97D2">
        <w:t xml:space="preserve">neun Artikel analysiert wurden, die sich mit diesem Thema befassten. </w:t>
      </w:r>
      <w:r w:rsidR="0049CFCE">
        <w:t xml:space="preserve">Es zeigt sich einerseits </w:t>
      </w:r>
      <w:r w:rsidR="6A75407C">
        <w:t xml:space="preserve">die </w:t>
      </w:r>
      <w:r w:rsidR="0049CFCE">
        <w:t>Tendenz</w:t>
      </w:r>
      <w:r w:rsidR="2E2AB0C0">
        <w:t xml:space="preserve">, </w:t>
      </w:r>
      <w:r w:rsidR="64685315">
        <w:t xml:space="preserve">dass </w:t>
      </w:r>
      <w:r w:rsidR="2E2AB0C0">
        <w:t xml:space="preserve">das </w:t>
      </w:r>
      <w:r w:rsidR="402C97D2">
        <w:t xml:space="preserve">adaptive Verhalten </w:t>
      </w:r>
      <w:r w:rsidR="408662D7">
        <w:t xml:space="preserve">bei Personen mit </w:t>
      </w:r>
      <w:r w:rsidR="0A5E6E1D">
        <w:t xml:space="preserve">einer </w:t>
      </w:r>
      <w:r w:rsidR="408662D7">
        <w:t xml:space="preserve">Sehbehinderung </w:t>
      </w:r>
      <w:r w:rsidR="32EAFB1D">
        <w:t xml:space="preserve">häufig tiefer ausfällt als </w:t>
      </w:r>
      <w:r w:rsidR="402C97D2">
        <w:t>bei sehenden Gleichaltrigen</w:t>
      </w:r>
      <w:r w:rsidR="6317A60F">
        <w:t>. G</w:t>
      </w:r>
      <w:r w:rsidR="4C00E6EE">
        <w:t xml:space="preserve">leichzeitig wurden </w:t>
      </w:r>
      <w:r w:rsidR="33415B28">
        <w:t xml:space="preserve">aber </w:t>
      </w:r>
      <w:r w:rsidR="04226AB9">
        <w:t xml:space="preserve">auch </w:t>
      </w:r>
      <w:r w:rsidR="402C97D2">
        <w:t xml:space="preserve">Unterbereiche identifiziert, die Stärken </w:t>
      </w:r>
      <w:r w:rsidR="7DD4B924">
        <w:t>aufzeig</w:t>
      </w:r>
      <w:r w:rsidR="402C97D2">
        <w:t>e</w:t>
      </w:r>
      <w:r w:rsidR="5F917478">
        <w:t>n.</w:t>
      </w:r>
    </w:p>
    <w:p w14:paraId="3768F740" w14:textId="215664D8" w:rsidR="00EA4676" w:rsidRPr="00233777" w:rsidRDefault="00EA4676" w:rsidP="49A970F3">
      <w:pPr>
        <w:pStyle w:val="Textkrper3"/>
        <w:rPr>
          <w:rStyle w:val="Fett"/>
          <w:rFonts w:cs="Open Sans SemiCondensed"/>
          <w:b w:val="0"/>
          <w:bCs w:val="0"/>
          <w:lang w:val="fr-CH"/>
        </w:rPr>
      </w:pPr>
      <w:r w:rsidRPr="2F4F3153">
        <w:rPr>
          <w:rStyle w:val="Fett"/>
          <w:rFonts w:cs="Open Sans SemiCondensed"/>
          <w:lang w:val="fr-CH"/>
        </w:rPr>
        <w:t>Keywords</w:t>
      </w:r>
      <w:r w:rsidRPr="2F4F3153">
        <w:rPr>
          <w:lang w:val="fr-CH"/>
        </w:rPr>
        <w:t xml:space="preserve">: </w:t>
      </w:r>
      <w:r w:rsidR="0050104B" w:rsidRPr="2F4F3153">
        <w:rPr>
          <w:lang w:val="fr-CH"/>
        </w:rPr>
        <w:t xml:space="preserve">comportement adaptatif, </w:t>
      </w:r>
      <w:r w:rsidR="00F11EF0" w:rsidRPr="2F4F3153">
        <w:rPr>
          <w:lang w:val="fr-CH"/>
        </w:rPr>
        <w:t>déficience visuelle</w:t>
      </w:r>
      <w:r w:rsidR="00A449EE" w:rsidRPr="2F4F3153">
        <w:rPr>
          <w:lang w:val="fr-CH"/>
        </w:rPr>
        <w:t xml:space="preserve"> / </w:t>
      </w:r>
      <w:r w:rsidR="40AAE714" w:rsidRPr="2F4F3153">
        <w:rPr>
          <w:rStyle w:val="Fett"/>
          <w:rFonts w:cs="Open Sans SemiCondensed"/>
          <w:b w:val="0"/>
          <w:bCs w:val="0"/>
          <w:lang w:val="fr-CH"/>
        </w:rPr>
        <w:t xml:space="preserve">adaptives Verhalten, </w:t>
      </w:r>
      <w:r w:rsidR="47117D78" w:rsidRPr="2F4F3153">
        <w:rPr>
          <w:rStyle w:val="Fett"/>
          <w:rFonts w:cs="Open Sans SemiCondensed"/>
          <w:b w:val="0"/>
          <w:bCs w:val="0"/>
          <w:lang w:val="fr-CH"/>
        </w:rPr>
        <w:t>Sehb</w:t>
      </w:r>
      <w:r w:rsidR="5155EF99" w:rsidRPr="2F4F3153">
        <w:rPr>
          <w:rStyle w:val="Fett"/>
          <w:rFonts w:cs="Open Sans SemiCondensed"/>
          <w:b w:val="0"/>
          <w:bCs w:val="0"/>
          <w:lang w:val="fr-CH"/>
        </w:rPr>
        <w:t>ehinderung</w:t>
      </w:r>
    </w:p>
    <w:p w14:paraId="50E22977" w14:textId="3757F0AC" w:rsidR="001D3BFB" w:rsidRPr="00233777" w:rsidRDefault="00EA4676" w:rsidP="00C24833">
      <w:pPr>
        <w:pStyle w:val="Textkrper3"/>
        <w:rPr>
          <w:rFonts w:cs="Open Sans SemiCondensed"/>
          <w:bCs/>
          <w:iCs/>
          <w:color w:val="CF3649"/>
          <w:lang w:val="fr-CH"/>
        </w:rPr>
      </w:pPr>
      <w:r w:rsidRPr="00233777">
        <w:rPr>
          <w:rStyle w:val="Fett"/>
          <w:rFonts w:cs="Open Sans SemiCondensed"/>
          <w:lang w:val="fr-CH"/>
        </w:rPr>
        <w:t>DOI</w:t>
      </w:r>
      <w:r w:rsidRPr="00233777">
        <w:rPr>
          <w:rFonts w:cs="Open Sans SemiCondensed"/>
          <w:lang w:val="fr-CH"/>
        </w:rPr>
        <w:t xml:space="preserve">: </w:t>
      </w:r>
      <w:hyperlink r:id="rId11" w:history="1">
        <w:r w:rsidR="00E869A3" w:rsidRPr="00B55564">
          <w:rPr>
            <w:rStyle w:val="Hyperlink"/>
            <w:rFonts w:cs="Open Sans SemiCondensed"/>
            <w:lang w:val="fr-CH"/>
          </w:rPr>
          <w:t>https://doi.org/10.57161/r2024-01-08</w:t>
        </w:r>
      </w:hyperlink>
      <w:r w:rsidR="00E869A3">
        <w:rPr>
          <w:rFonts w:cs="Open Sans SemiCondensed"/>
          <w:bCs/>
          <w:iCs/>
          <w:lang w:val="fr-CH"/>
        </w:rPr>
        <w:t xml:space="preserve"> </w:t>
      </w:r>
    </w:p>
    <w:p w14:paraId="0F5DA48F" w14:textId="3C726851" w:rsidR="00EA4676" w:rsidRPr="00233777" w:rsidRDefault="00EA4676" w:rsidP="00C24833">
      <w:pPr>
        <w:pStyle w:val="Textkrper3"/>
        <w:rPr>
          <w:lang w:val="fr-CH"/>
        </w:rPr>
      </w:pPr>
      <w:r w:rsidRPr="00233777">
        <w:rPr>
          <w:lang w:val="fr-CH"/>
        </w:rPr>
        <w:t>Revue Suisse de Pédagogie Spécialisée, Vol.</w:t>
      </w:r>
      <w:r w:rsidR="004457B0">
        <w:rPr>
          <w:lang w:val="fr-CH"/>
        </w:rPr>
        <w:t> </w:t>
      </w:r>
      <w:r w:rsidR="00037AE3" w:rsidRPr="00233777">
        <w:rPr>
          <w:lang w:val="fr-CH"/>
        </w:rPr>
        <w:t>14</w:t>
      </w:r>
      <w:r w:rsidRPr="00233777">
        <w:rPr>
          <w:lang w:val="fr-CH"/>
        </w:rPr>
        <w:t xml:space="preserve">, </w:t>
      </w:r>
      <w:r w:rsidR="00037AE3" w:rsidRPr="00233777">
        <w:rPr>
          <w:lang w:val="fr-CH"/>
        </w:rPr>
        <w:t>01</w:t>
      </w:r>
      <w:r w:rsidRPr="00233777">
        <w:rPr>
          <w:lang w:val="fr-CH"/>
        </w:rPr>
        <w:t>/</w:t>
      </w:r>
      <w:r w:rsidR="00037AE3" w:rsidRPr="00233777">
        <w:rPr>
          <w:lang w:val="fr-CH"/>
        </w:rPr>
        <w:t>2024</w:t>
      </w:r>
    </w:p>
    <w:p w14:paraId="167EABC3" w14:textId="77777777" w:rsidR="000E6A66" w:rsidRPr="00233777" w:rsidRDefault="000E6A66" w:rsidP="00C24833">
      <w:pPr>
        <w:pStyle w:val="Textkrper3"/>
        <w:rPr>
          <w:lang w:val="fr-CH"/>
        </w:rPr>
      </w:pPr>
      <w:r w:rsidRPr="00233777">
        <w:rPr>
          <w:noProof/>
          <w:lang w:val="fr-CH"/>
        </w:rPr>
        <w:drawing>
          <wp:inline distT="0" distB="0" distL="0" distR="0" wp14:anchorId="1B8A0ED8" wp14:editId="1A68270C">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083EBBC" w14:textId="77777777" w:rsidR="00257801" w:rsidRPr="00233777" w:rsidRDefault="00257801" w:rsidP="00257801">
      <w:pPr>
        <w:pStyle w:val="berschrift1"/>
        <w:rPr>
          <w:lang w:val="fr-CH"/>
        </w:rPr>
      </w:pPr>
      <w:bookmarkStart w:id="0" w:name="heading-2"/>
      <w:r w:rsidRPr="00233777">
        <w:rPr>
          <w:lang w:val="fr-CH"/>
        </w:rPr>
        <w:t>Le comportement adaptatif</w:t>
      </w:r>
    </w:p>
    <w:p w14:paraId="5B5093EA" w14:textId="03A4F51D" w:rsidR="00775795" w:rsidRPr="00233777" w:rsidRDefault="00775795" w:rsidP="00775795">
      <w:pPr>
        <w:pStyle w:val="Textkrper"/>
        <w:rPr>
          <w:iCs/>
          <w:lang w:val="fr-CH"/>
        </w:rPr>
      </w:pPr>
      <w:r w:rsidRPr="00233777">
        <w:rPr>
          <w:lang w:val="fr-CH"/>
        </w:rPr>
        <w:t>Des déficits du comportement adaptatif (CA) traduisent des difficultés à fonctionner dans les milieux naturels, à exécuter et/ou assurer certaines activités ou responsabilités quotidiennes, ce qui peut impacter la participation sociale et l’indépendance des individus dans leurs différents contextes de vie</w:t>
      </w:r>
      <w:r w:rsidRPr="00233777">
        <w:rPr>
          <w:color w:val="000000"/>
          <w:lang w:val="fr-CH"/>
        </w:rPr>
        <w:t xml:space="preserve"> (</w:t>
      </w:r>
      <w:r w:rsidRPr="00233777">
        <w:rPr>
          <w:lang w:val="fr-CH"/>
        </w:rPr>
        <w:t xml:space="preserve">Schalock et al., 2021). En ce </w:t>
      </w:r>
      <w:r w:rsidRPr="00233777">
        <w:rPr>
          <w:color w:val="000000"/>
          <w:lang w:val="fr-CH"/>
        </w:rPr>
        <w:t>sens,</w:t>
      </w:r>
      <w:r w:rsidR="0017053F">
        <w:rPr>
          <w:color w:val="000000"/>
          <w:lang w:val="fr-CH"/>
        </w:rPr>
        <w:t xml:space="preserve"> l’</w:t>
      </w:r>
      <w:r w:rsidRPr="00233777">
        <w:rPr>
          <w:lang w:val="fr-CH"/>
        </w:rPr>
        <w:t xml:space="preserve">évaluation du CA peut être utile à plusieurs égards. D’abord, elle permet de situer les habiletés des personnes dans les trois domaines proposés par </w:t>
      </w:r>
      <w:r w:rsidRPr="00233777">
        <w:rPr>
          <w:iCs/>
          <w:lang w:val="fr-CH"/>
        </w:rPr>
        <w:t>l</w:t>
      </w:r>
      <w:r w:rsidRPr="00233777">
        <w:rPr>
          <w:i/>
          <w:iCs/>
          <w:lang w:val="fr-CH"/>
        </w:rPr>
        <w:t>’</w:t>
      </w:r>
      <w:r w:rsidRPr="00233777">
        <w:rPr>
          <w:i/>
          <w:lang w:val="fr-CH"/>
        </w:rPr>
        <w:t>American Association on Intellectual and Developmental Disabilities</w:t>
      </w:r>
      <w:r w:rsidRPr="00233777">
        <w:rPr>
          <w:sz w:val="16"/>
          <w:szCs w:val="16"/>
          <w:lang w:val="fr-CH"/>
        </w:rPr>
        <w:t xml:space="preserve"> </w:t>
      </w:r>
      <w:r w:rsidRPr="00233777">
        <w:rPr>
          <w:lang w:val="fr-CH"/>
        </w:rPr>
        <w:t>(</w:t>
      </w:r>
      <w:r w:rsidRPr="00233777">
        <w:rPr>
          <w:iCs/>
          <w:lang w:val="fr-CH"/>
        </w:rPr>
        <w:t>AAIDD) (Schalock et al., 2021), soit :</w:t>
      </w:r>
    </w:p>
    <w:p w14:paraId="3D476F38" w14:textId="3C208230" w:rsidR="00775795" w:rsidRPr="00BE5D3C" w:rsidRDefault="00FA3ADB" w:rsidP="004B05CB">
      <w:pPr>
        <w:pStyle w:val="Listennummer"/>
        <w:numPr>
          <w:ilvl w:val="0"/>
          <w:numId w:val="4"/>
        </w:numPr>
        <w:ind w:left="567" w:hanging="283"/>
      </w:pPr>
      <w:r w:rsidRPr="00A707F8">
        <w:rPr>
          <w:u w:val="single"/>
        </w:rPr>
        <w:t>Le</w:t>
      </w:r>
      <w:r w:rsidR="001F1E1E" w:rsidRPr="00A707F8">
        <w:rPr>
          <w:u w:val="single"/>
        </w:rPr>
        <w:t xml:space="preserve"> d</w:t>
      </w:r>
      <w:r w:rsidR="00775795" w:rsidRPr="00A707F8">
        <w:rPr>
          <w:u w:val="single"/>
        </w:rPr>
        <w:t>omaine conceptuel</w:t>
      </w:r>
      <w:r w:rsidR="00775795" w:rsidRPr="00BE5D3C">
        <w:t> : le langage réceptif et expressif, la lecture, l’écriture, l’orientation spatiale, l’heure ;</w:t>
      </w:r>
    </w:p>
    <w:p w14:paraId="788290CE" w14:textId="206FF039" w:rsidR="00775795" w:rsidRPr="00BE5D3C" w:rsidRDefault="00FA3ADB" w:rsidP="004B05CB">
      <w:pPr>
        <w:pStyle w:val="Listennummer"/>
        <w:numPr>
          <w:ilvl w:val="0"/>
          <w:numId w:val="4"/>
        </w:numPr>
        <w:ind w:left="567" w:hanging="283"/>
      </w:pPr>
      <w:r w:rsidRPr="00A707F8">
        <w:rPr>
          <w:u w:val="single"/>
        </w:rPr>
        <w:t>Le</w:t>
      </w:r>
      <w:r w:rsidR="001F1E1E" w:rsidRPr="00A707F8">
        <w:rPr>
          <w:u w:val="single"/>
        </w:rPr>
        <w:t xml:space="preserve"> d</w:t>
      </w:r>
      <w:r w:rsidR="00775795" w:rsidRPr="00A707F8">
        <w:rPr>
          <w:u w:val="single"/>
        </w:rPr>
        <w:t>omaine pratique</w:t>
      </w:r>
      <w:r w:rsidR="00775795" w:rsidRPr="00BE5D3C">
        <w:t> : les activités de la vie quotidienne, la sécurité, les soins ;</w:t>
      </w:r>
    </w:p>
    <w:p w14:paraId="43FA2A65" w14:textId="4803F0DD" w:rsidR="00775795" w:rsidRPr="00233777" w:rsidRDefault="00FA3ADB" w:rsidP="004B05CB">
      <w:pPr>
        <w:pStyle w:val="Listennummer"/>
        <w:numPr>
          <w:ilvl w:val="0"/>
          <w:numId w:val="4"/>
        </w:numPr>
        <w:ind w:left="567" w:hanging="283"/>
      </w:pPr>
      <w:r w:rsidRPr="00A707F8">
        <w:rPr>
          <w:u w:val="single"/>
        </w:rPr>
        <w:t>Le</w:t>
      </w:r>
      <w:r w:rsidR="001F1E1E" w:rsidRPr="00A707F8">
        <w:rPr>
          <w:u w:val="single"/>
        </w:rPr>
        <w:t xml:space="preserve"> d</w:t>
      </w:r>
      <w:r w:rsidR="00775795" w:rsidRPr="00A707F8">
        <w:rPr>
          <w:u w:val="single"/>
        </w:rPr>
        <w:t>omaine social</w:t>
      </w:r>
      <w:r w:rsidR="00775795" w:rsidRPr="00233777">
        <w:t> : les relations interpersonnelles, la responsabilité, la conscience du danger.</w:t>
      </w:r>
    </w:p>
    <w:p w14:paraId="6F392C65" w14:textId="0A587286" w:rsidR="00775795" w:rsidRPr="00233777" w:rsidRDefault="00775795" w:rsidP="00775795">
      <w:pPr>
        <w:pStyle w:val="Textkrper"/>
        <w:rPr>
          <w:lang w:val="fr-CH"/>
        </w:rPr>
      </w:pPr>
      <w:r w:rsidRPr="00233777">
        <w:rPr>
          <w:lang w:val="fr-CH"/>
        </w:rPr>
        <w:t xml:space="preserve">Au niveau clinique, </w:t>
      </w:r>
      <w:r w:rsidR="008C7DE6">
        <w:rPr>
          <w:rStyle w:val="Hervorhebung"/>
          <w:i w:val="0"/>
          <w:iCs w:val="0"/>
          <w:lang w:val="fr-CH"/>
        </w:rPr>
        <w:t>l’é</w:t>
      </w:r>
      <w:r w:rsidRPr="00233777">
        <w:rPr>
          <w:lang w:val="fr-CH"/>
        </w:rPr>
        <w:t xml:space="preserve">valuation du CA peut être utilisée pour affiner un diagnostic, par exemple celui de déficience intellectuelle, et/ou pour identifier les domaines d’intervention prioritaires (Floyd et al., 2015). Au niveau de la recherche, elle peut être utilisée pour décrire et documenter l’évolution du profil des participantes et participants. </w:t>
      </w:r>
    </w:p>
    <w:p w14:paraId="7F69185F" w14:textId="743E52A1" w:rsidR="00775795" w:rsidRDefault="00775795" w:rsidP="00775795">
      <w:pPr>
        <w:pStyle w:val="Textkrper"/>
        <w:rPr>
          <w:lang w:val="fr-CH"/>
        </w:rPr>
      </w:pPr>
      <w:r w:rsidRPr="00233777">
        <w:rPr>
          <w:lang w:val="fr-CH"/>
        </w:rPr>
        <w:t>Plusieurs instruments de mesure du CA ont été développés, mais seuls certains disposent de bonnes qualités psychométriques (Floyd et al., 2015). L’Échelle d’évaluation du comportement adaptatif de Vineland (</w:t>
      </w:r>
      <w:r w:rsidRPr="00233777">
        <w:rPr>
          <w:i/>
          <w:iCs/>
          <w:lang w:val="fr-CH"/>
        </w:rPr>
        <w:t xml:space="preserve">Vineland Adaptative </w:t>
      </w:r>
      <w:r w:rsidRPr="00233777">
        <w:rPr>
          <w:i/>
          <w:iCs/>
          <w:lang w:val="fr-CH"/>
        </w:rPr>
        <w:lastRenderedPageBreak/>
        <w:t>Behavior Scale</w:t>
      </w:r>
      <w:r w:rsidRPr="00233777">
        <w:rPr>
          <w:lang w:val="fr-CH"/>
        </w:rPr>
        <w:t>, VABS-I et VABS-II) (Sparrow et al., 1994, 2005, 2016) évalue le CA à partir de cinq domaines principaux, soit 1) communication ; 2) activités de la vie quotidienne ; 3) socialisation ; 4) motricité ; et 5) comportements, ainsi que quatorze sous-domaines. L’analyse des résultats permet d’indiquer le niveau d’adaptation par domaine, ainsi que le niveau d’adaptation global exprimé par le score composite selon une échelle à cinq niveaux (faible, modéré faible, adéquat, modéré élevé ou élevé). Un second outil recommandé est le Système d’évaluation du comportement adaptatif (</w:t>
      </w:r>
      <w:r w:rsidRPr="00233777">
        <w:rPr>
          <w:i/>
          <w:iCs/>
          <w:lang w:val="fr-CH"/>
        </w:rPr>
        <w:t>Adaptive Behavior Assessment System</w:t>
      </w:r>
      <w:r w:rsidRPr="00233777">
        <w:rPr>
          <w:lang w:val="fr-CH"/>
        </w:rPr>
        <w:t xml:space="preserve">, ABAS-II et ABAS-III) qui évalue le CA selon les trois domaines principaux du modèle de l’AAIDD et de dix sous-compétences (Harrison &amp; Oakland, 2008, 2015). Les scores obtenus permettent de définir si la personne se situe dans la moyenne ou sous la moyenne. Ces deux échelles évaluent le CA de manière indirecte par le biais de questionnaires destinés aux parents et/ou au </w:t>
      </w:r>
      <w:r w:rsidR="00BD004A">
        <w:rPr>
          <w:lang w:val="fr-CH"/>
        </w:rPr>
        <w:t xml:space="preserve">corps </w:t>
      </w:r>
      <w:r w:rsidRPr="00233777">
        <w:rPr>
          <w:lang w:val="fr-CH"/>
        </w:rPr>
        <w:t>enseignant. Elles ont été validées auprès d’échantillons constitués de personnes présentant différents types de handicaps, incluant la déficience visuelle, mais pas uniquement. Leur utilisation auprès de différentes populations cliniques est donc recommandée (p. ex., avec des personnes présentant un trouble du spectre de l’autisme, une déficience intellectuelle ou des troubles sensoriels). Actuellement, il n’y a pas de recommandation en faveur de l’une ou de l’autre de ces deux échelles pour une utilisation auprès d’une population avec des besoins particuliers (Pontrelli Mecca et al., 2022). En conséquence, le choix de l’échelle est plutôt effectué sur la base de l’accessibilité du matériel selon les maisons d’édition et les préférences des utilisatrices et utilisateurs.</w:t>
      </w:r>
    </w:p>
    <w:p w14:paraId="070C2D22" w14:textId="69ECA197" w:rsidR="0015530C" w:rsidRPr="00233777" w:rsidRDefault="0015530C" w:rsidP="0015530C">
      <w:pPr>
        <w:pStyle w:val="berschrift2"/>
        <w:rPr>
          <w:lang w:val="fr-CH"/>
        </w:rPr>
      </w:pPr>
      <w:r w:rsidRPr="00233777">
        <w:rPr>
          <w:lang w:val="fr-CH"/>
        </w:rPr>
        <w:t xml:space="preserve">Le CA des personnes présentant une déficience visuelle </w:t>
      </w:r>
    </w:p>
    <w:p w14:paraId="2FACF23F" w14:textId="0B00F195" w:rsidR="0015530C" w:rsidRPr="006D3B7B" w:rsidRDefault="004A04D3" w:rsidP="0015530C">
      <w:pPr>
        <w:pStyle w:val="Textkrper"/>
        <w:rPr>
          <w:rStyle w:val="Hervorhebung"/>
          <w:i w:val="0"/>
          <w:iCs w:val="0"/>
          <w:lang w:val="fr-CH"/>
        </w:rPr>
      </w:pPr>
      <w:r w:rsidRPr="006D3B7B">
        <w:rPr>
          <w:noProof/>
          <w:lang w:val="fr-CH"/>
        </w:rPr>
        <mc:AlternateContent>
          <mc:Choice Requires="wps">
            <w:drawing>
              <wp:anchor distT="45720" distB="45720" distL="46990" distR="46990" simplePos="0" relativeHeight="251659264" behindDoc="0" locked="0" layoutInCell="1" allowOverlap="0" wp14:anchorId="68CA9156" wp14:editId="12C7D9BC">
                <wp:simplePos x="0" y="0"/>
                <wp:positionH relativeFrom="column">
                  <wp:posOffset>-900430</wp:posOffset>
                </wp:positionH>
                <wp:positionV relativeFrom="paragraph">
                  <wp:posOffset>2239010</wp:posOffset>
                </wp:positionV>
                <wp:extent cx="4870450" cy="564515"/>
                <wp:effectExtent l="0" t="0" r="0" b="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564515"/>
                        </a:xfrm>
                        <a:prstGeom prst="rect">
                          <a:avLst/>
                        </a:prstGeom>
                        <a:noFill/>
                        <a:ln w="9525">
                          <a:noFill/>
                          <a:miter lim="800000"/>
                          <a:headEnd/>
                          <a:tailEnd/>
                        </a:ln>
                      </wps:spPr>
                      <wps:txbx>
                        <w:txbxContent>
                          <w:p w14:paraId="5C7BA72F" w14:textId="0B4A1AFD" w:rsidR="008C7DE6" w:rsidRPr="0047168D" w:rsidRDefault="004A04D3" w:rsidP="00FA3ADB">
                            <w:pPr>
                              <w:pStyle w:val="Hervorhebung1"/>
                              <w:suppressAutoHyphens/>
                            </w:pPr>
                            <w:r w:rsidRPr="00233777">
                              <w:rPr>
                                <w:lang w:val="fr-CH"/>
                              </w:rPr>
                              <w:t>Bien que les impacts cognitifs et communicationne</w:t>
                            </w:r>
                            <w:r w:rsidR="008B2C5D">
                              <w:rPr>
                                <w:lang w:val="fr-CH"/>
                              </w:rPr>
                              <w:t xml:space="preserve">ls </w:t>
                            </w:r>
                            <w:r w:rsidRPr="00233777">
                              <w:rPr>
                                <w:lang w:val="fr-CH"/>
                              </w:rPr>
                              <w:t>soient largement étudiés, le comportement adaptatif reste peu documenté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A9156" id="_x0000_t202" coordsize="21600,21600" o:spt="202" path="m,l,21600r21600,l21600,xe">
                <v:stroke joinstyle="miter"/>
                <v:path gradientshapeok="t" o:connecttype="rect"/>
              </v:shapetype>
              <v:shape id="Textfeld 217" o:spid="_x0000_s1026" type="#_x0000_t202" alt="&quot;&quot;" style="position:absolute;left:0;text-align:left;margin-left:-70.9pt;margin-top:176.3pt;width:383.5pt;height:44.4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1l5+gEAAM8DAAAOAAAAZHJzL2Uyb0RvYy54bWysU8Fu2zAMvQ/YPwi6L3YCu02NOEXXrsOA&#10;rhvQ9QNkWY6FSaImKbGzrx8lu2mw3Yr5IJCm+Mj3SG2uR63IQTgvwdR0ucgpEYZDK82ups8/7j+s&#10;KfGBmZYpMKKmR+Hp9fb9u81gK7GCHlQrHEEQ46vB1rQPwVZZ5nkvNPMLsMJgsAOnWUDX7bLWsQHR&#10;tcpWeX6RDeBa64AL7/Hv3RSk24TfdYKHb13nRSCqpthbSKdLZxPPbLth1c4x20s+t8He0IVm0mDR&#10;E9QdC4zsnfwHSkvuwEMXFhx0Bl0nuUgckM0y/4vNU8+sSFxQHG9PMvn/B8sfD0/2uyNh/AgjDjCR&#10;8PYB+E9PDNz2zOzEjXMw9IK1WHgZJcsG66s5NUrtKx9BmuErtDhktg+QgMbO6agK8iSIjgM4nkQX&#10;YyAcfxbry7woMcQxVl4U5bJMJVj1km2dD58FaBKNmjocakJnhwcfYjeserkSixm4l0qlwSpDhppe&#10;lasyJZxFtAy4d0rqmq7z+E2bEEl+Mm1KDkyqycYCysysI9GJchibES9G9g20R+TvYNovfA9o9OB+&#10;UzLgbtXU/9ozJyhRX0zUMC+KWJKE5Bbl5Qodl5yr1AxpziPMcASraaBkMm9DWuGJ7Q2q3ckkxGsv&#10;c7e4NUmfecPjWp776dbrO9z+AQAA//8DAFBLAwQUAAYACAAAACEA8sI+zN4AAAAMAQAADwAAAGRy&#10;cy9kb3ducmV2LnhtbEyPQU+EMBSE7yb+h+aZeNttQSAuUjZGQ7JX0cTrW+gCsX0lbWHx31tPepzM&#10;ZOab6rgZzVbl/GRJQrIXwBR1tp9okPDx3uwegfmA1KO2pCR8Kw/H+vamwrK3V3pTaxsGFkvIlyhh&#10;DGEuOffdqAz6vZ0VRe9incEQpRt47/Aay43mqRAFNzhRXBhxVi+j6r7axUhwc7MY93kQzdript3r&#10;SQzrScr7u+35CVhQW/gLwy9+RIc6Mp3tQr1nWsIuyZLIHiQ85GkBLEaKNE+BnSVkWZIDryv+/0T9&#10;AwAA//8DAFBLAQItABQABgAIAAAAIQC2gziS/gAAAOEBAAATAAAAAAAAAAAAAAAAAAAAAABbQ29u&#10;dGVudF9UeXBlc10ueG1sUEsBAi0AFAAGAAgAAAAhADj9If/WAAAAlAEAAAsAAAAAAAAAAAAAAAAA&#10;LwEAAF9yZWxzLy5yZWxzUEsBAi0AFAAGAAgAAAAhALozWXn6AQAAzwMAAA4AAAAAAAAAAAAAAAAA&#10;LgIAAGRycy9lMm9Eb2MueG1sUEsBAi0AFAAGAAgAAAAhAPLCPszeAAAADAEAAA8AAAAAAAAAAAAA&#10;AAAAVAQAAGRycy9kb3ducmV2LnhtbFBLBQYAAAAABAAEAPMAAABfBQAAAAA=&#10;" o:allowoverlap="f" filled="f" stroked="f">
                <v:textbox inset="29mm,,2.5mm">
                  <w:txbxContent>
                    <w:p w14:paraId="5C7BA72F" w14:textId="0B4A1AFD" w:rsidR="008C7DE6" w:rsidRPr="0047168D" w:rsidRDefault="004A04D3" w:rsidP="00FA3ADB">
                      <w:pPr>
                        <w:pStyle w:val="Hervorhebung1"/>
                        <w:suppressAutoHyphens/>
                      </w:pPr>
                      <w:r w:rsidRPr="00233777">
                        <w:rPr>
                          <w:lang w:val="fr-CH"/>
                        </w:rPr>
                        <w:t>Bien que les impacts cognitifs et communicationne</w:t>
                      </w:r>
                      <w:r w:rsidR="008B2C5D">
                        <w:rPr>
                          <w:lang w:val="fr-CH"/>
                        </w:rPr>
                        <w:t xml:space="preserve">ls </w:t>
                      </w:r>
                      <w:r w:rsidRPr="00233777">
                        <w:rPr>
                          <w:lang w:val="fr-CH"/>
                        </w:rPr>
                        <w:t>soient largement étudiés, le comportement adaptatif reste peu documenté</w:t>
                      </w:r>
                    </w:p>
                  </w:txbxContent>
                </v:textbox>
                <w10:wrap type="topAndBottom"/>
              </v:shape>
            </w:pict>
          </mc:Fallback>
        </mc:AlternateContent>
      </w:r>
      <w:r w:rsidR="0015530C" w:rsidRPr="00233777">
        <w:rPr>
          <w:lang w:val="fr-CH"/>
        </w:rPr>
        <w:t xml:space="preserve">La déficience visuelle (DV) se manifeste différemment d’un individu à l’autre et s’évalue sur un spectre allant de la basse vision à la cécité totale. A l’échelle internationale, l’Organisation </w:t>
      </w:r>
      <w:r w:rsidR="000E1FCD">
        <w:rPr>
          <w:lang w:val="fr-CH"/>
        </w:rPr>
        <w:t>mondiale de la s</w:t>
      </w:r>
      <w:r w:rsidR="0015530C" w:rsidRPr="00233777">
        <w:rPr>
          <w:lang w:val="fr-CH"/>
        </w:rPr>
        <w:t xml:space="preserve">anté estime que 2,2 milliards de personnes sont concernées par une DV (OMS, 2023). À l’échelle de la Suisse, le nombre d’enfants et de jeunes en âge de scolarité est estimé à </w:t>
      </w:r>
      <w:r w:rsidR="0015530C" w:rsidRPr="00AE7C1D">
        <w:rPr>
          <w:lang w:val="fr-CH"/>
        </w:rPr>
        <w:t>1639</w:t>
      </w:r>
      <w:r w:rsidR="00AE7C1D">
        <w:rPr>
          <w:lang w:val="fr-CH"/>
        </w:rPr>
        <w:t xml:space="preserve"> </w:t>
      </w:r>
      <w:r w:rsidR="00AE7C1D" w:rsidRPr="00AE7C1D">
        <w:rPr>
          <w:i/>
          <w:iCs/>
          <w:lang w:val="fr-CH"/>
        </w:rPr>
        <w:t xml:space="preserve">personnes </w:t>
      </w:r>
      <w:r w:rsidR="0015530C" w:rsidRPr="00AE7C1D">
        <w:rPr>
          <w:rStyle w:val="Hervorhebung"/>
          <w:i w:val="0"/>
          <w:iCs w:val="0"/>
          <w:lang w:val="fr-CH"/>
        </w:rPr>
        <w:t xml:space="preserve">(Bless &amp; Orthmann-Bless, 2022). </w:t>
      </w:r>
      <w:r w:rsidR="0015530C" w:rsidRPr="00AE7C1D">
        <w:rPr>
          <w:lang w:val="fr-CH"/>
        </w:rPr>
        <w:t xml:space="preserve">La </w:t>
      </w:r>
      <w:r w:rsidR="0015530C" w:rsidRPr="00233777">
        <w:rPr>
          <w:lang w:val="fr-CH"/>
        </w:rPr>
        <w:t>DV, quelle qu’en soit l’étiologie, n’est pas sans conséquence sur l’ensemble du développement. Bien que les impacts cognitifs et communicationnels soient largement étudiés, le CA reste peu documenté (Veldhorst et al., 2022).</w:t>
      </w:r>
      <w:r>
        <w:rPr>
          <w:lang w:val="fr-CH"/>
        </w:rPr>
        <w:t xml:space="preserve"> </w:t>
      </w:r>
      <w:r w:rsidR="0015530C" w:rsidRPr="006D3B7B">
        <w:rPr>
          <w:lang w:val="fr-CH"/>
        </w:rPr>
        <w:t xml:space="preserve">Récemment, van der Aa et al. (2023) ont souligné que les scores du CA des personnes malvoyantes et aveugles, évalués à partir du </w:t>
      </w:r>
      <w:r w:rsidR="0015530C" w:rsidRPr="00CB7AAD">
        <w:rPr>
          <w:i/>
          <w:iCs/>
          <w:lang w:val="fr-CH"/>
        </w:rPr>
        <w:t>Adaptive Ability Performance Test</w:t>
      </w:r>
      <w:r w:rsidR="0015530C" w:rsidRPr="006D3B7B">
        <w:rPr>
          <w:lang w:val="fr-CH"/>
        </w:rPr>
        <w:t xml:space="preserve"> (ADAPT) étaient significativement inférieurs à ceux des personnes voyantes (Jonker et al., 2023). Néanmoins, les scores ne semblent pas différer significativement entre les personnes malvoyantes et aveugles. </w:t>
      </w:r>
      <w:r w:rsidR="0006361A" w:rsidRPr="006D3B7B">
        <w:rPr>
          <w:lang w:val="fr-CH"/>
        </w:rPr>
        <w:t>É</w:t>
      </w:r>
      <w:r w:rsidR="0015530C" w:rsidRPr="006D3B7B">
        <w:rPr>
          <w:lang w:val="fr-CH"/>
        </w:rPr>
        <w:t>tant donné l’importance du CA pour la recherche et la clinique, il semble donc pertinent de recueillir l’ensemble des données disponibles sur le sujet dans la littérature scientifique</w:t>
      </w:r>
      <w:r w:rsidR="0015530C" w:rsidRPr="006D3B7B">
        <w:rPr>
          <w:rStyle w:val="Hervorhebung"/>
          <w:lang w:val="fr-CH"/>
        </w:rPr>
        <w:t xml:space="preserve">. </w:t>
      </w:r>
    </w:p>
    <w:p w14:paraId="18D628BD" w14:textId="5CBB380E" w:rsidR="0015530C" w:rsidRPr="00233777" w:rsidRDefault="0015530C" w:rsidP="0015530C">
      <w:pPr>
        <w:pStyle w:val="berschrift1"/>
        <w:rPr>
          <w:rFonts w:eastAsia="CIDFont+F2"/>
          <w:lang w:val="fr-CH"/>
        </w:rPr>
      </w:pPr>
      <w:r w:rsidRPr="00233777">
        <w:rPr>
          <w:rFonts w:eastAsia="CIDFont+F2"/>
          <w:lang w:val="fr-CH"/>
        </w:rPr>
        <w:t>Méthode</w:t>
      </w:r>
    </w:p>
    <w:p w14:paraId="07048287" w14:textId="435FB68B" w:rsidR="00647174" w:rsidRPr="00233777" w:rsidRDefault="008B2C5D" w:rsidP="00890ABB">
      <w:pPr>
        <w:pStyle w:val="Textkrper"/>
        <w:rPr>
          <w:lang w:val="fr-CH"/>
        </w:rPr>
      </w:pPr>
      <w:r w:rsidRPr="006D3B7B">
        <w:rPr>
          <w:noProof/>
          <w:lang w:val="fr-CH"/>
        </w:rPr>
        <mc:AlternateContent>
          <mc:Choice Requires="wps">
            <w:drawing>
              <wp:anchor distT="45720" distB="45720" distL="46990" distR="46990" simplePos="0" relativeHeight="251663360" behindDoc="0" locked="0" layoutInCell="1" allowOverlap="0" wp14:anchorId="57CC41D9" wp14:editId="1024BD33">
                <wp:simplePos x="0" y="0"/>
                <wp:positionH relativeFrom="column">
                  <wp:posOffset>-900430</wp:posOffset>
                </wp:positionH>
                <wp:positionV relativeFrom="paragraph">
                  <wp:posOffset>1729105</wp:posOffset>
                </wp:positionV>
                <wp:extent cx="4794250" cy="501650"/>
                <wp:effectExtent l="0" t="0" r="0" b="0"/>
                <wp:wrapTopAndBottom/>
                <wp:docPr id="1536455663" name="Textfeld 1536455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501650"/>
                        </a:xfrm>
                        <a:prstGeom prst="rect">
                          <a:avLst/>
                        </a:prstGeom>
                        <a:noFill/>
                        <a:ln w="9525">
                          <a:noFill/>
                          <a:miter lim="800000"/>
                          <a:headEnd/>
                          <a:tailEnd/>
                        </a:ln>
                      </wps:spPr>
                      <wps:txbx>
                        <w:txbxContent>
                          <w:p w14:paraId="6BEEF3D3" w14:textId="77777777" w:rsidR="007B250E" w:rsidRPr="0047168D" w:rsidRDefault="007B250E" w:rsidP="00FA3ADB">
                            <w:pPr>
                              <w:pStyle w:val="Hervorhebung1"/>
                            </w:pPr>
                            <w:r>
                              <w:rPr>
                                <w:lang w:val="fr-CH"/>
                              </w:rPr>
                              <w:t>L</w:t>
                            </w:r>
                            <w:r w:rsidRPr="00233777">
                              <w:rPr>
                                <w:lang w:val="fr-CH"/>
                              </w:rPr>
                              <w:t>’examen de la portée</w:t>
                            </w:r>
                            <w:r>
                              <w:rPr>
                                <w:lang w:val="fr-CH"/>
                              </w:rPr>
                              <w:t xml:space="preserve"> (scoping review)</w:t>
                            </w:r>
                            <w:r w:rsidRPr="00233777">
                              <w:rPr>
                                <w:lang w:val="fr-CH"/>
                              </w:rPr>
                              <w:t xml:space="preserve"> vise à décrire comment un</w:t>
                            </w:r>
                            <w:r>
                              <w:rPr>
                                <w:lang w:val="fr-CH"/>
                              </w:rPr>
                              <w:t xml:space="preserve"> thème</w:t>
                            </w:r>
                            <w:r w:rsidRPr="00233777">
                              <w:rPr>
                                <w:lang w:val="fr-CH"/>
                              </w:rPr>
                              <w:t xml:space="preserve"> a été étudié dans la littérature scientifique</w:t>
                            </w:r>
                          </w:p>
                          <w:p w14:paraId="4D3E8E24" w14:textId="11F12A42" w:rsidR="007B250E" w:rsidRPr="0047168D" w:rsidRDefault="007B250E" w:rsidP="007B250E">
                            <w:pPr>
                              <w:pStyle w:val="Hervorhebung1"/>
                              <w:suppressAutoHyphens/>
                              <w:jc w:val="both"/>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C41D9" id="Textfeld 1536455663" o:spid="_x0000_s1027" type="#_x0000_t202" alt="&quot;&quot;" style="position:absolute;left:0;text-align:left;margin-left:-70.9pt;margin-top:136.15pt;width:377.5pt;height:39.5pt;z-index:2516633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Be+wEAANYDAAAOAAAAZHJzL2Uyb0RvYy54bWysU8Fu2zAMvQ/YPwi6L3aCpG2MOEXXrsOA&#10;rhvQ7QMUWY6FSaJGKbG7rx8lu2mw3Yb5IJCm+Mj3SG2uB2vYUWHQ4Go+n5WcKSeh0W5f8+/f7t9d&#10;cRaicI0w4FTNn1Xg19u3bza9r9QCOjCNQkYgLlS9r3kXo6+KIshOWRFm4JWjYAtoRSQX90WDoid0&#10;a4pFWV4UPWDjEaQKgf7ejUG+zfhtq2T80rZBRWZqTr3FfGI+d+ksthtR7VH4TsupDfEPXVihHRU9&#10;Qd2JKNgB9V9QVkuEAG2cSbAFtK2WKnMgNvPyDzZPnfAqcyFxgj/JFP4frHw8PvmvyOLwHgYaYCYR&#10;/APIH4E5uO2E26sbROg7JRoqPE+SFb0P1ZSapA5VSCC7/jM0NGRxiJCBhhZtUoV4MkKnATyfRFdD&#10;ZJJ+Li/Xy8WKQpJiq3J+QXYqIaqXbI8hflRgWTJqjjTUjC6ODyGOV1+upGIO7rUxebDGsb7m69Vi&#10;lRPOIlZH2jujbc2vyvSNm5BIfnBNTo5Cm9GmXoybWCeiI+U47Aamm0mSJMIOmmeSAWFcM3oWZHSA&#10;vzjracVqHn4eBCrOzCeXpCyXy1SZxewuV5cLcjA769wT251HhJMEVvPI2WjexrzJI+kbEr3VWY/X&#10;XqamaXmyotOip+089/Ot1+e4/Q0AAP//AwBQSwMEFAAGAAgAAAAhAAtF1KLfAAAADAEAAA8AAABk&#10;cnMvZG93bnJldi54bWxMj81OwzAQhO9IvIO1SNxaOwmUNsSpEChSrwQkrtt4SSL8E9lOGt4ec4Lj&#10;aEYz31TH1Wi2kA+jsxKyrQBGtnNqtL2E97dmswcWIlqF2lmS8E0BjvX1VYWlchf7Sksbe5ZKbChR&#10;whDjVHIeuoEMhq2byCbv03mDMUnfc+XxksqN5rkQO25wtGlhwImeB+q+2tlI8FMzG/9xEM3S4qr9&#10;y0n0y0nK25v16RFYpDX+heEXP6FDnZjObrYqMC1hk91liT1KyB/yAliK7LIiB3aWUNxnBfC64v9P&#10;1D8AAAD//wMAUEsBAi0AFAAGAAgAAAAhALaDOJL+AAAA4QEAABMAAAAAAAAAAAAAAAAAAAAAAFtD&#10;b250ZW50X1R5cGVzXS54bWxQSwECLQAUAAYACAAAACEAOP0h/9YAAACUAQAACwAAAAAAAAAAAAAA&#10;AAAvAQAAX3JlbHMvLnJlbHNQSwECLQAUAAYACAAAACEAOTgQXvsBAADWAwAADgAAAAAAAAAAAAAA&#10;AAAuAgAAZHJzL2Uyb0RvYy54bWxQSwECLQAUAAYACAAAACEAC0XUot8AAAAMAQAADwAAAAAAAAAA&#10;AAAAAABVBAAAZHJzL2Rvd25yZXYueG1sUEsFBgAAAAAEAAQA8wAAAGEFAAAAAA==&#10;" o:allowoverlap="f" filled="f" stroked="f">
                <v:textbox inset="29mm,,2.5mm">
                  <w:txbxContent>
                    <w:p w14:paraId="6BEEF3D3" w14:textId="77777777" w:rsidR="007B250E" w:rsidRPr="0047168D" w:rsidRDefault="007B250E" w:rsidP="00FA3ADB">
                      <w:pPr>
                        <w:pStyle w:val="Hervorhebung1"/>
                      </w:pPr>
                      <w:r>
                        <w:rPr>
                          <w:lang w:val="fr-CH"/>
                        </w:rPr>
                        <w:t>L</w:t>
                      </w:r>
                      <w:r w:rsidRPr="00233777">
                        <w:rPr>
                          <w:lang w:val="fr-CH"/>
                        </w:rPr>
                        <w:t>’examen de la portée</w:t>
                      </w:r>
                      <w:r>
                        <w:rPr>
                          <w:lang w:val="fr-CH"/>
                        </w:rPr>
                        <w:t xml:space="preserve"> (scoping review)</w:t>
                      </w:r>
                      <w:r w:rsidRPr="00233777">
                        <w:rPr>
                          <w:lang w:val="fr-CH"/>
                        </w:rPr>
                        <w:t xml:space="preserve"> vise à décrire comment un</w:t>
                      </w:r>
                      <w:r>
                        <w:rPr>
                          <w:lang w:val="fr-CH"/>
                        </w:rPr>
                        <w:t xml:space="preserve"> thème</w:t>
                      </w:r>
                      <w:r w:rsidRPr="00233777">
                        <w:rPr>
                          <w:lang w:val="fr-CH"/>
                        </w:rPr>
                        <w:t xml:space="preserve"> a été étudié dans la littérature scientifique</w:t>
                      </w:r>
                    </w:p>
                    <w:p w14:paraId="4D3E8E24" w14:textId="11F12A42" w:rsidR="007B250E" w:rsidRPr="0047168D" w:rsidRDefault="007B250E" w:rsidP="007B250E">
                      <w:pPr>
                        <w:pStyle w:val="Hervorhebung1"/>
                        <w:suppressAutoHyphens/>
                        <w:jc w:val="both"/>
                      </w:pPr>
                    </w:p>
                  </w:txbxContent>
                </v:textbox>
                <w10:wrap type="topAndBottom"/>
              </v:shape>
            </w:pict>
          </mc:Fallback>
        </mc:AlternateContent>
      </w:r>
      <w:r w:rsidR="0015530C" w:rsidRPr="00233777">
        <w:rPr>
          <w:lang w:val="fr-CH"/>
        </w:rPr>
        <w:t xml:space="preserve">Pour faire un état de la littérature scientifique à partir de 1984, l’année de publication de la première échelle d’évaluation du comportement de Vineland, la méthode </w:t>
      </w:r>
      <w:r w:rsidR="0015530C" w:rsidRPr="00233777">
        <w:rPr>
          <w:i/>
          <w:iCs/>
          <w:lang w:val="fr-CH"/>
        </w:rPr>
        <w:t>scoping review</w:t>
      </w:r>
      <w:r w:rsidR="0015530C" w:rsidRPr="00233777">
        <w:rPr>
          <w:lang w:val="fr-CH"/>
        </w:rPr>
        <w:t xml:space="preserve"> a été choisie </w:t>
      </w:r>
      <w:r w:rsidR="0015530C" w:rsidRPr="00233777">
        <w:rPr>
          <w:color w:val="000000"/>
          <w:lang w:val="fr-CH"/>
        </w:rPr>
        <w:t>(Munn et al., 2018)</w:t>
      </w:r>
      <w:r w:rsidR="0015530C" w:rsidRPr="00233777">
        <w:rPr>
          <w:lang w:val="fr-CH"/>
        </w:rPr>
        <w:t>. Contrairement à la revue systématique qui vise à synthétiser les études mesurant l’efficacité d’une intervention et à établir un niveau de preuve basé sur la qualité de ces études, l’examen de la portée vise à décrire comment un</w:t>
      </w:r>
      <w:r w:rsidR="0078484B">
        <w:rPr>
          <w:lang w:val="fr-CH"/>
        </w:rPr>
        <w:t xml:space="preserve"> th</w:t>
      </w:r>
      <w:r w:rsidR="00890ABB">
        <w:rPr>
          <w:lang w:val="fr-CH"/>
        </w:rPr>
        <w:t>ème</w:t>
      </w:r>
      <w:r w:rsidR="0015530C" w:rsidRPr="00233777">
        <w:rPr>
          <w:lang w:val="fr-CH"/>
        </w:rPr>
        <w:t xml:space="preserve"> a été étudié dans la littérature scientifique. C’est une méthode déjà utilisée dans le domaine de la DV (Veldhorst et al., 2022). L’équation de recherche utilisée était la suivante : </w:t>
      </w:r>
      <w:r w:rsidR="0015530C" w:rsidRPr="00233777">
        <w:rPr>
          <w:i/>
          <w:lang w:val="fr-CH"/>
        </w:rPr>
        <w:t>visual impairment</w:t>
      </w:r>
      <w:r w:rsidR="0015530C" w:rsidRPr="00233777">
        <w:rPr>
          <w:lang w:val="fr-CH"/>
        </w:rPr>
        <w:t xml:space="preserve"> OR </w:t>
      </w:r>
      <w:r w:rsidR="0015530C" w:rsidRPr="00233777">
        <w:rPr>
          <w:i/>
          <w:lang w:val="fr-CH"/>
        </w:rPr>
        <w:t>low vision</w:t>
      </w:r>
      <w:r w:rsidR="0015530C" w:rsidRPr="00233777">
        <w:rPr>
          <w:lang w:val="fr-CH"/>
        </w:rPr>
        <w:t xml:space="preserve"> OR </w:t>
      </w:r>
      <w:r w:rsidR="0015530C" w:rsidRPr="00233777">
        <w:rPr>
          <w:i/>
          <w:lang w:val="fr-CH"/>
        </w:rPr>
        <w:t>blindness</w:t>
      </w:r>
      <w:r w:rsidR="0015530C" w:rsidRPr="00233777">
        <w:rPr>
          <w:lang w:val="fr-CH"/>
        </w:rPr>
        <w:t xml:space="preserve"> AND </w:t>
      </w:r>
      <w:r w:rsidR="0015530C" w:rsidRPr="00233777">
        <w:rPr>
          <w:i/>
          <w:lang w:val="fr-CH"/>
        </w:rPr>
        <w:t>adaptative behavior</w:t>
      </w:r>
      <w:r w:rsidR="0015530C" w:rsidRPr="00233777">
        <w:rPr>
          <w:lang w:val="fr-CH"/>
        </w:rPr>
        <w:t xml:space="preserve">, AND </w:t>
      </w:r>
      <w:r w:rsidR="0015530C" w:rsidRPr="00233777">
        <w:rPr>
          <w:i/>
          <w:lang w:val="fr-CH"/>
        </w:rPr>
        <w:t>behaviour</w:t>
      </w:r>
      <w:r w:rsidR="0015530C" w:rsidRPr="00233777">
        <w:rPr>
          <w:lang w:val="fr-CH"/>
        </w:rPr>
        <w:t>. Les bases de données ERIC, PsychInfo, Web of Science et Medline ont été utilisées pour effectuer la recherche documentaire, en se basant sur le titre, le résumé (</w:t>
      </w:r>
      <w:r w:rsidR="0015530C" w:rsidRPr="00233777">
        <w:rPr>
          <w:i/>
          <w:lang w:val="fr-CH"/>
        </w:rPr>
        <w:t>abstract</w:t>
      </w:r>
      <w:r w:rsidR="0015530C" w:rsidRPr="00233777">
        <w:rPr>
          <w:lang w:val="fr-CH"/>
        </w:rPr>
        <w:t xml:space="preserve">) et le texte intégral de certains articles. </w:t>
      </w:r>
    </w:p>
    <w:p w14:paraId="2B2E51A8" w14:textId="7997D388" w:rsidR="005236AD" w:rsidRPr="00233777" w:rsidRDefault="005236AD" w:rsidP="005236AD">
      <w:pPr>
        <w:pStyle w:val="berschrift2"/>
        <w:rPr>
          <w:lang w:val="fr-CH"/>
        </w:rPr>
      </w:pPr>
      <w:r w:rsidRPr="00233777">
        <w:rPr>
          <w:lang w:val="fr-CH"/>
        </w:rPr>
        <w:lastRenderedPageBreak/>
        <w:t>Critères d’inclusion</w:t>
      </w:r>
    </w:p>
    <w:p w14:paraId="2AFF5287" w14:textId="45B269AD" w:rsidR="005236AD" w:rsidRPr="00233777" w:rsidRDefault="005236AD" w:rsidP="005236AD">
      <w:pPr>
        <w:rPr>
          <w:lang w:val="fr-CH"/>
        </w:rPr>
      </w:pPr>
      <w:r w:rsidRPr="00233777">
        <w:rPr>
          <w:lang w:val="fr-CH"/>
        </w:rPr>
        <w:t>Pour être inclu</w:t>
      </w:r>
      <w:r w:rsidR="000E1FCD">
        <w:rPr>
          <w:lang w:val="fr-CH"/>
        </w:rPr>
        <w:t>s</w:t>
      </w:r>
      <w:r w:rsidRPr="00233777">
        <w:rPr>
          <w:lang w:val="fr-CH"/>
        </w:rPr>
        <w:t xml:space="preserve">es dans cette revue de littérature, les études devaient répondre aux critères suivants : </w:t>
      </w:r>
    </w:p>
    <w:p w14:paraId="200DDD3C" w14:textId="77777777" w:rsidR="005236AD" w:rsidRPr="00BE5D3C" w:rsidRDefault="005236AD" w:rsidP="004B05CB">
      <w:pPr>
        <w:pStyle w:val="Listennummer"/>
        <w:numPr>
          <w:ilvl w:val="0"/>
          <w:numId w:val="5"/>
        </w:numPr>
        <w:ind w:left="567" w:hanging="283"/>
      </w:pPr>
      <w:r w:rsidRPr="00233777">
        <w:t xml:space="preserve">Porter </w:t>
      </w:r>
      <w:r w:rsidRPr="00BE5D3C">
        <w:t xml:space="preserve">spécifiquement sur l’évaluation du CA des personnes avec une DV (peu importe l’étiologie de la DV) avec et/ou sans comorbidité, âgées entre 0 et 20 ans ; </w:t>
      </w:r>
    </w:p>
    <w:p w14:paraId="4EED189E" w14:textId="77777777" w:rsidR="005236AD" w:rsidRPr="00BE5D3C" w:rsidRDefault="005236AD" w:rsidP="004B05CB">
      <w:pPr>
        <w:pStyle w:val="Listennummer"/>
        <w:numPr>
          <w:ilvl w:val="0"/>
          <w:numId w:val="5"/>
        </w:numPr>
        <w:ind w:left="567" w:hanging="283"/>
      </w:pPr>
      <w:r w:rsidRPr="00BE5D3C">
        <w:t xml:space="preserve">Inclure une mesure du CA à partir d’une échelle standardisée ; </w:t>
      </w:r>
    </w:p>
    <w:p w14:paraId="78D64CB9" w14:textId="6E93A06D" w:rsidR="005236AD" w:rsidRPr="00233777" w:rsidRDefault="005236AD" w:rsidP="004B05CB">
      <w:pPr>
        <w:pStyle w:val="Listennummer"/>
        <w:numPr>
          <w:ilvl w:val="0"/>
          <w:numId w:val="5"/>
        </w:numPr>
        <w:ind w:left="567" w:hanging="283"/>
      </w:pPr>
      <w:r w:rsidRPr="00BE5D3C">
        <w:t>Être publiée</w:t>
      </w:r>
      <w:r w:rsidRPr="00233777">
        <w:t xml:space="preserve"> entre 1984 et 2021 en français ou en anglais (1984 est l’année correspondant à la première VABS).</w:t>
      </w:r>
    </w:p>
    <w:p w14:paraId="504A418D" w14:textId="7DC8B907" w:rsidR="005236AD" w:rsidRDefault="005236AD" w:rsidP="00E208B2">
      <w:pPr>
        <w:pStyle w:val="Textkrper"/>
        <w:spacing w:after="240"/>
        <w:rPr>
          <w:lang w:val="fr-CH"/>
        </w:rPr>
      </w:pPr>
      <w:r w:rsidRPr="00233777">
        <w:rPr>
          <w:lang w:val="fr-CH"/>
        </w:rPr>
        <w:t>Les études n’évaluant pas le CA ou l’évaluant auprès d’une population différente ont été exclues. Neuf articles ont pu être identifiés à la suite de la recherche et après vérification des critères par une lecture intégrale de certains articles. La Figure 1 présente le diagramme résumant le flux de sélection des articles.</w:t>
      </w:r>
    </w:p>
    <w:p w14:paraId="45703F87" w14:textId="7E4204FE" w:rsidR="004338A9" w:rsidRDefault="004338A9" w:rsidP="004338A9">
      <w:pPr>
        <w:pStyle w:val="LegendeAbbildung"/>
        <w:spacing w:line="360" w:lineRule="auto"/>
      </w:pPr>
      <w:r w:rsidRPr="00233777">
        <w:t>Figure 1 : Diagramme du flux de sélection des articles</w:t>
      </w:r>
    </w:p>
    <w:p w14:paraId="60B94407" w14:textId="2F93BF59" w:rsidR="005236AD" w:rsidRPr="00233777" w:rsidRDefault="00776C3F" w:rsidP="004338A9">
      <w:pPr>
        <w:pStyle w:val="Textkrper"/>
        <w:spacing w:after="240"/>
        <w:rPr>
          <w:lang w:val="fr-CH"/>
        </w:rPr>
      </w:pPr>
      <w:r w:rsidRPr="00776C3F">
        <w:rPr>
          <w:rFonts w:ascii="Times New Roman" w:eastAsia="Times New Roman" w:hAnsi="Times New Roman" w:cs="Times New Roman"/>
          <w:i/>
          <w:noProof/>
          <w:color w:val="000000"/>
          <w:spacing w:val="0"/>
          <w:kern w:val="28"/>
          <w:sz w:val="24"/>
          <w:szCs w:val="24"/>
          <w:lang w:val="fr-FR" w:eastAsia="en-CA"/>
        </w:rPr>
        <mc:AlternateContent>
          <mc:Choice Requires="wpg">
            <w:drawing>
              <wp:inline distT="0" distB="0" distL="0" distR="0" wp14:anchorId="3CDBF206" wp14:editId="56694131">
                <wp:extent cx="5626819" cy="5226155"/>
                <wp:effectExtent l="0" t="0" r="12065" b="12700"/>
                <wp:docPr id="542699312" name="Gruppieren 7" descr="624 articles ont été identifiés sur les bases de données. 21 articles ont été sélectionnés sur avec le résumé et la lecture complète de l'article. 12 articles ont été exclus par absence de déficience visuelle,  par absence d'évaluation du comportement adaptatif,  par absence d'évaluation standardisée ou parce que l'article n'est ni en français ni en anglais."/>
                <wp:cNvGraphicFramePr/>
                <a:graphic xmlns:a="http://schemas.openxmlformats.org/drawingml/2006/main">
                  <a:graphicData uri="http://schemas.microsoft.com/office/word/2010/wordprocessingGroup">
                    <wpg:wgp>
                      <wpg:cNvGrpSpPr/>
                      <wpg:grpSpPr>
                        <a:xfrm>
                          <a:off x="0" y="0"/>
                          <a:ext cx="5626819" cy="5226155"/>
                          <a:chOff x="8" y="-9"/>
                          <a:chExt cx="7121833" cy="5631143"/>
                        </a:xfrm>
                      </wpg:grpSpPr>
                      <wpg:grpSp>
                        <wpg:cNvPr id="2133968978" name="Gruppieren 6"/>
                        <wpg:cNvGrpSpPr/>
                        <wpg:grpSpPr>
                          <a:xfrm>
                            <a:off x="8" y="-9"/>
                            <a:ext cx="7121833" cy="5631143"/>
                            <a:chOff x="8" y="-9"/>
                            <a:chExt cx="7121834" cy="5631718"/>
                          </a:xfrm>
                        </wpg:grpSpPr>
                        <wpg:grpSp>
                          <wpg:cNvPr id="1073979123" name="Grouper 20"/>
                          <wpg:cNvGrpSpPr/>
                          <wpg:grpSpPr>
                            <a:xfrm>
                              <a:off x="8" y="-9"/>
                              <a:ext cx="5524492" cy="1252229"/>
                              <a:chOff x="9" y="57152"/>
                              <a:chExt cx="5526130" cy="1252774"/>
                            </a:xfrm>
                          </wpg:grpSpPr>
                          <wps:wsp>
                            <wps:cNvPr id="1630942743" name="Rectangle 2">
                              <a:extLst>
                                <a:ext uri="{C183D7F6-B498-43B3-948B-1728B52AA6E4}">
                                  <adec:decorative xmlns:adec="http://schemas.microsoft.com/office/drawing/2017/decorative" val="1"/>
                                </a:ext>
                              </a:extLst>
                            </wps:cNvPr>
                            <wps:cNvSpPr>
                              <a:spLocks noChangeArrowheads="1"/>
                            </wps:cNvSpPr>
                            <wps:spPr bwMode="auto">
                              <a:xfrm>
                                <a:off x="724210" y="193572"/>
                                <a:ext cx="2228850" cy="756210"/>
                              </a:xfrm>
                              <a:prstGeom prst="rect">
                                <a:avLst/>
                              </a:prstGeom>
                              <a:solidFill>
                                <a:srgbClr val="FFFFFF"/>
                              </a:solidFill>
                              <a:ln w="9525">
                                <a:solidFill>
                                  <a:srgbClr val="5F9FBC">
                                    <a:lumMod val="60000"/>
                                    <a:lumOff val="40000"/>
                                  </a:srgbClr>
                                </a:solidFill>
                                <a:miter lim="800000"/>
                                <a:headEnd/>
                                <a:tailEnd/>
                              </a:ln>
                            </wps:spPr>
                            <wps:txbx>
                              <w:txbxContent>
                                <w:p w14:paraId="0D5D929A" w14:textId="11CA4709" w:rsidR="00776C3F" w:rsidRPr="00CD5C39" w:rsidRDefault="00776C3F" w:rsidP="00776C3F">
                                  <w:pPr>
                                    <w:jc w:val="center"/>
                                    <w:rPr>
                                      <w:rFonts w:cs="Open Sans SemiCondensed"/>
                                      <w:noProof/>
                                      <w:lang w:val="fr-CH"/>
                                    </w:rPr>
                                  </w:pPr>
                                  <w:r w:rsidRPr="00CD5C39">
                                    <w:rPr>
                                      <w:rFonts w:cs="Open Sans SemiCondensed"/>
                                      <w:noProof/>
                                      <w:lang w:val="fr-CH"/>
                                    </w:rPr>
                                    <w:t>Articles identifiés dans les bases de données (n=624)</w:t>
                                  </w:r>
                                </w:p>
                              </w:txbxContent>
                            </wps:txbx>
                            <wps:bodyPr rot="0" vert="horz" wrap="square" lIns="91440" tIns="91440" rIns="91440" bIns="91440" anchor="ctr" anchorCtr="0" upright="1">
                              <a:noAutofit/>
                            </wps:bodyPr>
                          </wps:wsp>
                          <wps:wsp>
                            <wps:cNvPr id="1751110880" name="AutoShape 6">
                              <a:extLst>
                                <a:ext uri="{C183D7F6-B498-43B3-948B-1728B52AA6E4}">
                                  <adec:decorative xmlns:adec="http://schemas.microsoft.com/office/drawing/2017/decorative" val="1"/>
                                </a:ext>
                              </a:extLst>
                            </wps:cNvPr>
                            <wps:cNvCnPr>
                              <a:cxnSpLocks noChangeShapeType="1"/>
                            </wps:cNvCnPr>
                            <wps:spPr bwMode="auto">
                              <a:xfrm>
                                <a:off x="1848186" y="949782"/>
                                <a:ext cx="0" cy="360144"/>
                              </a:xfrm>
                              <a:prstGeom prst="straightConnector1">
                                <a:avLst/>
                              </a:prstGeom>
                              <a:noFill/>
                              <a:ln w="9525">
                                <a:solidFill>
                                  <a:srgbClr val="5F9FBC">
                                    <a:lumMod val="60000"/>
                                    <a:lumOff val="4000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wps:wsp>
                            <wps:cNvPr id="1851092283" name="AutoShape 7">
                              <a:extLst>
                                <a:ext uri="{C183D7F6-B498-43B3-948B-1728B52AA6E4}">
                                  <adec:decorative xmlns:adec="http://schemas.microsoft.com/office/drawing/2017/decorative" val="1"/>
                                </a:ext>
                              </a:extLst>
                            </wps:cNvPr>
                            <wps:cNvCnPr>
                              <a:cxnSpLocks noChangeShapeType="1"/>
                            </wps:cNvCnPr>
                            <wps:spPr bwMode="auto">
                              <a:xfrm>
                                <a:off x="4407753" y="949781"/>
                                <a:ext cx="0" cy="360144"/>
                              </a:xfrm>
                              <a:prstGeom prst="straightConnector1">
                                <a:avLst/>
                              </a:prstGeom>
                              <a:noFill/>
                              <a:ln w="9525">
                                <a:solidFill>
                                  <a:srgbClr val="5F9FBC">
                                    <a:lumMod val="60000"/>
                                    <a:lumOff val="4000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wps:wsp>
                            <wps:cNvPr id="2130246007" name="AutoShape 8">
                              <a:extLst>
                                <a:ext uri="{C183D7F6-B498-43B3-948B-1728B52AA6E4}">
                                  <adec:decorative xmlns:adec="http://schemas.microsoft.com/office/drawing/2017/decorative" val="1"/>
                                </a:ext>
                              </a:extLst>
                            </wps:cNvPr>
                            <wps:cNvSpPr>
                              <a:spLocks noChangeArrowheads="1"/>
                            </wps:cNvSpPr>
                            <wps:spPr bwMode="auto">
                              <a:xfrm rot="16200000">
                                <a:off x="-309659" y="366820"/>
                                <a:ext cx="1028987" cy="409652"/>
                              </a:xfrm>
                              <a:prstGeom prst="roundRect">
                                <a:avLst>
                                  <a:gd name="adj" fmla="val 16667"/>
                                </a:avLst>
                              </a:prstGeom>
                              <a:solidFill>
                                <a:srgbClr val="5F9FBC">
                                  <a:lumMod val="40000"/>
                                  <a:lumOff val="60000"/>
                                </a:srgbClr>
                              </a:solidFill>
                              <a:ln w="9525">
                                <a:solidFill>
                                  <a:srgbClr val="5F9FBC">
                                    <a:lumMod val="60000"/>
                                    <a:lumOff val="40000"/>
                                  </a:srgbClr>
                                </a:solidFill>
                                <a:round/>
                                <a:headEnd/>
                                <a:tailEnd/>
                              </a:ln>
                            </wps:spPr>
                            <wps:txbx>
                              <w:txbxContent>
                                <w:p w14:paraId="59CDE114" w14:textId="77777777" w:rsidR="00776C3F" w:rsidRPr="001169DC" w:rsidRDefault="00776C3F" w:rsidP="00776C3F">
                                  <w:pPr>
                                    <w:pStyle w:val="berschrift2"/>
                                    <w:spacing w:before="0" w:after="0" w:line="240" w:lineRule="auto"/>
                                    <w:jc w:val="center"/>
                                    <w:rPr>
                                      <w:b w:val="0"/>
                                      <w:bCs w:val="0"/>
                                      <w:noProof/>
                                      <w:szCs w:val="20"/>
                                      <w:lang w:val="fr-FR"/>
                                    </w:rPr>
                                  </w:pPr>
                                  <w:r w:rsidRPr="001169DC">
                                    <w:rPr>
                                      <w:b w:val="0"/>
                                      <w:bCs w:val="0"/>
                                      <w:noProof/>
                                      <w:szCs w:val="20"/>
                                      <w:lang w:val="fr-FR"/>
                                    </w:rPr>
                                    <w:t>Identification</w:t>
                                  </w:r>
                                </w:p>
                              </w:txbxContent>
                            </wps:txbx>
                            <wps:bodyPr rot="0" vert="vert270" wrap="square" lIns="45720" tIns="45720" rIns="45720" bIns="45720" anchor="ctr" anchorCtr="0" upright="1">
                              <a:noAutofit/>
                            </wps:bodyPr>
                          </wps:wsp>
                          <wps:wsp>
                            <wps:cNvPr id="549801510" name="Rectangle 9">
                              <a:extLst>
                                <a:ext uri="{C183D7F6-B498-43B3-948B-1728B52AA6E4}">
                                  <adec:decorative xmlns:adec="http://schemas.microsoft.com/office/drawing/2017/decorative" val="1"/>
                                </a:ext>
                              </a:extLst>
                            </wps:cNvPr>
                            <wps:cNvSpPr>
                              <a:spLocks noChangeArrowheads="1"/>
                            </wps:cNvSpPr>
                            <wps:spPr bwMode="auto">
                              <a:xfrm>
                                <a:off x="3297289" y="193572"/>
                                <a:ext cx="2228850" cy="756210"/>
                              </a:xfrm>
                              <a:prstGeom prst="rect">
                                <a:avLst/>
                              </a:prstGeom>
                              <a:solidFill>
                                <a:srgbClr val="FFFFFF"/>
                              </a:solidFill>
                              <a:ln w="9525">
                                <a:solidFill>
                                  <a:srgbClr val="5F9FBC">
                                    <a:lumMod val="60000"/>
                                    <a:lumOff val="40000"/>
                                  </a:srgbClr>
                                </a:solidFill>
                                <a:miter lim="800000"/>
                                <a:headEnd/>
                                <a:tailEnd/>
                              </a:ln>
                            </wps:spPr>
                            <wps:txbx>
                              <w:txbxContent>
                                <w:p w14:paraId="4A40B2E0" w14:textId="77777777" w:rsidR="00776C3F" w:rsidRPr="00CD5C39" w:rsidRDefault="00776C3F" w:rsidP="00776C3F">
                                  <w:pPr>
                                    <w:jc w:val="center"/>
                                    <w:rPr>
                                      <w:rFonts w:cs="Open Sans SemiCondensed"/>
                                      <w:noProof/>
                                      <w:lang w:val="fr-CH"/>
                                    </w:rPr>
                                  </w:pPr>
                                  <w:r w:rsidRPr="00CD5C39">
                                    <w:rPr>
                                      <w:rFonts w:cs="Open Sans SemiCondensed"/>
                                      <w:noProof/>
                                      <w:lang w:val="fr-CH"/>
                                    </w:rPr>
                                    <w:t>Articles identifiés par d’autres sources  (n=5)</w:t>
                                  </w:r>
                                </w:p>
                              </w:txbxContent>
                            </wps:txbx>
                            <wps:bodyPr rot="0" vert="horz" wrap="square" lIns="91440" tIns="91440" rIns="91440" bIns="91440" anchor="ctr" anchorCtr="0" upright="1">
                              <a:noAutofit/>
                            </wps:bodyPr>
                          </wps:wsp>
                        </wpg:grpSp>
                        <wpg:grpSp>
                          <wpg:cNvPr id="266090633" name="Grouper 23"/>
                          <wpg:cNvGrpSpPr/>
                          <wpg:grpSpPr>
                            <a:xfrm>
                              <a:off x="19056" y="2590800"/>
                              <a:ext cx="4040499" cy="2972263"/>
                              <a:chOff x="8634" y="-1784000"/>
                              <a:chExt cx="4041265" cy="2973377"/>
                            </a:xfrm>
                          </wpg:grpSpPr>
                          <wps:wsp>
                            <wps:cNvPr id="1103879575" name="AutoShape 4">
                              <a:extLst>
                                <a:ext uri="{C183D7F6-B498-43B3-948B-1728B52AA6E4}">
                                  <adec:decorative xmlns:adec="http://schemas.microsoft.com/office/drawing/2017/decorative" val="1"/>
                                </a:ext>
                              </a:extLst>
                            </wps:cNvPr>
                            <wps:cNvSpPr>
                              <a:spLocks noChangeArrowheads="1"/>
                            </wps:cNvSpPr>
                            <wps:spPr bwMode="auto">
                              <a:xfrm rot="16200000">
                                <a:off x="-188772" y="601416"/>
                                <a:ext cx="785367" cy="390555"/>
                              </a:xfrm>
                              <a:prstGeom prst="roundRect">
                                <a:avLst>
                                  <a:gd name="adj" fmla="val 16667"/>
                                </a:avLst>
                              </a:prstGeom>
                              <a:solidFill>
                                <a:srgbClr val="5F9FBC">
                                  <a:lumMod val="40000"/>
                                  <a:lumOff val="60000"/>
                                </a:srgbClr>
                              </a:solidFill>
                              <a:ln w="9525">
                                <a:solidFill>
                                  <a:srgbClr val="5F9FBC">
                                    <a:lumMod val="60000"/>
                                    <a:lumOff val="40000"/>
                                  </a:srgbClr>
                                </a:solidFill>
                                <a:round/>
                                <a:headEnd/>
                                <a:tailEnd/>
                              </a:ln>
                            </wps:spPr>
                            <wps:txbx>
                              <w:txbxContent>
                                <w:p w14:paraId="2F1B29D2" w14:textId="77777777" w:rsidR="00776C3F" w:rsidRPr="00CD5C39" w:rsidRDefault="00776C3F" w:rsidP="004338A9">
                                  <w:pPr>
                                    <w:pStyle w:val="berschrift2"/>
                                    <w:spacing w:before="0" w:after="0" w:line="240" w:lineRule="auto"/>
                                    <w:jc w:val="center"/>
                                    <w:rPr>
                                      <w:b w:val="0"/>
                                      <w:bCs w:val="0"/>
                                      <w:noProof/>
                                      <w:szCs w:val="20"/>
                                      <w:lang w:val="fr-FR"/>
                                    </w:rPr>
                                  </w:pPr>
                                  <w:r w:rsidRPr="00CD5C39">
                                    <w:rPr>
                                      <w:b w:val="0"/>
                                      <w:bCs w:val="0"/>
                                      <w:noProof/>
                                      <w:szCs w:val="20"/>
                                      <w:lang w:val="fr-FR"/>
                                    </w:rPr>
                                    <w:t>Inclusion</w:t>
                                  </w:r>
                                </w:p>
                              </w:txbxContent>
                            </wps:txbx>
                            <wps:bodyPr rot="0" vert="vert270" wrap="square" lIns="45720" tIns="45720" rIns="45720" bIns="45720" anchor="ctr" anchorCtr="0" upright="1">
                              <a:noAutofit/>
                            </wps:bodyPr>
                          </wps:wsp>
                          <wps:wsp>
                            <wps:cNvPr id="701857236" name="Rectangle 15">
                              <a:extLst>
                                <a:ext uri="{C183D7F6-B498-43B3-948B-1728B52AA6E4}">
                                  <adec:decorative xmlns:adec="http://schemas.microsoft.com/office/drawing/2017/decorative" val="1"/>
                                </a:ext>
                              </a:extLst>
                            </wps:cNvPr>
                            <wps:cNvSpPr>
                              <a:spLocks noChangeArrowheads="1"/>
                            </wps:cNvSpPr>
                            <wps:spPr bwMode="auto">
                              <a:xfrm>
                                <a:off x="2141589" y="385562"/>
                                <a:ext cx="1908310" cy="756274"/>
                              </a:xfrm>
                              <a:prstGeom prst="rect">
                                <a:avLst/>
                              </a:prstGeom>
                              <a:solidFill>
                                <a:srgbClr val="FFFFFF"/>
                              </a:solidFill>
                              <a:ln w="9525">
                                <a:solidFill>
                                  <a:srgbClr val="5F9FBC">
                                    <a:lumMod val="60000"/>
                                    <a:lumOff val="40000"/>
                                  </a:srgbClr>
                                </a:solidFill>
                                <a:miter lim="800000"/>
                                <a:headEnd/>
                                <a:tailEnd/>
                              </a:ln>
                            </wps:spPr>
                            <wps:txbx>
                              <w:txbxContent>
                                <w:p w14:paraId="40202D17" w14:textId="32F18D8F" w:rsidR="00776C3F" w:rsidRPr="00CD5C39" w:rsidRDefault="00776C3F" w:rsidP="00776C3F">
                                  <w:pPr>
                                    <w:jc w:val="center"/>
                                    <w:rPr>
                                      <w:rFonts w:cs="Open Sans SemiCondensed"/>
                                      <w:lang w:val="en-US"/>
                                    </w:rPr>
                                  </w:pPr>
                                  <w:r w:rsidRPr="00CD5C39">
                                    <w:rPr>
                                      <w:rFonts w:cs="Open Sans SemiCondensed"/>
                                      <w:lang w:val="en-US"/>
                                    </w:rPr>
                                    <w:t>Articles in</w:t>
                                  </w:r>
                                  <w:r w:rsidR="000E04DC">
                                    <w:rPr>
                                      <w:rFonts w:cs="Open Sans SemiCondensed"/>
                                      <w:lang w:val="en-US"/>
                                    </w:rPr>
                                    <w:t>cl</w:t>
                                  </w:r>
                                  <w:r w:rsidRPr="00CD5C39">
                                    <w:rPr>
                                      <w:rFonts w:cs="Open Sans SemiCondensed"/>
                                      <w:lang w:val="en-US"/>
                                    </w:rPr>
                                    <w:t xml:space="preserve">us </w:t>
                                  </w:r>
                                  <w:r w:rsidRPr="00CD5C39">
                                    <w:rPr>
                                      <w:rFonts w:cs="Open Sans SemiCondensed"/>
                                      <w:lang w:val="en-US"/>
                                    </w:rPr>
                                    <w:br/>
                                    <w:t>(n=9)</w:t>
                                  </w:r>
                                </w:p>
                              </w:txbxContent>
                            </wps:txbx>
                            <wps:bodyPr rot="0" vert="horz" wrap="square" lIns="91440" tIns="91440" rIns="91440" bIns="91440" anchor="ctr" anchorCtr="0" upright="1">
                              <a:noAutofit/>
                            </wps:bodyPr>
                          </wps:wsp>
                          <wps:wsp>
                            <wps:cNvPr id="1665083459" name="AutoShape 19"/>
                            <wps:cNvCnPr>
                              <a:cxnSpLocks noChangeShapeType="1"/>
                            </wps:cNvCnPr>
                            <wps:spPr bwMode="auto">
                              <a:xfrm>
                                <a:off x="3057076" y="-1784000"/>
                                <a:ext cx="0" cy="360131"/>
                              </a:xfrm>
                              <a:prstGeom prst="straightConnector1">
                                <a:avLst/>
                              </a:prstGeom>
                              <a:noFill/>
                              <a:ln w="9525">
                                <a:solidFill>
                                  <a:srgbClr val="5F9FBC">
                                    <a:lumMod val="60000"/>
                                    <a:lumOff val="4000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wpg:grpSp>
                        <wpg:grpSp>
                          <wpg:cNvPr id="1097515014" name="Grouper 21"/>
                          <wpg:cNvGrpSpPr/>
                          <wpg:grpSpPr>
                            <a:xfrm>
                              <a:off x="19070" y="1181058"/>
                              <a:ext cx="7084040" cy="2171700"/>
                              <a:chOff x="17" y="-97351"/>
                              <a:chExt cx="6518987" cy="2112914"/>
                            </a:xfrm>
                          </wpg:grpSpPr>
                          <wps:wsp>
                            <wps:cNvPr id="1676916744" name="AutoShape 3">
                              <a:extLst>
                                <a:ext uri="{C183D7F6-B498-43B3-948B-1728B52AA6E4}">
                                  <adec:decorative xmlns:adec="http://schemas.microsoft.com/office/drawing/2017/decorative" val="1"/>
                                </a:ext>
                              </a:extLst>
                            </wps:cNvPr>
                            <wps:cNvSpPr>
                              <a:spLocks noChangeArrowheads="1"/>
                            </wps:cNvSpPr>
                            <wps:spPr bwMode="auto">
                              <a:xfrm rot="16200000">
                                <a:off x="-876773" y="779439"/>
                                <a:ext cx="2112914" cy="359333"/>
                              </a:xfrm>
                              <a:prstGeom prst="roundRect">
                                <a:avLst>
                                  <a:gd name="adj" fmla="val 16667"/>
                                </a:avLst>
                              </a:prstGeom>
                              <a:solidFill>
                                <a:srgbClr val="5F9FBC">
                                  <a:lumMod val="40000"/>
                                  <a:lumOff val="60000"/>
                                </a:srgbClr>
                              </a:solidFill>
                              <a:ln w="9525">
                                <a:solidFill>
                                  <a:srgbClr val="5F9FBC">
                                    <a:lumMod val="60000"/>
                                    <a:lumOff val="40000"/>
                                  </a:srgbClr>
                                </a:solidFill>
                                <a:round/>
                                <a:headEnd/>
                                <a:tailEnd/>
                              </a:ln>
                            </wps:spPr>
                            <wps:txbx>
                              <w:txbxContent>
                                <w:p w14:paraId="2D6E8FFE" w14:textId="77777777" w:rsidR="00776C3F" w:rsidRPr="001169DC" w:rsidRDefault="00776C3F" w:rsidP="00776C3F">
                                  <w:pPr>
                                    <w:pStyle w:val="berschrift2"/>
                                    <w:spacing w:before="0" w:after="0" w:line="240" w:lineRule="auto"/>
                                    <w:jc w:val="center"/>
                                    <w:rPr>
                                      <w:b w:val="0"/>
                                      <w:bCs w:val="0"/>
                                      <w:noProof/>
                                      <w:szCs w:val="20"/>
                                      <w:lang w:val="fr-FR"/>
                                    </w:rPr>
                                  </w:pPr>
                                  <w:r w:rsidRPr="001169DC">
                                    <w:rPr>
                                      <w:b w:val="0"/>
                                      <w:bCs w:val="0"/>
                                      <w:noProof/>
                                      <w:szCs w:val="20"/>
                                      <w:lang w:val="fr-FR"/>
                                    </w:rPr>
                                    <w:t>Sélection</w:t>
                                  </w:r>
                                </w:p>
                              </w:txbxContent>
                            </wps:txbx>
                            <wps:bodyPr rot="0" vert="vert270" wrap="square" lIns="45720" tIns="45720" rIns="45720" bIns="45720" anchor="ctr" anchorCtr="0" upright="1">
                              <a:noAutofit/>
                            </wps:bodyPr>
                          </wps:wsp>
                          <wps:wsp>
                            <wps:cNvPr id="1203586569" name="Rectangle 10">
                              <a:extLst>
                                <a:ext uri="{C183D7F6-B498-43B3-948B-1728B52AA6E4}">
                                  <adec:decorative xmlns:adec="http://schemas.microsoft.com/office/drawing/2017/decorative" val="1"/>
                                </a:ext>
                              </a:extLst>
                            </wps:cNvPr>
                            <wps:cNvSpPr>
                              <a:spLocks noChangeArrowheads="1"/>
                            </wps:cNvSpPr>
                            <wps:spPr bwMode="auto">
                              <a:xfrm>
                                <a:off x="1341055" y="87503"/>
                                <a:ext cx="2981503" cy="700509"/>
                              </a:xfrm>
                              <a:prstGeom prst="rect">
                                <a:avLst/>
                              </a:prstGeom>
                              <a:solidFill>
                                <a:srgbClr val="FFFFFF"/>
                              </a:solidFill>
                              <a:ln w="9525">
                                <a:solidFill>
                                  <a:srgbClr val="5F9FBC">
                                    <a:lumMod val="60000"/>
                                    <a:lumOff val="40000"/>
                                  </a:srgbClr>
                                </a:solidFill>
                                <a:miter lim="800000"/>
                                <a:headEnd/>
                                <a:tailEnd/>
                              </a:ln>
                            </wps:spPr>
                            <wps:txbx>
                              <w:txbxContent>
                                <w:p w14:paraId="0596C570" w14:textId="77777777" w:rsidR="00776C3F" w:rsidRPr="00CD5C39" w:rsidRDefault="00776C3F" w:rsidP="00776C3F">
                                  <w:pPr>
                                    <w:jc w:val="center"/>
                                    <w:rPr>
                                      <w:rFonts w:cs="Open Sans SemiCondensed"/>
                                      <w:noProof/>
                                      <w:lang w:val="fr-CH"/>
                                    </w:rPr>
                                  </w:pPr>
                                  <w:r w:rsidRPr="00CD5C39">
                                    <w:rPr>
                                      <w:rFonts w:cs="Open Sans SemiCondensed"/>
                                      <w:noProof/>
                                      <w:lang w:val="fr-CH"/>
                                    </w:rPr>
                                    <w:t>Articles identifiés après la suppression des doublons (n=623)</w:t>
                                  </w:r>
                                </w:p>
                              </w:txbxContent>
                            </wps:txbx>
                            <wps:bodyPr rot="0" vert="horz" wrap="square" lIns="91440" tIns="91440" rIns="91440" bIns="91440" anchor="ctr" anchorCtr="0" upright="1">
                              <a:noAutofit/>
                            </wps:bodyPr>
                          </wps:wsp>
                          <wps:wsp>
                            <wps:cNvPr id="702629156" name="Rectangle 11">
                              <a:extLst>
                                <a:ext uri="{C183D7F6-B498-43B3-948B-1728B52AA6E4}">
                                  <adec:decorative xmlns:adec="http://schemas.microsoft.com/office/drawing/2017/decorative" val="1"/>
                                </a:ext>
                              </a:extLst>
                            </wps:cNvPr>
                            <wps:cNvSpPr>
                              <a:spLocks noChangeArrowheads="1"/>
                            </wps:cNvSpPr>
                            <wps:spPr bwMode="auto">
                              <a:xfrm>
                                <a:off x="1339356" y="1208828"/>
                                <a:ext cx="2981503" cy="700509"/>
                              </a:xfrm>
                              <a:prstGeom prst="rect">
                                <a:avLst/>
                              </a:prstGeom>
                              <a:solidFill>
                                <a:srgbClr val="FFFFFF"/>
                              </a:solidFill>
                              <a:ln w="9525">
                                <a:solidFill>
                                  <a:srgbClr val="5F9FBC">
                                    <a:lumMod val="60000"/>
                                    <a:lumOff val="40000"/>
                                  </a:srgbClr>
                                </a:solidFill>
                                <a:miter lim="800000"/>
                                <a:headEnd/>
                                <a:tailEnd/>
                              </a:ln>
                            </wps:spPr>
                            <wps:txbx>
                              <w:txbxContent>
                                <w:p w14:paraId="04211C14" w14:textId="61C74C87" w:rsidR="00776C3F" w:rsidRPr="00CD5C39" w:rsidRDefault="00776C3F" w:rsidP="00776C3F">
                                  <w:pPr>
                                    <w:jc w:val="center"/>
                                    <w:rPr>
                                      <w:rFonts w:cs="Open Sans SemiCondensed"/>
                                      <w:noProof/>
                                      <w:lang w:val="fr-CH"/>
                                    </w:rPr>
                                  </w:pPr>
                                  <w:r w:rsidRPr="00CD5C39">
                                    <w:rPr>
                                      <w:rFonts w:cs="Open Sans SemiCondensed"/>
                                      <w:noProof/>
                                      <w:lang w:val="fr-CH"/>
                                    </w:rPr>
                                    <w:t xml:space="preserve">Articles </w:t>
                                  </w:r>
                                  <w:r w:rsidR="002950AE">
                                    <w:rPr>
                                      <w:rFonts w:cs="Open Sans SemiCondensed"/>
                                      <w:noProof/>
                                      <w:lang w:val="fr-CH"/>
                                    </w:rPr>
                                    <w:t>sélectionnés</w:t>
                                  </w:r>
                                  <w:r w:rsidRPr="00CD5C39">
                                    <w:rPr>
                                      <w:rFonts w:cs="Open Sans SemiCondensed"/>
                                      <w:noProof/>
                                      <w:lang w:val="fr-CH"/>
                                    </w:rPr>
                                    <w:t xml:space="preserve"> avec le résumé et la lecture complète de l’article (n=21)</w:t>
                                  </w:r>
                                </w:p>
                              </w:txbxContent>
                            </wps:txbx>
                            <wps:bodyPr rot="0" vert="horz" wrap="square" lIns="91440" tIns="91440" rIns="91440" bIns="91440" anchor="ctr" anchorCtr="0" upright="1">
                              <a:noAutofit/>
                            </wps:bodyPr>
                          </wps:wsp>
                          <wps:wsp>
                            <wps:cNvPr id="618723812" name="Rectangle 12">
                              <a:extLst>
                                <a:ext uri="{C183D7F6-B498-43B3-948B-1728B52AA6E4}">
                                  <adec:decorative xmlns:adec="http://schemas.microsoft.com/office/drawing/2017/decorative" val="1"/>
                                </a:ext>
                              </a:extLst>
                            </wps:cNvPr>
                            <wps:cNvSpPr>
                              <a:spLocks noChangeArrowheads="1"/>
                            </wps:cNvSpPr>
                            <wps:spPr bwMode="auto">
                              <a:xfrm>
                                <a:off x="4774259" y="1190293"/>
                                <a:ext cx="1744745" cy="735536"/>
                              </a:xfrm>
                              <a:prstGeom prst="rect">
                                <a:avLst/>
                              </a:prstGeom>
                              <a:solidFill>
                                <a:srgbClr val="FFFFFF"/>
                              </a:solidFill>
                              <a:ln w="9525">
                                <a:solidFill>
                                  <a:srgbClr val="5F9FBC">
                                    <a:lumMod val="60000"/>
                                    <a:lumOff val="40000"/>
                                  </a:srgbClr>
                                </a:solidFill>
                                <a:miter lim="800000"/>
                                <a:headEnd/>
                                <a:tailEnd/>
                              </a:ln>
                            </wps:spPr>
                            <wps:txbx>
                              <w:txbxContent>
                                <w:p w14:paraId="053EDC33" w14:textId="77777777" w:rsidR="00776C3F" w:rsidRPr="00CD5C39" w:rsidRDefault="00776C3F" w:rsidP="00776C3F">
                                  <w:pPr>
                                    <w:tabs>
                                      <w:tab w:val="left" w:pos="142"/>
                                    </w:tabs>
                                    <w:jc w:val="center"/>
                                    <w:rPr>
                                      <w:rFonts w:cs="Open Sans SemiCondensed"/>
                                      <w:lang w:val="fr-FR"/>
                                    </w:rPr>
                                  </w:pPr>
                                  <w:r w:rsidRPr="00CD5C39">
                                    <w:rPr>
                                      <w:rFonts w:cs="Open Sans SemiCondensed"/>
                                      <w:lang w:val="fr-FR"/>
                                    </w:rPr>
                                    <w:t>Articles exclus</w:t>
                                  </w:r>
                                  <w:r w:rsidRPr="00CD5C39">
                                    <w:rPr>
                                      <w:rFonts w:cs="Open Sans SemiCondensed"/>
                                      <w:lang w:val="fr-FR"/>
                                    </w:rPr>
                                    <w:br/>
                                    <w:t>(n=602)</w:t>
                                  </w:r>
                                </w:p>
                              </w:txbxContent>
                            </wps:txbx>
                            <wps:bodyPr rot="0" vert="horz" wrap="square" lIns="91440" tIns="91440" rIns="91440" bIns="91440" anchor="ctr" anchorCtr="0" upright="1">
                              <a:noAutofit/>
                            </wps:bodyPr>
                          </wps:wsp>
                        </wpg:grpSp>
                        <wpg:grpSp>
                          <wpg:cNvPr id="1492458268" name="Grouper 22"/>
                          <wpg:cNvGrpSpPr/>
                          <wpg:grpSpPr>
                            <a:xfrm>
                              <a:off x="19059" y="3524174"/>
                              <a:ext cx="7102783" cy="2107535"/>
                              <a:chOff x="-498917" y="150783"/>
                              <a:chExt cx="7603944" cy="1826408"/>
                            </a:xfrm>
                          </wpg:grpSpPr>
                          <wps:wsp>
                            <wps:cNvPr id="73760194" name="AutoShape 5">
                              <a:extLst>
                                <a:ext uri="{C183D7F6-B498-43B3-948B-1728B52AA6E4}">
                                  <adec:decorative xmlns:adec="http://schemas.microsoft.com/office/drawing/2017/decorative" val="1"/>
                                </a:ext>
                              </a:extLst>
                            </wps:cNvPr>
                            <wps:cNvSpPr>
                              <a:spLocks noChangeArrowheads="1"/>
                            </wps:cNvSpPr>
                            <wps:spPr bwMode="auto">
                              <a:xfrm rot="16200000">
                                <a:off x="-746635" y="398501"/>
                                <a:ext cx="913465" cy="418030"/>
                              </a:xfrm>
                              <a:prstGeom prst="roundRect">
                                <a:avLst>
                                  <a:gd name="adj" fmla="val 16667"/>
                                </a:avLst>
                              </a:prstGeom>
                              <a:solidFill>
                                <a:srgbClr val="5F9FBC">
                                  <a:lumMod val="40000"/>
                                  <a:lumOff val="60000"/>
                                </a:srgbClr>
                              </a:solidFill>
                              <a:ln w="9525">
                                <a:solidFill>
                                  <a:srgbClr val="5F9FBC">
                                    <a:lumMod val="60000"/>
                                    <a:lumOff val="40000"/>
                                  </a:srgbClr>
                                </a:solidFill>
                                <a:round/>
                                <a:headEnd/>
                                <a:tailEnd/>
                              </a:ln>
                            </wps:spPr>
                            <wps:txbx>
                              <w:txbxContent>
                                <w:p w14:paraId="57923517" w14:textId="77777777" w:rsidR="00776C3F" w:rsidRPr="00CD5C39" w:rsidRDefault="00776C3F" w:rsidP="00776C3F">
                                  <w:pPr>
                                    <w:pStyle w:val="berschrift2"/>
                                    <w:spacing w:before="0" w:after="0" w:line="240" w:lineRule="auto"/>
                                    <w:jc w:val="center"/>
                                    <w:rPr>
                                      <w:b w:val="0"/>
                                      <w:bCs w:val="0"/>
                                      <w:noProof/>
                                      <w:szCs w:val="20"/>
                                      <w:lang w:val="fr-FR"/>
                                    </w:rPr>
                                  </w:pPr>
                                  <w:r w:rsidRPr="00CD5C39">
                                    <w:rPr>
                                      <w:b w:val="0"/>
                                      <w:bCs w:val="0"/>
                                      <w:noProof/>
                                      <w:szCs w:val="20"/>
                                      <w:lang w:val="fr-FR"/>
                                    </w:rPr>
                                    <w:t>Eligibilité</w:t>
                                  </w:r>
                                </w:p>
                              </w:txbxContent>
                            </wps:txbx>
                            <wps:bodyPr rot="0" vert="vert270" wrap="square" lIns="45720" tIns="45720" rIns="45720" bIns="45720" anchor="ctr" anchorCtr="0" upright="1">
                              <a:noAutofit/>
                            </wps:bodyPr>
                          </wps:wsp>
                          <wps:wsp>
                            <wps:cNvPr id="2136930839" name="Rectangle 14">
                              <a:extLst>
                                <a:ext uri="{C183D7F6-B498-43B3-948B-1728B52AA6E4}">
                                  <adec:decorative xmlns:adec="http://schemas.microsoft.com/office/drawing/2017/decorative" val="1"/>
                                </a:ext>
                              </a:extLst>
                            </wps:cNvPr>
                            <wps:cNvSpPr>
                              <a:spLocks noChangeArrowheads="1"/>
                            </wps:cNvSpPr>
                            <wps:spPr bwMode="auto">
                              <a:xfrm>
                                <a:off x="5075190" y="319632"/>
                                <a:ext cx="2029837" cy="1657559"/>
                              </a:xfrm>
                              <a:prstGeom prst="rect">
                                <a:avLst/>
                              </a:prstGeom>
                              <a:solidFill>
                                <a:srgbClr val="FFFFFF"/>
                              </a:solidFill>
                              <a:ln w="9525">
                                <a:solidFill>
                                  <a:srgbClr val="5F9FBC">
                                    <a:lumMod val="60000"/>
                                    <a:lumOff val="40000"/>
                                  </a:srgbClr>
                                </a:solidFill>
                                <a:miter lim="800000"/>
                                <a:headEnd/>
                                <a:tailEnd/>
                              </a:ln>
                            </wps:spPr>
                            <wps:txbx>
                              <w:txbxContent>
                                <w:p w14:paraId="1F0BA5C6" w14:textId="77777777" w:rsidR="00776C3F" w:rsidRPr="00CD5C39" w:rsidRDefault="00776C3F" w:rsidP="00776C3F">
                                  <w:pPr>
                                    <w:jc w:val="center"/>
                                    <w:rPr>
                                      <w:rFonts w:cs="Open Sans SemiCondensed"/>
                                      <w:lang w:val="fr-CH"/>
                                    </w:rPr>
                                  </w:pPr>
                                  <w:r w:rsidRPr="00CD5C39">
                                    <w:rPr>
                                      <w:rFonts w:cs="Open Sans SemiCondensed"/>
                                      <w:lang w:val="fr-CH"/>
                                    </w:rPr>
                                    <w:t xml:space="preserve">Articles exclus </w:t>
                                  </w:r>
                                  <w:r w:rsidRPr="00CD5C39">
                                    <w:rPr>
                                      <w:rFonts w:cs="Open Sans SemiCondensed"/>
                                      <w:lang w:val="fr-CH"/>
                                    </w:rPr>
                                    <w:br/>
                                    <w:t>(n=12)</w:t>
                                  </w:r>
                                </w:p>
                                <w:p w14:paraId="1CE35E6B" w14:textId="77777777" w:rsidR="00776C3F" w:rsidRPr="00CD5C39" w:rsidRDefault="00776C3F" w:rsidP="00776C3F">
                                  <w:pPr>
                                    <w:rPr>
                                      <w:rFonts w:cs="Open Sans SemiCondensed"/>
                                      <w:lang w:val="fr-CH"/>
                                    </w:rPr>
                                  </w:pPr>
                                  <w:r w:rsidRPr="00CD5C39">
                                    <w:rPr>
                                      <w:rFonts w:cs="Open Sans SemiCondensed"/>
                                      <w:lang w:val="fr-CH"/>
                                    </w:rPr>
                                    <w:t>Raisons :</w:t>
                                  </w:r>
                                </w:p>
                                <w:p w14:paraId="10BFBC63" w14:textId="77777777" w:rsidR="008C12AC" w:rsidRPr="00776C3F" w:rsidRDefault="008C12AC" w:rsidP="008C12AC">
                                  <w:pPr>
                                    <w:pStyle w:val="Listenabsatz"/>
                                    <w:numPr>
                                      <w:ilvl w:val="0"/>
                                      <w:numId w:val="7"/>
                                    </w:numPr>
                                    <w:ind w:left="142" w:hanging="142"/>
                                    <w:rPr>
                                      <w:rFonts w:ascii="Calibri" w:hAnsi="Calibri"/>
                                      <w:lang w:val="fr-CH"/>
                                    </w:rPr>
                                  </w:pPr>
                                  <w:r w:rsidRPr="00776C3F">
                                    <w:rPr>
                                      <w:rFonts w:cs="Open Sans SemiCondensed"/>
                                      <w:lang w:val="fr-CH"/>
                                    </w:rPr>
                                    <w:t>Pas de DV</w:t>
                                  </w:r>
                                </w:p>
                                <w:p w14:paraId="79DF90B7" w14:textId="35B25ADF" w:rsidR="008C12AC" w:rsidRPr="008C12AC" w:rsidRDefault="008C12AC" w:rsidP="008C12AC">
                                  <w:pPr>
                                    <w:pStyle w:val="Listenabsatz"/>
                                    <w:numPr>
                                      <w:ilvl w:val="0"/>
                                      <w:numId w:val="7"/>
                                    </w:numPr>
                                    <w:ind w:left="142" w:hanging="142"/>
                                    <w:rPr>
                                      <w:rFonts w:ascii="Calibri" w:hAnsi="Calibri"/>
                                      <w:lang w:val="fr-CH"/>
                                    </w:rPr>
                                  </w:pPr>
                                  <w:r w:rsidRPr="00776C3F">
                                    <w:rPr>
                                      <w:rFonts w:cs="Open Sans SemiCondensed"/>
                                      <w:lang w:val="fr-CH"/>
                                    </w:rPr>
                                    <w:t>Pas d’évaluation du CA</w:t>
                                  </w:r>
                                </w:p>
                                <w:p w14:paraId="44D6BE0A" w14:textId="427E145A" w:rsidR="00776C3F" w:rsidRDefault="00776C3F" w:rsidP="00776C3F">
                                  <w:pPr>
                                    <w:pStyle w:val="Listenabsatz"/>
                                    <w:numPr>
                                      <w:ilvl w:val="0"/>
                                      <w:numId w:val="7"/>
                                    </w:numPr>
                                    <w:ind w:left="142" w:hanging="142"/>
                                    <w:rPr>
                                      <w:rFonts w:cs="Open Sans SemiCondensed"/>
                                      <w:lang w:val="fr-CH"/>
                                    </w:rPr>
                                  </w:pPr>
                                  <w:r w:rsidRPr="00776C3F">
                                    <w:rPr>
                                      <w:rFonts w:cs="Open Sans SemiCondensed"/>
                                      <w:lang w:val="fr-CH"/>
                                    </w:rPr>
                                    <w:t xml:space="preserve">Pas d’évaluation </w:t>
                                  </w:r>
                                  <w:r w:rsidRPr="00776C3F">
                                    <w:rPr>
                                      <w:rFonts w:cs="Open Sans SemiCondensed"/>
                                      <w:lang w:val="fr-CH"/>
                                    </w:rPr>
                                    <w:br/>
                                    <w:t>standardisée</w:t>
                                  </w:r>
                                </w:p>
                                <w:p w14:paraId="03C01D9C" w14:textId="2F0D4F35" w:rsidR="00776C3F" w:rsidRPr="00776C3F" w:rsidRDefault="00776C3F" w:rsidP="00776C3F">
                                  <w:pPr>
                                    <w:pStyle w:val="Listenabsatz"/>
                                    <w:numPr>
                                      <w:ilvl w:val="0"/>
                                      <w:numId w:val="7"/>
                                    </w:numPr>
                                    <w:ind w:left="142" w:hanging="142"/>
                                    <w:rPr>
                                      <w:rFonts w:ascii="Calibri" w:hAnsi="Calibri"/>
                                      <w:lang w:val="fr-CH"/>
                                    </w:rPr>
                                  </w:pPr>
                                  <w:r w:rsidRPr="00776C3F">
                                    <w:rPr>
                                      <w:rFonts w:cs="Open Sans SemiCondensed"/>
                                      <w:lang w:val="fr-CH"/>
                                    </w:rPr>
                                    <w:t>Autres langues</w:t>
                                  </w:r>
                                </w:p>
                              </w:txbxContent>
                            </wps:txbx>
                            <wps:bodyPr rot="0" vert="horz" wrap="square" lIns="91440" tIns="91440" rIns="91440" bIns="91440" anchor="ctr" anchorCtr="0" upright="1">
                              <a:noAutofit/>
                            </wps:bodyPr>
                          </wps:wsp>
                        </wpg:grpSp>
                        <wps:wsp>
                          <wps:cNvPr id="1738167835" name="Rectangle 11">
                            <a:extLst>
                              <a:ext uri="{C183D7F6-B498-43B3-948B-1728B52AA6E4}">
                                <adec:decorative xmlns:adec="http://schemas.microsoft.com/office/drawing/2017/decorative" val="1"/>
                              </a:ext>
                            </a:extLst>
                          </wps:cNvPr>
                          <wps:cNvSpPr>
                            <a:spLocks noChangeArrowheads="1"/>
                          </wps:cNvSpPr>
                          <wps:spPr bwMode="auto">
                            <a:xfrm>
                              <a:off x="1466850" y="3714750"/>
                              <a:ext cx="3239770" cy="587375"/>
                            </a:xfrm>
                            <a:prstGeom prst="rect">
                              <a:avLst/>
                            </a:prstGeom>
                            <a:solidFill>
                              <a:srgbClr val="FFFFFF"/>
                            </a:solidFill>
                            <a:ln w="9525">
                              <a:solidFill>
                                <a:srgbClr val="5F9FBC">
                                  <a:lumMod val="60000"/>
                                  <a:lumOff val="40000"/>
                                </a:srgbClr>
                              </a:solidFill>
                              <a:miter lim="800000"/>
                              <a:headEnd/>
                              <a:tailEnd/>
                            </a:ln>
                          </wps:spPr>
                          <wps:txbx>
                            <w:txbxContent>
                              <w:p w14:paraId="7C3CA4C9" w14:textId="77777777" w:rsidR="00776C3F" w:rsidRPr="00CD5C39" w:rsidRDefault="00776C3F" w:rsidP="00776C3F">
                                <w:pPr>
                                  <w:jc w:val="center"/>
                                  <w:rPr>
                                    <w:rFonts w:cs="Open Sans SemiCondensed"/>
                                    <w:lang w:val="fr-CH"/>
                                  </w:rPr>
                                </w:pPr>
                                <w:r w:rsidRPr="00CD5C39">
                                  <w:rPr>
                                    <w:rFonts w:cs="Open Sans SemiCondensed"/>
                                    <w:lang w:val="fr-CH"/>
                                  </w:rPr>
                                  <w:t xml:space="preserve">Articles sélectionnés pour éligibilité </w:t>
                                </w:r>
                              </w:p>
                              <w:p w14:paraId="3D8ABF49" w14:textId="77777777" w:rsidR="00776C3F" w:rsidRPr="00CD5C39" w:rsidRDefault="00776C3F" w:rsidP="00776C3F">
                                <w:pPr>
                                  <w:jc w:val="center"/>
                                  <w:rPr>
                                    <w:rFonts w:cs="Open Sans SemiCondensed"/>
                                    <w:noProof/>
                                    <w:lang w:val="fr-CH"/>
                                  </w:rPr>
                                </w:pPr>
                                <w:r w:rsidRPr="00CD5C39">
                                  <w:rPr>
                                    <w:rFonts w:cs="Open Sans SemiCondensed"/>
                                    <w:noProof/>
                                    <w:lang w:val="fr-CH"/>
                                  </w:rPr>
                                  <w:t xml:space="preserve"> (n=21)</w:t>
                                </w:r>
                              </w:p>
                            </w:txbxContent>
                          </wps:txbx>
                          <wps:bodyPr rot="0" vert="horz" wrap="square" lIns="91440" tIns="91440" rIns="91440" bIns="91440" anchor="ctr" anchorCtr="0" upright="1">
                            <a:noAutofit/>
                          </wps:bodyPr>
                        </wps:wsp>
                        <wps:wsp>
                          <wps:cNvPr id="234801913" name="Gerade Verbindung mit Pfeil 2">
                            <a:extLst>
                              <a:ext uri="{C183D7F6-B498-43B3-948B-1728B52AA6E4}">
                                <adec:decorative xmlns:adec="http://schemas.microsoft.com/office/drawing/2017/decorative" val="1"/>
                              </a:ext>
                            </a:extLst>
                          </wps:cNvPr>
                          <wps:cNvCnPr/>
                          <wps:spPr>
                            <a:xfrm>
                              <a:off x="3105150" y="4305300"/>
                              <a:ext cx="0" cy="360000"/>
                            </a:xfrm>
                            <a:prstGeom prst="straightConnector1">
                              <a:avLst/>
                            </a:prstGeom>
                            <a:noFill/>
                            <a:ln w="6350" cap="flat" cmpd="sng" algn="ctr">
                              <a:solidFill>
                                <a:srgbClr val="5F9FBC">
                                  <a:lumMod val="60000"/>
                                  <a:lumOff val="40000"/>
                                </a:srgbClr>
                              </a:solidFill>
                              <a:prstDash val="solid"/>
                              <a:miter lim="800000"/>
                              <a:tailEnd type="triangle"/>
                            </a:ln>
                            <a:effectLst/>
                          </wps:spPr>
                          <wps:bodyPr/>
                        </wps:wsp>
                        <wps:wsp>
                          <wps:cNvPr id="1899557236" name="Gerade Verbindung mit Pfeil 4"/>
                          <wps:cNvCnPr/>
                          <wps:spPr>
                            <a:xfrm>
                              <a:off x="4714875" y="2876550"/>
                              <a:ext cx="359410" cy="0"/>
                            </a:xfrm>
                            <a:prstGeom prst="straightConnector1">
                              <a:avLst/>
                            </a:prstGeom>
                            <a:noFill/>
                            <a:ln w="6350" cap="flat" cmpd="sng" algn="ctr">
                              <a:solidFill>
                                <a:srgbClr val="5F9FBC">
                                  <a:lumMod val="60000"/>
                                  <a:lumOff val="40000"/>
                                </a:srgbClr>
                              </a:solidFill>
                              <a:prstDash val="solid"/>
                              <a:miter lim="800000"/>
                              <a:tailEnd type="triangle"/>
                            </a:ln>
                            <a:effectLst/>
                          </wps:spPr>
                          <wps:bodyPr/>
                        </wps:wsp>
                        <wps:wsp>
                          <wps:cNvPr id="1741514068" name="Gerade Verbindung mit Pfeil 4">
                            <a:extLst>
                              <a:ext uri="{C183D7F6-B498-43B3-948B-1728B52AA6E4}">
                                <adec:decorative xmlns:adec="http://schemas.microsoft.com/office/drawing/2017/decorative" val="1"/>
                              </a:ext>
                            </a:extLst>
                          </wps:cNvPr>
                          <wps:cNvCnPr/>
                          <wps:spPr>
                            <a:xfrm>
                              <a:off x="4714875" y="3990975"/>
                              <a:ext cx="360000" cy="0"/>
                            </a:xfrm>
                            <a:prstGeom prst="straightConnector1">
                              <a:avLst/>
                            </a:prstGeom>
                            <a:noFill/>
                            <a:ln w="6350" cap="flat" cmpd="sng" algn="ctr">
                              <a:solidFill>
                                <a:srgbClr val="5F9FBC">
                                  <a:lumMod val="60000"/>
                                  <a:lumOff val="40000"/>
                                </a:srgbClr>
                              </a:solidFill>
                              <a:prstDash val="solid"/>
                              <a:miter lim="800000"/>
                              <a:tailEnd type="triangle"/>
                            </a:ln>
                            <a:effectLst/>
                          </wps:spPr>
                          <wps:bodyPr/>
                        </wps:wsp>
                        <wps:wsp>
                          <wps:cNvPr id="683744768" name="Gerade Verbindung mit Pfeil 5">
                            <a:extLst>
                              <a:ext uri="{C183D7F6-B498-43B3-948B-1728B52AA6E4}">
                                <adec:decorative xmlns:adec="http://schemas.microsoft.com/office/drawing/2017/decorative" val="1"/>
                              </a:ext>
                            </a:extLst>
                          </wps:cNvPr>
                          <wps:cNvCnPr/>
                          <wps:spPr>
                            <a:xfrm>
                              <a:off x="3076575" y="2085975"/>
                              <a:ext cx="0" cy="359410"/>
                            </a:xfrm>
                            <a:prstGeom prst="straightConnector1">
                              <a:avLst/>
                            </a:prstGeom>
                            <a:noFill/>
                            <a:ln w="6350" cap="flat" cmpd="sng" algn="ctr">
                              <a:solidFill>
                                <a:srgbClr val="5F9FBC">
                                  <a:lumMod val="60000"/>
                                  <a:lumOff val="40000"/>
                                </a:srgbClr>
                              </a:solidFill>
                              <a:prstDash val="solid"/>
                              <a:miter lim="800000"/>
                              <a:tailEnd type="triangle"/>
                            </a:ln>
                            <a:effectLst/>
                          </wps:spPr>
                          <wps:bodyPr/>
                        </wps:wsp>
                      </wpg:grpSp>
                      <wps:wsp>
                        <wps:cNvPr id="471478704" name="Gerade Verbindung mit Pfeil 2">
                          <a:extLst>
                            <a:ext uri="{C183D7F6-B498-43B3-948B-1728B52AA6E4}">
                              <adec:decorative xmlns:adec="http://schemas.microsoft.com/office/drawing/2017/decorative" val="1"/>
                            </a:ext>
                          </a:extLst>
                        </wps:cNvPr>
                        <wps:cNvCnPr/>
                        <wps:spPr>
                          <a:xfrm>
                            <a:off x="3086100" y="3238500"/>
                            <a:ext cx="0" cy="360000"/>
                          </a:xfrm>
                          <a:prstGeom prst="straightConnector1">
                            <a:avLst/>
                          </a:prstGeom>
                          <a:noFill/>
                          <a:ln w="6350" cap="flat" cmpd="sng" algn="ctr">
                            <a:solidFill>
                              <a:srgbClr val="5F9FBC">
                                <a:lumMod val="60000"/>
                                <a:lumOff val="40000"/>
                              </a:srgbClr>
                            </a:solidFill>
                            <a:prstDash val="solid"/>
                            <a:miter lim="800000"/>
                            <a:tailEnd type="triangle"/>
                          </a:ln>
                          <a:effectLst/>
                        </wps:spPr>
                        <wps:bodyPr/>
                      </wps:wsp>
                    </wpg:wgp>
                  </a:graphicData>
                </a:graphic>
              </wp:inline>
            </w:drawing>
          </mc:Choice>
          <mc:Fallback>
            <w:pict>
              <v:group w14:anchorId="3CDBF206" id="Gruppieren 7" o:spid="_x0000_s1028" alt="624 articles ont été identifiés sur les bases de données. 21 articles ont été sélectionnés sur avec le résumé et la lecture complète de l'article. 12 articles ont été exclus par absence de déficience visuelle,  par absence d'évaluation du comportement adaptatif,  par absence d'évaluation standardisée ou parce que l'article n'est ni en français ni en anglais." style="width:443.05pt;height:411.5pt;mso-position-horizontal-relative:char;mso-position-vertical-relative:line" coordorigin="" coordsize="71218,5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MUfwkAACJBAAAOAAAAZHJzL2Uyb0RvYy54bWzsXGtz27gV/d6Z/gcOvzsmAAIgNFF2ts46&#10;05ndNtNs+52WqEdLkSpJR05/fc8FwIckS3YecuyNnBmHlEgQj3vvOffg0q9/ulvlwcesqpdlMQ7Z&#10;qygMsmJSTpfFfBz+8/friyQM6iYtpmleFtk4/JTV4U9v/vyn15v1KOPlosynWRWgkaIebdbjcNE0&#10;69HlZT1ZZKu0flWuswJfzspqlTY4reaX0yrdoPVVfsmjSF1uymq6rspJVtf49K37Mnxj25/Nsknz&#10;99mszpogH4foW2N/V/b3Df2+fPM6Hc2rdL1YTnw30i/oxSpdFnho19TbtEmD22q519RqOanKupw1&#10;rybl6rKczZaTzI4Bo2HRzmjeVeXt2o5lPtrM1900YWp35umLm5387eO7av1h/b7CTGzWc8yFPaOx&#10;3M2qFf2PXgZ3dso+dVOW3TXBBB9KxVXCTBhM8J3kXDEp3aROFph5ug8WgO8uTPvxL/5WzThLhPC3&#10;KsFYLOiay/bJl1v96U5cP9Hx91WwnI5DzoQwKjEaDyrSFYzsXXW7Xi+zKisCRS3SrZ8x0O0OtyM9&#10;1N109MiRxv1INUu+ZKQs0sJowzgmrR0pLAQOxK0lf5NxSsnj2HDXWcaxprxbOr+iWG5abc0k311U&#10;3K2YgKeRPdDdWsdHhwq3r3vLrr/Osj8s0nVmHaamBfcGwpSITMw1zMtP2z8QF9JinmeBHcBmbS8n&#10;LyB7r9e/lpP/1EFRXi1wVfZzVZWbRZZO0TtmB7N1A53UuDW42fxWTmF+6W1T2mCw40Cax5xhamhm&#10;jJDaT15rYJjoJJF+6jQcC9cO3SEdrau6eZeVq4AOxmGFUdjnpB9/rRt3aXuJHUeZL6fXyzy3J9X8&#10;5iqvgo8pIuG1/fGt18PL8iLYjEMjubQtb31XD5uQ1+b6L1f2ovx2hYG7llWEH2o4HeFjshf7wLj9&#10;GM7tm7GOvtX+atnAlPPlCjGDrvft0Mz/Ukxtm026zN0xGsoLtNHOPnl5PWrubu5cUKA+0Cc35fQT&#10;1qYqXegHVOFgUVb/C4MNwv44rP97m1ZZGOR/LbC+hsUx4cTwpBqe3AxP0mKCpsbhpKnCwJ1cNQ5d&#10;btfVcr7As5ido6L8GVYxW9pl6vvlBwAXcL09vS9oyRiLkgSDdCGE+mX9po2V1heuCucLk7viw447&#10;2It//7SGpW95g7ulXY8HvYElccISZd3BxIjeO+7gHUGoCEty3BHqpkppsq/KooBPlJWb8wNuUZTk&#10;E85Ev6O1A9u9Ud9j4EFj57epljZMwVbH4Sqbwkoz0Cw6Qv+9C6SjzBIdHwPaBRiaP11Mnz+hnSWS&#10;RQYRrYu5vZ3p1jcRok9vZ/BnrSW6gbBr7cwaLSbN05CznY3Dl2tnIH8Rj4E6ej+eWY5FZg87Owm2&#10;O1RhCokIoRWBnufKF2AcSjqeJJRKHD/rjY5FPDEJ+kw0KaZrbfTrqO8+1lO0INpin2IjGz1uPvVR&#10;PJ3+OwxmqxzJCwA3YEop62Zo0V+Mo8eRgwPI3kH4NrJ3gI/2DyL792QVR+NsH0UPEQmbkpAR3Usk&#10;iE5wjRByH5eIQfHwleMS/sRxCX/iuIQ/eXlcQsYmiRjifOt6Pa22GcMpXW/ga4IbDW8682pHzy0v&#10;OBmvtkzsoDs8S17dywhEibzC4Q77HJErFZlIkRyxk1n7APBZCgIzkXTMlksTIZkhxtNH/zjCP+NF&#10;E7JeruxThlKCEtALAA4XTCcUel0Lk0WrnqAFxpV0CII2hNBtwHdpZz9sYvK0ZGB/nYR0mkSbRSLR&#10;Rmp0aze56AznO4AxSxKNbJumk7IJZkWhfjl0IgXQ0mKxwMo5BeuMxd8+w/9KLLbK4sHg80NjsY5Y&#10;ArohEHWc5/VYzLppO5XrDcCYw72kB2ORSKhY26EPkTERxBiI+JLItSMP9iT1LHJ1Gf4hburF7QPc&#10;9FmC8dPgkFISZhZTAraLQ9irABZTN+ANp1cfRCR1pB0X2Ibye/QH4fS0dv9jzxfOOhdt6D1W5+oJ&#10;0BHeB5EKiqgEK2hNxW660ZaKXYzP3FJBeKNsELGNsYRF0koQA6YRgcuRvkzRjzPNdE/s/N4KAxHB&#10;lxdgdNIrVT3pU5L1sgFnjEOuJnPuuEo/5qcjfUorw5SGSLvnbF3yfCrkOaLAJFpp7WQ/rU0s/CZW&#10;63bt7DnWJ40A9R/O5J7zWe5yVmC21Z9OFDqm/nwl6+vk4rMC0wFXu7PJIyETJVUHdAPaZ1NGD3Qn&#10;kT8HtI+JGNEOaR9CV6Jl5NPZztlMghgLZ7SsL4pkZL2xC1v7zraldDq/fJx6+cff2uxk7Xv94cdl&#10;fTriCoBIwsteCuSx/HRbAVu+ILC77ygf49hq5TssgJ+94dtt9Hd0/uwNLqfx0KBYAjkgYZC99rzB&#10;5uRPhAwxCoAggnpObCJudrCBgTnq2AuZIL3Q4h4gYmdsOFj24kqGaGlfjjv0OcuxPA0labFMUGzY&#10;2nOXp3lr/myB3tmkQLkbTJBMbpCnYX9WU+mCy9Mi1A/sVjVeYPPL+GQN3Iautk30yZpWkTCUFVEj&#10;DF2PIwsEHevpB/5kyZoW6BUz96RqJxcJj6RqOlYKE0zkURiUwPm8t2WPBuyy3emIWRKhvPCcqaH+&#10;8tnp86yjWfdGnx9aoEehijICquR9qdrJN8cG9BSxSkKmct7GjBI7Cj0HRCfCb4cxhc08oPdxfzsD&#10;8mFA7rjWvS7xLLO1Hpec3nD6fWMNoqoAod2+8UDG6GLKqTTEgW8wAJEtwSYk0iyGkrFNDARHAT4p&#10;vITpMgGcWtzsIP0sZKSjR9doM0uZXhZZpd6e3B+4iFFYBdrTcd2sSqdZ8K+sulkW09tiHqBWPng/&#10;y5b51hsMtJ+FUE2dpDcSyLJ33kHA3ittd9joH2NzSrQbEC3Z8raNsmtfdHLYtr9yOwqUjx5GNfiz&#10;PG1wuFpPUY9fzFFLn89R5zxBWT2NYaua6dRvIZDM+DatF+7FBftoFwMOvJ7gzX23YtshJr2igLTi&#10;OdZnGyO3CgbeHbGxIT952MZiRE6IwNbGOLZh5F4UlQZysQuiD3D5s42RAb1QG9OoBWFxNMjZT2Jj&#10;whjaxd1BahfALFCfbSz8o8YxhVQF+uHjTGyocTwcxgTqNmwpI6geZHy5Z2ItVLpodjRFOoexk4Sx&#10;J89UCNp0oqNOQDuGml3q5yuNHmBmUaIY2JhVwaDcyzMz22F+352ZWXPDi/i24Mb/0QB60394juPh&#10;nzZ4838AAAD//wMAUEsDBBQABgAIAAAAIQByPagY3AAAAAUBAAAPAAAAZHJzL2Rvd25yZXYueG1s&#10;TI9BS8NAEIXvgv9hmYI3u0mLJaTZlFLUUxFsBfE2TaZJaHY2ZLdJ+u8dvehleMMb3vsm20y2VQP1&#10;vnFsIJ5HoIgLVzZcGfg4vjwmoHxALrF1TAZu5GGT399lmJZu5HcaDqFSEsI+RQN1CF2qtS9qsujn&#10;riMW7+x6i0HWvtJlj6OE21YvomilLTYsDTV2tKupuByu1sDriON2GT8P+8t5d/s6Pr197mMy5mE2&#10;bdegAk3h7xh+8AUdcmE6uSuXXrUG5JHwO8VLklUM6iRisYxA55n+T59/AwAA//8DAFBLAQItABQA&#10;BgAIAAAAIQC2gziS/gAAAOEBAAATAAAAAAAAAAAAAAAAAAAAAABbQ29udGVudF9UeXBlc10ueG1s&#10;UEsBAi0AFAAGAAgAAAAhADj9If/WAAAAlAEAAAsAAAAAAAAAAAAAAAAALwEAAF9yZWxzLy5yZWxz&#10;UEsBAi0AFAAGAAgAAAAhAHv+4xR/CQAAIkEAAA4AAAAAAAAAAAAAAAAALgIAAGRycy9lMm9Eb2Mu&#10;eG1sUEsBAi0AFAAGAAgAAAAhAHI9qBjcAAAABQEAAA8AAAAAAAAAAAAAAAAA2QsAAGRycy9kb3du&#10;cmV2LnhtbFBLBQYAAAAABAAEAPMAAADiDAAAAAA=&#10;">
                <v:group id="Gruppieren 6" o:spid="_x0000_s1029" style="position:absolute;width:71218;height:56311" coordorigin="" coordsize="71218,5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jyyQAAAOMAAAAPAAAAZHJzL2Rvd25yZXYueG1sRE/LasJA&#10;FN0X+g/DLXTXTGIw1egoIq10IUK1UNxdMtckmLkTMtM8/r6zKHR5OO/1djSN6KlztWUFSRSDIC6s&#10;rrlU8HV5f1mAcB5ZY2OZFEzkYLt5fFhjru3An9SffSlCCLscFVTet7mUrqjIoItsSxy4m+0M+gC7&#10;UuoOhxBuGjmL40warDk0VNjSvqLifv4xCg4DDrs0eeuP99t+ul7mp+9jQko9P427FQhPo/8X/7k/&#10;tIJZkqbLbLF8DaPDp/AH5OYXAAD//wMAUEsBAi0AFAAGAAgAAAAhANvh9svuAAAAhQEAABMAAAAA&#10;AAAAAAAAAAAAAAAAAFtDb250ZW50X1R5cGVzXS54bWxQSwECLQAUAAYACAAAACEAWvQsW78AAAAV&#10;AQAACwAAAAAAAAAAAAAAAAAfAQAAX3JlbHMvLnJlbHNQSwECLQAUAAYACAAAACEAEcE48skAAADj&#10;AAAADwAAAAAAAAAAAAAAAAAHAgAAZHJzL2Rvd25yZXYueG1sUEsFBgAAAAADAAMAtwAAAP0CAAAA&#10;AA==&#10;">
                  <v:group id="Grouper 20" o:spid="_x0000_s1030" style="position:absolute;width:55245;height:12522" coordorigin=",571" coordsize="55261,1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5NyAAAAOMAAAAPAAAAZHJzL2Rvd25yZXYueG1sRE9La8JA&#10;EL4X+h+WKXirmxjqI7qKiC0eRFALxduQHZNgdjZkt0n8965Q6HG+9yxWvalES40rLSuIhxEI4szq&#10;knMF3+fP9ykI55E1VpZJwZ0crJavLwtMte34SO3J5yKEsEtRQeF9nUrpsoIMuqGtiQN3tY1BH84m&#10;l7rBLoSbSo6iaCwNlhwaCqxpU1B2O/0aBV8ddusk3rb723Vzv5w/Dj/7mJQavPXrOQhPvf8X/7l3&#10;OsyPJslsMotHCTx/CgDI5QMAAP//AwBQSwECLQAUAAYACAAAACEA2+H2y+4AAACFAQAAEwAAAAAA&#10;AAAAAAAAAAAAAAAAW0NvbnRlbnRfVHlwZXNdLnhtbFBLAQItABQABgAIAAAAIQBa9CxbvwAAABUB&#10;AAALAAAAAAAAAAAAAAAAAB8BAABfcmVscy8ucmVsc1BLAQItABQABgAIAAAAIQAENl5NyAAAAOMA&#10;AAAPAAAAAAAAAAAAAAAAAAcCAABkcnMvZG93bnJldi54bWxQSwUGAAAAAAMAAwC3AAAA/AIAAAAA&#10;">
                    <v:rect id="Rectangle 2" o:spid="_x0000_s1031" alt="&quot;&quot;" style="position:absolute;left:7242;top:1935;width:22288;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44CyAAAAOMAAAAPAAAAZHJzL2Rvd25yZXYueG1sRE/NTgIx&#10;EL6b8A7NkHiTViCgK4UYEyOGEyAHbuN23F3dTjdtZbtvb01MPM73P6tNsq24kA+NYw23EwWCuHSm&#10;4UrD2/H55g5EiMgGW8ekYaAAm/XoaoWFcT3v6XKIlcghHArUUMfYFVKGsiaLYeI64sx9OG8x5tNX&#10;0njsc7ht5VSphbTYcG6osaOnmsqvw7fVkE5Dbwfzqnz7uS9fKO125+271tfj9PgAIlKK/+I/99bk&#10;+YuZup9Pl/MZ/P6UAZDrHwAAAP//AwBQSwECLQAUAAYACAAAACEA2+H2y+4AAACFAQAAEwAAAAAA&#10;AAAAAAAAAAAAAAAAW0NvbnRlbnRfVHlwZXNdLnhtbFBLAQItABQABgAIAAAAIQBa9CxbvwAAABUB&#10;AAALAAAAAAAAAAAAAAAAAB8BAABfcmVscy8ucmVsc1BLAQItABQABgAIAAAAIQDVY44CyAAAAOMA&#10;AAAPAAAAAAAAAAAAAAAAAAcCAABkcnMvZG93bnJldi54bWxQSwUGAAAAAAMAAwC3AAAA/AIAAAAA&#10;" strokecolor="#9fc5d7">
                      <v:textbox inset=",7.2pt,,7.2pt">
                        <w:txbxContent>
                          <w:p w14:paraId="0D5D929A" w14:textId="11CA4709" w:rsidR="00776C3F" w:rsidRPr="00CD5C39" w:rsidRDefault="00776C3F" w:rsidP="00776C3F">
                            <w:pPr>
                              <w:jc w:val="center"/>
                              <w:rPr>
                                <w:rFonts w:cs="Open Sans SemiCondensed"/>
                                <w:noProof/>
                                <w:lang w:val="fr-CH"/>
                              </w:rPr>
                            </w:pPr>
                            <w:r w:rsidRPr="00CD5C39">
                              <w:rPr>
                                <w:rFonts w:cs="Open Sans SemiCondensed"/>
                                <w:noProof/>
                                <w:lang w:val="fr-CH"/>
                              </w:rPr>
                              <w:t>Articles identifiés dans les bases de données (n=624)</w:t>
                            </w:r>
                          </w:p>
                        </w:txbxContent>
                      </v:textbox>
                    </v:rect>
                    <v:shapetype id="_x0000_t32" coordsize="21600,21600" o:spt="32" o:oned="t" path="m,l21600,21600e" filled="f">
                      <v:path arrowok="t" fillok="f" o:connecttype="none"/>
                      <o:lock v:ext="edit" shapetype="t"/>
                    </v:shapetype>
                    <v:shape id="AutoShape 6" o:spid="_x0000_s1032" type="#_x0000_t32" alt="&quot;&quot;" style="position:absolute;left:18481;top:9497;width:0;height:3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iRfyQAAAOMAAAAPAAAAZHJzL2Rvd25yZXYueG1sRI9BawIx&#10;EIXvhf6HMIK3mt2CdlmNIoLgpdCqeB4242ZxM1mSdLP+++ZQ6HFm3rz3vs1usr0YyYfOsYJyUYAg&#10;bpzuuFVwvRzfKhAhImvsHZOCJwXYbV9fNlhrl/ibxnNsRTbhUKMCE+NQSxkaQxbDwg3E+XZ33mLM&#10;o2+l9piyue3le1GspMWOc4LBgQ6Gmsf5xyq4HNLDm6/P6jQmM9yeq2Pax16p+Wzar0FEmuK/+O/7&#10;pHP9j2VZlkVVZYrMlBcgt78AAAD//wMAUEsBAi0AFAAGAAgAAAAhANvh9svuAAAAhQEAABMAAAAA&#10;AAAAAAAAAAAAAAAAAFtDb250ZW50X1R5cGVzXS54bWxQSwECLQAUAAYACAAAACEAWvQsW78AAAAV&#10;AQAACwAAAAAAAAAAAAAAAAAfAQAAX3JlbHMvLnJlbHNQSwECLQAUAAYACAAAACEALCYkX8kAAADj&#10;AAAADwAAAAAAAAAAAAAAAAAHAgAAZHJzL2Rvd25yZXYueG1sUEsFBgAAAAADAAMAtwAAAP0CAAAA&#10;AA==&#10;" strokecolor="#9fc5d7">
                      <v:stroke endarrow="block"/>
                      <v:shadow color="#ccc" opacity="49150f" offset=".74833mm,.74833mm"/>
                    </v:shape>
                    <v:shape id="AutoShape 7" o:spid="_x0000_s1033" type="#_x0000_t32" alt="&quot;&quot;" style="position:absolute;left:44077;top:9497;width:0;height:3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yHaxgAAAOMAAAAPAAAAZHJzL2Rvd25yZXYueG1sRE9fa8Iw&#10;EH8f+B3CDfY2UzsmXWcUEQRfhE3Hno/m1hSbS0liU7+9GQz2eL//t9pMthcj+dA5VrCYFyCIG6c7&#10;bhV8nffPFYgQkTX2jknBjQJs1rOHFdbaJf6k8RRbkUM41KjAxDjUUobGkMUwdwNx5n6ctxjz6Vup&#10;PaYcbntZFsVSWuw4NxgcaGeouZyuVsF5ly7efByrw5jM8H1b7tM29ko9PU7bdxCRpvgv/nMfdJ5f&#10;vS6Kt7KsXuD3pwyAXN8BAAD//wMAUEsBAi0AFAAGAAgAAAAhANvh9svuAAAAhQEAABMAAAAAAAAA&#10;AAAAAAAAAAAAAFtDb250ZW50X1R5cGVzXS54bWxQSwECLQAUAAYACAAAACEAWvQsW78AAAAVAQAA&#10;CwAAAAAAAAAAAAAAAAAfAQAAX3JlbHMvLnJlbHNQSwECLQAUAAYACAAAACEA+7sh2sYAAADjAAAA&#10;DwAAAAAAAAAAAAAAAAAHAgAAZHJzL2Rvd25yZXYueG1sUEsFBgAAAAADAAMAtwAAAPoCAAAAAA==&#10;" strokecolor="#9fc5d7">
                      <v:stroke endarrow="block"/>
                      <v:shadow color="#ccc" opacity="49150f" offset=".74833mm,.74833mm"/>
                    </v:shape>
                    <v:roundrect id="AutoShape 8" o:spid="_x0000_s1034" alt="&quot;&quot;" style="position:absolute;left:-3097;top:3668;width:10290;height:409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TeyQAAAOMAAAAPAAAAZHJzL2Rvd25yZXYueG1sRI/BasMw&#10;EETvhf6D2EJvtRTXJI0bJZiSgk8pdvoBi7WxTa2VsdTE/fsoEOhxmJk3zGY320GcafK9Yw2LRIEg&#10;bpzpudXwffx8eQPhA7LBwTFp+CMPu+3jwwZz4y5c0bkOrYgQ9jlq6EIYcyl905FFn7iROHonN1kM&#10;UU6tNBNeItwOMlVqKS32HBc6HOmjo+an/rUa6vW8L+uirWRV7mVWeJd9HZzWz09z8Q4i0Bz+w/d2&#10;aTSki1eVZkulVnD7FP+A3F4BAAD//wMAUEsBAi0AFAAGAAgAAAAhANvh9svuAAAAhQEAABMAAAAA&#10;AAAAAAAAAAAAAAAAAFtDb250ZW50X1R5cGVzXS54bWxQSwECLQAUAAYACAAAACEAWvQsW78AAAAV&#10;AQAACwAAAAAAAAAAAAAAAAAfAQAAX3JlbHMvLnJlbHNQSwECLQAUAAYACAAAACEAbZXk3skAAADj&#10;AAAADwAAAAAAAAAAAAAAAAAHAgAAZHJzL2Rvd25yZXYueG1sUEsFBgAAAAADAAMAtwAAAP0CAAAA&#10;AA==&#10;" fillcolor="#bfd9e4" strokecolor="#9fc5d7">
                      <v:textbox style="layout-flow:vertical;mso-layout-flow-alt:bottom-to-top" inset="3.6pt,,3.6pt">
                        <w:txbxContent>
                          <w:p w14:paraId="59CDE114" w14:textId="77777777" w:rsidR="00776C3F" w:rsidRPr="001169DC" w:rsidRDefault="00776C3F" w:rsidP="00776C3F">
                            <w:pPr>
                              <w:pStyle w:val="berschrift2"/>
                              <w:spacing w:before="0" w:after="0" w:line="240" w:lineRule="auto"/>
                              <w:jc w:val="center"/>
                              <w:rPr>
                                <w:b w:val="0"/>
                                <w:bCs w:val="0"/>
                                <w:noProof/>
                                <w:szCs w:val="20"/>
                                <w:lang w:val="fr-FR"/>
                              </w:rPr>
                            </w:pPr>
                            <w:r w:rsidRPr="001169DC">
                              <w:rPr>
                                <w:b w:val="0"/>
                                <w:bCs w:val="0"/>
                                <w:noProof/>
                                <w:szCs w:val="20"/>
                                <w:lang w:val="fr-FR"/>
                              </w:rPr>
                              <w:t>Identification</w:t>
                            </w:r>
                          </w:p>
                        </w:txbxContent>
                      </v:textbox>
                    </v:roundrect>
                    <v:rect id="Rectangle 9" o:spid="_x0000_s1035" alt="&quot;&quot;" style="position:absolute;left:32972;top:1935;width:22289;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CvyQAAAOIAAAAPAAAAZHJzL2Rvd25yZXYueG1sRI/LSgMx&#10;FIb3gu8QjuDOJiNW6ti0lIJY6aoXF92dTo4zo5OTIYmdzNubhdDlz3/jmy+T7cSFfGgdaygmCgRx&#10;5UzLtYbj4e1hBiJEZIOdY9IwUoDl4vZmjqVxA+/oso+1yCMcStTQxNiXUoaqIYth4nri7H05bzFm&#10;6WtpPA553HbyUalnabHl/NBgT+uGqp/9r9WQPsfBjuZD+e57V71T2m5Pm7PW93dp9QoiUorX8H97&#10;YzRMn15mqpgWGSIjZRyQiz8AAAD//wMAUEsBAi0AFAAGAAgAAAAhANvh9svuAAAAhQEAABMAAAAA&#10;AAAAAAAAAAAAAAAAAFtDb250ZW50X1R5cGVzXS54bWxQSwECLQAUAAYACAAAACEAWvQsW78AAAAV&#10;AQAACwAAAAAAAAAAAAAAAAAfAQAAX3JlbHMvLnJlbHNQSwECLQAUAAYACAAAACEAGlJgr8kAAADi&#10;AAAADwAAAAAAAAAAAAAAAAAHAgAAZHJzL2Rvd25yZXYueG1sUEsFBgAAAAADAAMAtwAAAP0CAAAA&#10;AA==&#10;" strokecolor="#9fc5d7">
                      <v:textbox inset=",7.2pt,,7.2pt">
                        <w:txbxContent>
                          <w:p w14:paraId="4A40B2E0" w14:textId="77777777" w:rsidR="00776C3F" w:rsidRPr="00CD5C39" w:rsidRDefault="00776C3F" w:rsidP="00776C3F">
                            <w:pPr>
                              <w:jc w:val="center"/>
                              <w:rPr>
                                <w:rFonts w:cs="Open Sans SemiCondensed"/>
                                <w:noProof/>
                                <w:lang w:val="fr-CH"/>
                              </w:rPr>
                            </w:pPr>
                            <w:r w:rsidRPr="00CD5C39">
                              <w:rPr>
                                <w:rFonts w:cs="Open Sans SemiCondensed"/>
                                <w:noProof/>
                                <w:lang w:val="fr-CH"/>
                              </w:rPr>
                              <w:t>Articles identifiés par d’autres sources  (n=5)</w:t>
                            </w:r>
                          </w:p>
                        </w:txbxContent>
                      </v:textbox>
                    </v:rect>
                  </v:group>
                  <v:group id="Grouper 23" o:spid="_x0000_s1036" style="position:absolute;left:190;top:25908;width:40405;height:29722" coordorigin="86,-17840" coordsize="40412,2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j+ywAAAOIAAAAPAAAAZHJzL2Rvd25yZXYueG1sRI/NasMw&#10;EITvhb6D2EJvjeSYmtSJEkJISw+hkB8ouS3WxjaxVsZSbOftq0Khx2FmvmEWq9E2oqfO1441JBMF&#10;grhwpuZSw+n4/jID4QOywcYxabiTh9Xy8WGBuXED76k/hFJECPscNVQhtLmUvqjIop+4ljh6F9dZ&#10;DFF2pTQdDhFuGzlVKpMWa44LFba0qai4Hm5Ww8eAwzpNtv3uetncz8fXr+9dQlo/P43rOYhAY/gP&#10;/7U/jYZplqk3laUp/F6Kd0AufwAAAP//AwBQSwECLQAUAAYACAAAACEA2+H2y+4AAACFAQAAEwAA&#10;AAAAAAAAAAAAAAAAAAAAW0NvbnRlbnRfVHlwZXNdLnhtbFBLAQItABQABgAIAAAAIQBa9CxbvwAA&#10;ABUBAAALAAAAAAAAAAAAAAAAAB8BAABfcmVscy8ucmVsc1BLAQItABQABgAIAAAAIQBDoQj+ywAA&#10;AOIAAAAPAAAAAAAAAAAAAAAAAAcCAABkcnMvZG93bnJldi54bWxQSwUGAAAAAAMAAwC3AAAA/wIA&#10;AAAA&#10;">
                    <v:roundrect id="AutoShape 4" o:spid="_x0000_s1037" alt="&quot;&quot;" style="position:absolute;left:-1888;top:6014;width:7853;height:3905;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q22xQAAAOMAAAAPAAAAZHJzL2Rvd25yZXYueG1sRE/NisIw&#10;EL4v+A5hhL2tqa6/1ShlUehJafUBhmZsi82kNFG7b28WFjzO9z+bXW8a8aDO1ZYVjEcRCOLC6ppL&#10;BZfz4WsJwnlkjY1lUvBLDnbbwccGY22fnNEj96UIIexiVFB538ZSuqIig25kW+LAXW1n0IezK6Xu&#10;8BnCTSMnUTSXBmsODRW29FNRccvvRkG+6vdpnpSZzNK9nCbOTk9Hq9TnsE/WIDz1/i3+d6c6zB9H&#10;38vFaraYwd9PAQC5fQEAAP//AwBQSwECLQAUAAYACAAAACEA2+H2y+4AAACFAQAAEwAAAAAAAAAA&#10;AAAAAAAAAAAAW0NvbnRlbnRfVHlwZXNdLnhtbFBLAQItABQABgAIAAAAIQBa9CxbvwAAABUBAAAL&#10;AAAAAAAAAAAAAAAAAB8BAABfcmVscy8ucmVsc1BLAQItABQABgAIAAAAIQDZEq22xQAAAOMAAAAP&#10;AAAAAAAAAAAAAAAAAAcCAABkcnMvZG93bnJldi54bWxQSwUGAAAAAAMAAwC3AAAA+QIAAAAA&#10;" fillcolor="#bfd9e4" strokecolor="#9fc5d7">
                      <v:textbox style="layout-flow:vertical;mso-layout-flow-alt:bottom-to-top" inset="3.6pt,,3.6pt">
                        <w:txbxContent>
                          <w:p w14:paraId="2F1B29D2" w14:textId="77777777" w:rsidR="00776C3F" w:rsidRPr="00CD5C39" w:rsidRDefault="00776C3F" w:rsidP="004338A9">
                            <w:pPr>
                              <w:pStyle w:val="berschrift2"/>
                              <w:spacing w:before="0" w:after="0" w:line="240" w:lineRule="auto"/>
                              <w:jc w:val="center"/>
                              <w:rPr>
                                <w:b w:val="0"/>
                                <w:bCs w:val="0"/>
                                <w:noProof/>
                                <w:szCs w:val="20"/>
                                <w:lang w:val="fr-FR"/>
                              </w:rPr>
                            </w:pPr>
                            <w:r w:rsidRPr="00CD5C39">
                              <w:rPr>
                                <w:b w:val="0"/>
                                <w:bCs w:val="0"/>
                                <w:noProof/>
                                <w:szCs w:val="20"/>
                                <w:lang w:val="fr-FR"/>
                              </w:rPr>
                              <w:t>Inclusion</w:t>
                            </w:r>
                          </w:p>
                        </w:txbxContent>
                      </v:textbox>
                    </v:roundrect>
                    <v:rect id="Rectangle 15" o:spid="_x0000_s1038" alt="&quot;&quot;" style="position:absolute;left:21415;top:3855;width:19083;height:7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JgpygAAAOIAAAAPAAAAZHJzL2Rvd25yZXYueG1sRI9BSwMx&#10;FITvQv9DeAVvNmnFtqxNiwhipafW9tDb6+a5u7p5WZLYzf57Iwgeh5n5hlltkm3FlXxoHGuYThQI&#10;4tKZhisNx/eXuyWIEJENto5Jw0ABNuvRzQoL43re0/UQK5EhHArUUMfYFVKGsiaLYeI64ux9OG8x&#10;ZukraTz2GW5bOVNqLi02nBdq7Oi5pvLr8G01pNPQ28G8Kd9+7stXSrvdeXvR+nacnh5BRErxP/zX&#10;3hoNCzVdPixm93P4vZTvgFz/AAAA//8DAFBLAQItABQABgAIAAAAIQDb4fbL7gAAAIUBAAATAAAA&#10;AAAAAAAAAAAAAAAAAABbQ29udGVudF9UeXBlc10ueG1sUEsBAi0AFAAGAAgAAAAhAFr0LFu/AAAA&#10;FQEAAAsAAAAAAAAAAAAAAAAAHwEAAF9yZWxzLy5yZWxzUEsBAi0AFAAGAAgAAAAhAPc0mCnKAAAA&#10;4gAAAA8AAAAAAAAAAAAAAAAABwIAAGRycy9kb3ducmV2LnhtbFBLBQYAAAAAAwADALcAAAD+AgAA&#10;AAA=&#10;" strokecolor="#9fc5d7">
                      <v:textbox inset=",7.2pt,,7.2pt">
                        <w:txbxContent>
                          <w:p w14:paraId="40202D17" w14:textId="32F18D8F" w:rsidR="00776C3F" w:rsidRPr="00CD5C39" w:rsidRDefault="00776C3F" w:rsidP="00776C3F">
                            <w:pPr>
                              <w:jc w:val="center"/>
                              <w:rPr>
                                <w:rFonts w:cs="Open Sans SemiCondensed"/>
                                <w:lang w:val="en-US"/>
                              </w:rPr>
                            </w:pPr>
                            <w:r w:rsidRPr="00CD5C39">
                              <w:rPr>
                                <w:rFonts w:cs="Open Sans SemiCondensed"/>
                                <w:lang w:val="en-US"/>
                              </w:rPr>
                              <w:t>Articles in</w:t>
                            </w:r>
                            <w:r w:rsidR="000E04DC">
                              <w:rPr>
                                <w:rFonts w:cs="Open Sans SemiCondensed"/>
                                <w:lang w:val="en-US"/>
                              </w:rPr>
                              <w:t>cl</w:t>
                            </w:r>
                            <w:r w:rsidRPr="00CD5C39">
                              <w:rPr>
                                <w:rFonts w:cs="Open Sans SemiCondensed"/>
                                <w:lang w:val="en-US"/>
                              </w:rPr>
                              <w:t xml:space="preserve">us </w:t>
                            </w:r>
                            <w:r w:rsidRPr="00CD5C39">
                              <w:rPr>
                                <w:rFonts w:cs="Open Sans SemiCondensed"/>
                                <w:lang w:val="en-US"/>
                              </w:rPr>
                              <w:br/>
                              <w:t>(n=9)</w:t>
                            </w:r>
                          </w:p>
                        </w:txbxContent>
                      </v:textbox>
                    </v:rect>
                    <v:shape id="AutoShape 19" o:spid="_x0000_s1039" type="#_x0000_t32" style="position:absolute;left:30570;top:-17840;width:0;height:3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0pxgAAAOMAAAAPAAAAZHJzL2Rvd25yZXYueG1sRE9fS8Mw&#10;EH8X9h3CDXxzqdOVWpeNMRjsRdBNfD6asylrLiXJmu7bG0Hw8X7/b72dbC9G8qFzrOBxUYAgbpzu&#10;uFXweT48VCBCRNbYOyYFNwqw3czu1lhrl/iDxlNsRQ7hUKMCE+NQSxkaQxbDwg3Emft23mLMp2+l&#10;9phyuO3lsihKabHj3GBwoL2h5nK6WgXnfbp48/5WHcdkhq9beUi72Ct1P592ryAiTfFf/Oc+6jy/&#10;LFdF9fS8eoHfnzIAcvMDAAD//wMAUEsBAi0AFAAGAAgAAAAhANvh9svuAAAAhQEAABMAAAAAAAAA&#10;AAAAAAAAAAAAAFtDb250ZW50X1R5cGVzXS54bWxQSwECLQAUAAYACAAAACEAWvQsW78AAAAVAQAA&#10;CwAAAAAAAAAAAAAAAAAfAQAAX3JlbHMvLnJlbHNQSwECLQAUAAYACAAAACEA4yhtKcYAAADjAAAA&#10;DwAAAAAAAAAAAAAAAAAHAgAAZHJzL2Rvd25yZXYueG1sUEsFBgAAAAADAAMAtwAAAPoCAAAAAA==&#10;" strokecolor="#9fc5d7">
                      <v:stroke endarrow="block"/>
                      <v:shadow color="#ccc" opacity="49150f" offset=".74833mm,.74833mm"/>
                    </v:shape>
                  </v:group>
                  <v:group id="Grouper 21" o:spid="_x0000_s1040" style="position:absolute;left:190;top:11810;width:70841;height:21717" coordorigin=",-973" coordsize="65189,2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6oFyQAAAOMAAAAPAAAAZHJzL2Rvd25yZXYueG1sRE/dS8Mw&#10;EH8X9j+EG/jmkmzWj7psjKHiwxDcBPHtaG5tWXMpTWy7/94IAx/v933L9ega0VMXas8G9EyBIC68&#10;rbk08Hl4uXkAESKyxcYzGThTgPVqcrXE3PqBP6jfx1KkEA45GqhibHMpQ1GRwzDzLXHijr5zGNPZ&#10;ldJ2OKRw18i5UnfSYc2pocKWthUVp/2PM/A64LBZ6Od+dzpuz9+H7P1rp8mY6+m4eQIRaYz/4ov7&#10;zab56vE+05nSt/D3UwJArn4BAAD//wMAUEsBAi0AFAAGAAgAAAAhANvh9svuAAAAhQEAABMAAAAA&#10;AAAAAAAAAAAAAAAAAFtDb250ZW50X1R5cGVzXS54bWxQSwECLQAUAAYACAAAACEAWvQsW78AAAAV&#10;AQAACwAAAAAAAAAAAAAAAAAfAQAAX3JlbHMvLnJlbHNQSwECLQAUAAYACAAAACEA8juqBckAAADj&#10;AAAADwAAAAAAAAAAAAAAAAAHAgAAZHJzL2Rvd25yZXYueG1sUEsFBgAAAAADAAMAtwAAAP0CAAAA&#10;AA==&#10;">
                    <v:roundrect id="AutoShape 3" o:spid="_x0000_s1041" alt="&quot;&quot;" style="position:absolute;left:-8767;top:7794;width:21128;height:359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5O+xwAAAOMAAAAPAAAAZHJzL2Rvd25yZXYueG1sRE/RaoNA&#10;EHwv5B+ODeStORPENjYXkWDApxZtP2Dxtir19sS7qP37XqHQl4Hd2ZnZOWerGcRMk+stKzjsIxDE&#10;jdU9two+3m+PzyCcR9Y4WCYF3+Qgu2wezphqu3BFc+1bEUzYpaig835MpXRNRwbd3o7Egfu0k0Ef&#10;xqmVesIlmJtBHqMokQZ7DgkdjnTtqPmq70ZBfVqLss7bSlZlIePc2fjt1Sq12675CwhPq/8//lOX&#10;OryfPCWnAHEMv53CAuTlBwAA//8DAFBLAQItABQABgAIAAAAIQDb4fbL7gAAAIUBAAATAAAAAAAA&#10;AAAAAAAAAAAAAABbQ29udGVudF9UeXBlc10ueG1sUEsBAi0AFAAGAAgAAAAhAFr0LFu/AAAAFQEA&#10;AAsAAAAAAAAAAAAAAAAAHwEAAF9yZWxzLy5yZWxzUEsBAi0AFAAGAAgAAAAhANDbk77HAAAA4wAA&#10;AA8AAAAAAAAAAAAAAAAABwIAAGRycy9kb3ducmV2LnhtbFBLBQYAAAAAAwADALcAAAD7AgAAAAA=&#10;" fillcolor="#bfd9e4" strokecolor="#9fc5d7">
                      <v:textbox style="layout-flow:vertical;mso-layout-flow-alt:bottom-to-top" inset="3.6pt,,3.6pt">
                        <w:txbxContent>
                          <w:p w14:paraId="2D6E8FFE" w14:textId="77777777" w:rsidR="00776C3F" w:rsidRPr="001169DC" w:rsidRDefault="00776C3F" w:rsidP="00776C3F">
                            <w:pPr>
                              <w:pStyle w:val="berschrift2"/>
                              <w:spacing w:before="0" w:after="0" w:line="240" w:lineRule="auto"/>
                              <w:jc w:val="center"/>
                              <w:rPr>
                                <w:b w:val="0"/>
                                <w:bCs w:val="0"/>
                                <w:noProof/>
                                <w:szCs w:val="20"/>
                                <w:lang w:val="fr-FR"/>
                              </w:rPr>
                            </w:pPr>
                            <w:r w:rsidRPr="001169DC">
                              <w:rPr>
                                <w:b w:val="0"/>
                                <w:bCs w:val="0"/>
                                <w:noProof/>
                                <w:szCs w:val="20"/>
                                <w:lang w:val="fr-FR"/>
                              </w:rPr>
                              <w:t>Sélection</w:t>
                            </w:r>
                          </w:p>
                        </w:txbxContent>
                      </v:textbox>
                    </v:roundrect>
                    <v:rect id="Rectangle 10" o:spid="_x0000_s1042" alt="&quot;&quot;" style="position:absolute;left:13410;top:875;width:2981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DWyAAAAOMAAAAPAAAAZHJzL2Rvd25yZXYueG1sRE/NSgMx&#10;EL4XfIcwBW9t0kqXujYtIoiVnlr14G3cjLurm8mSxG727Y0g9Djf/2x2yXbiTD60jjUs5goEceVM&#10;y7WG15fH2RpEiMgGO8ekYaQAu+3VZIOlcQMf6XyKtcghHErU0MTYl1KGqiGLYe564sx9Om8x5tPX&#10;0ngccrjt5FKpQlpsOTc02NNDQ9X36cdqSG/jYEfzrHz3dayeKB0O7/sPra+n6f4ORKQUL+J/997k&#10;+Ut1s1oXq+IW/n7KAMjtLwAAAP//AwBQSwECLQAUAAYACAAAACEA2+H2y+4AAACFAQAAEwAAAAAA&#10;AAAAAAAAAAAAAAAAW0NvbnRlbnRfVHlwZXNdLnhtbFBLAQItABQABgAIAAAAIQBa9CxbvwAAABUB&#10;AAALAAAAAAAAAAAAAAAAAB8BAABfcmVscy8ucmVsc1BLAQItABQABgAIAAAAIQA6lPDWyAAAAOMA&#10;AAAPAAAAAAAAAAAAAAAAAAcCAABkcnMvZG93bnJldi54bWxQSwUGAAAAAAMAAwC3AAAA/AIAAAAA&#10;" strokecolor="#9fc5d7">
                      <v:textbox inset=",7.2pt,,7.2pt">
                        <w:txbxContent>
                          <w:p w14:paraId="0596C570" w14:textId="77777777" w:rsidR="00776C3F" w:rsidRPr="00CD5C39" w:rsidRDefault="00776C3F" w:rsidP="00776C3F">
                            <w:pPr>
                              <w:jc w:val="center"/>
                              <w:rPr>
                                <w:rFonts w:cs="Open Sans SemiCondensed"/>
                                <w:noProof/>
                                <w:lang w:val="fr-CH"/>
                              </w:rPr>
                            </w:pPr>
                            <w:r w:rsidRPr="00CD5C39">
                              <w:rPr>
                                <w:rFonts w:cs="Open Sans SemiCondensed"/>
                                <w:noProof/>
                                <w:lang w:val="fr-CH"/>
                              </w:rPr>
                              <w:t>Articles identifiés après la suppression des doublons (n=623)</w:t>
                            </w:r>
                          </w:p>
                        </w:txbxContent>
                      </v:textbox>
                    </v:rect>
                    <v:rect id="Rectangle 11" o:spid="_x0000_s1043" alt="&quot;&quot;" style="position:absolute;left:13393;top:12088;width:2981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ROygAAAOIAAAAPAAAAZHJzL2Rvd25yZXYueG1sRI9BSwMx&#10;FITvQv9DeAVvNumCq65NiwhipadWPXh7bp67225eliR2s//eCILHYWa+YVabZHtxJh86xxqWCwWC&#10;uHam40bD2+vT1S2IEJEN9o5Jw0QBNuvZxQor40be0/kQG5EhHCrU0MY4VFKGuiWLYeEG4ux9OW8x&#10;ZukbaTyOGW57WShVSosd54UWB3psqT4dvq2G9D6NdjIvyvfHff1Mabf72H5qfTlPD/cgIqX4H/5r&#10;b42GG1WUxd3yuoTfS/kOyPUPAAAA//8DAFBLAQItABQABgAIAAAAIQDb4fbL7gAAAIUBAAATAAAA&#10;AAAAAAAAAAAAAAAAAABbQ29udGVudF9UeXBlc10ueG1sUEsBAi0AFAAGAAgAAAAhAFr0LFu/AAAA&#10;FQEAAAsAAAAAAAAAAAAAAAAAHwEAAF9yZWxzLy5yZWxzUEsBAi0AFAAGAAgAAAAhAAULNE7KAAAA&#10;4gAAAA8AAAAAAAAAAAAAAAAABwIAAGRycy9kb3ducmV2LnhtbFBLBQYAAAAAAwADALcAAAD+AgAA&#10;AAA=&#10;" strokecolor="#9fc5d7">
                      <v:textbox inset=",7.2pt,,7.2pt">
                        <w:txbxContent>
                          <w:p w14:paraId="04211C14" w14:textId="61C74C87" w:rsidR="00776C3F" w:rsidRPr="00CD5C39" w:rsidRDefault="00776C3F" w:rsidP="00776C3F">
                            <w:pPr>
                              <w:jc w:val="center"/>
                              <w:rPr>
                                <w:rFonts w:cs="Open Sans SemiCondensed"/>
                                <w:noProof/>
                                <w:lang w:val="fr-CH"/>
                              </w:rPr>
                            </w:pPr>
                            <w:r w:rsidRPr="00CD5C39">
                              <w:rPr>
                                <w:rFonts w:cs="Open Sans SemiCondensed"/>
                                <w:noProof/>
                                <w:lang w:val="fr-CH"/>
                              </w:rPr>
                              <w:t xml:space="preserve">Articles </w:t>
                            </w:r>
                            <w:r w:rsidR="002950AE">
                              <w:rPr>
                                <w:rFonts w:cs="Open Sans SemiCondensed"/>
                                <w:noProof/>
                                <w:lang w:val="fr-CH"/>
                              </w:rPr>
                              <w:t>sélectionnés</w:t>
                            </w:r>
                            <w:r w:rsidRPr="00CD5C39">
                              <w:rPr>
                                <w:rFonts w:cs="Open Sans SemiCondensed"/>
                                <w:noProof/>
                                <w:lang w:val="fr-CH"/>
                              </w:rPr>
                              <w:t xml:space="preserve"> avec le résumé et la lecture complète de l’article (n=21)</w:t>
                            </w:r>
                          </w:p>
                        </w:txbxContent>
                      </v:textbox>
                    </v:rect>
                    <v:rect id="Rectangle 12" o:spid="_x0000_s1044" alt="&quot;&quot;" style="position:absolute;left:47742;top:11902;width:17448;height:7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RjygAAAOIAAAAPAAAAZHJzL2Rvd25yZXYueG1sRI9BS8NA&#10;FITvQv/D8gre7CYRaki7LVIoVnpq1YO31+wziWbfht212fx7VxA8DjPzDbPeRtOLKznfWVaQLzIQ&#10;xLXVHTcKXl/2dyUIH5A19pZJwUQetpvZzRorbUc+0fUcGpEg7CtU0IYwVFL6uiWDfmEH4uR9WGcw&#10;JOkaqR2OCW56WWTZUhrsOC20ONCupfrr/G0UxLdpNJN+zlz/eaqfKB6P74eLUrfz+LgCESiG//Bf&#10;+6AVLPPyobgv8wJ+L6U7IDc/AAAA//8DAFBLAQItABQABgAIAAAAIQDb4fbL7gAAAIUBAAATAAAA&#10;AAAAAAAAAAAAAAAAAABbQ29udGVudF9UeXBlc10ueG1sUEsBAi0AFAAGAAgAAAAhAFr0LFu/AAAA&#10;FQEAAAsAAAAAAAAAAAAAAAAAHwEAAF9yZWxzLy5yZWxzUEsBAi0AFAAGAAgAAAAhAGhtdGPKAAAA&#10;4gAAAA8AAAAAAAAAAAAAAAAABwIAAGRycy9kb3ducmV2LnhtbFBLBQYAAAAAAwADALcAAAD+AgAA&#10;AAA=&#10;" strokecolor="#9fc5d7">
                      <v:textbox inset=",7.2pt,,7.2pt">
                        <w:txbxContent>
                          <w:p w14:paraId="053EDC33" w14:textId="77777777" w:rsidR="00776C3F" w:rsidRPr="00CD5C39" w:rsidRDefault="00776C3F" w:rsidP="00776C3F">
                            <w:pPr>
                              <w:tabs>
                                <w:tab w:val="left" w:pos="142"/>
                              </w:tabs>
                              <w:jc w:val="center"/>
                              <w:rPr>
                                <w:rFonts w:cs="Open Sans SemiCondensed"/>
                                <w:lang w:val="fr-FR"/>
                              </w:rPr>
                            </w:pPr>
                            <w:r w:rsidRPr="00CD5C39">
                              <w:rPr>
                                <w:rFonts w:cs="Open Sans SemiCondensed"/>
                                <w:lang w:val="fr-FR"/>
                              </w:rPr>
                              <w:t>Articles exclus</w:t>
                            </w:r>
                            <w:r w:rsidRPr="00CD5C39">
                              <w:rPr>
                                <w:rFonts w:cs="Open Sans SemiCondensed"/>
                                <w:lang w:val="fr-FR"/>
                              </w:rPr>
                              <w:br/>
                              <w:t>(n=602)</w:t>
                            </w:r>
                          </w:p>
                        </w:txbxContent>
                      </v:textbox>
                    </v:rect>
                  </v:group>
                  <v:group id="Grouper 22" o:spid="_x0000_s1045" style="position:absolute;left:190;top:35241;width:71028;height:21076" coordorigin="-4989,1507" coordsize="76039,1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OZzQAAAOMAAAAPAAAAZHJzL2Rvd25yZXYueG1sRI9Ba8JA&#10;EIXvhf6HZQq91U1SFU1dRaQtPUihWijehuyYBLOzIbtN4r/vHAoeZ96b975ZbUbXqJ66UHs2kE4S&#10;UMSFtzWXBr6Pb08LUCEiW2w8k4ErBdis7+9WmFs/8Bf1h1gqCeGQo4EqxjbXOhQVOQwT3xKLdvad&#10;wyhjV2rb4SDhrtFZksy1w5qlocKWdhUVl8OvM/A+4LB9Tl/7/eW8u56Os8+ffUrGPD6M2xdQkcZ4&#10;M/9ff1jBny6z6WyRzQVafpIF6PUfAAAA//8DAFBLAQItABQABgAIAAAAIQDb4fbL7gAAAIUBAAAT&#10;AAAAAAAAAAAAAAAAAAAAAABbQ29udGVudF9UeXBlc10ueG1sUEsBAi0AFAAGAAgAAAAhAFr0LFu/&#10;AAAAFQEAAAsAAAAAAAAAAAAAAAAAHwEAAF9yZWxzLy5yZWxzUEsBAi0AFAAGAAgAAAAhAPDLM5nN&#10;AAAA4wAAAA8AAAAAAAAAAAAAAAAABwIAAGRycy9kb3ducmV2LnhtbFBLBQYAAAAAAwADALcAAAAB&#10;AwAAAAA=&#10;">
                    <v:roundrect id="AutoShape 5" o:spid="_x0000_s1046" alt="&quot;&quot;" style="position:absolute;left:-7466;top:3984;width:9135;height:4181;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mujxwAAAOEAAAAPAAAAZHJzL2Rvd25yZXYueG1sRI/RisIw&#10;FETfF/yHcIV9W1Pdoms1ShGFPrm07gdcmmtbbG5KE7X+vRGEfRxm5gyz3g6mFTfqXWNZwXQSgSAu&#10;rW64UvB3Onz9gHAeWWNrmRQ8yMF2M/pYY6LtnXO6Fb4SAcIuQQW1910ipStrMugmtiMO3tn2Bn2Q&#10;fSV1j/cAN62cRdFcGmw4LNTY0a6m8lJcjYJiOeyzIq1ymWd7GafOxr9Hq9TneEhXIDwN/j/8bmda&#10;weJ7MY+myxhej8IbkJsnAAAA//8DAFBLAQItABQABgAIAAAAIQDb4fbL7gAAAIUBAAATAAAAAAAA&#10;AAAAAAAAAAAAAABbQ29udGVudF9UeXBlc10ueG1sUEsBAi0AFAAGAAgAAAAhAFr0LFu/AAAAFQEA&#10;AAsAAAAAAAAAAAAAAAAAHwEAAF9yZWxzLy5yZWxzUEsBAi0AFAAGAAgAAAAhAN+ma6PHAAAA4QAA&#10;AA8AAAAAAAAAAAAAAAAABwIAAGRycy9kb3ducmV2LnhtbFBLBQYAAAAAAwADALcAAAD7AgAAAAA=&#10;" fillcolor="#bfd9e4" strokecolor="#9fc5d7">
                      <v:textbox style="layout-flow:vertical;mso-layout-flow-alt:bottom-to-top" inset="3.6pt,,3.6pt">
                        <w:txbxContent>
                          <w:p w14:paraId="57923517" w14:textId="77777777" w:rsidR="00776C3F" w:rsidRPr="00CD5C39" w:rsidRDefault="00776C3F" w:rsidP="00776C3F">
                            <w:pPr>
                              <w:pStyle w:val="berschrift2"/>
                              <w:spacing w:before="0" w:after="0" w:line="240" w:lineRule="auto"/>
                              <w:jc w:val="center"/>
                              <w:rPr>
                                <w:b w:val="0"/>
                                <w:bCs w:val="0"/>
                                <w:noProof/>
                                <w:szCs w:val="20"/>
                                <w:lang w:val="fr-FR"/>
                              </w:rPr>
                            </w:pPr>
                            <w:r w:rsidRPr="00CD5C39">
                              <w:rPr>
                                <w:b w:val="0"/>
                                <w:bCs w:val="0"/>
                                <w:noProof/>
                                <w:szCs w:val="20"/>
                                <w:lang w:val="fr-FR"/>
                              </w:rPr>
                              <w:t>Eligibilité</w:t>
                            </w:r>
                          </w:p>
                        </w:txbxContent>
                      </v:textbox>
                    </v:roundrect>
                    <v:rect id="Rectangle 14" o:spid="_x0000_s1047" alt="&quot;&quot;" style="position:absolute;left:50751;top:3196;width:20299;height:16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AcCywAAAOMAAAAPAAAAZHJzL2Rvd25yZXYueG1sRI9BSwMx&#10;FITvQv9DeAVvNmkXSrs2LVIoVnpq1YO35+a5u7p5WZLYzf57Iwgeh5n5htnsku3ElXxoHWuYzxQI&#10;4sqZlmsNL8+HuxWIEJENdo5Jw0gBdtvJzQZL4wY+0/USa5EhHErU0MTYl1KGqiGLYeZ64ux9OG8x&#10;ZulraTwOGW47uVBqKS22nBca7GnfUPV1+bYa0us42NE8Kd99nqtHSqfT2/Fd69tpergHESnF//Bf&#10;+2g0LObFcl2oVbGG30/5D8jtDwAAAP//AwBQSwECLQAUAAYACAAAACEA2+H2y+4AAACFAQAAEwAA&#10;AAAAAAAAAAAAAAAAAAAAW0NvbnRlbnRfVHlwZXNdLnhtbFBLAQItABQABgAIAAAAIQBa9CxbvwAA&#10;ABUBAAALAAAAAAAAAAAAAAAAAB8BAABfcmVscy8ucmVsc1BLAQItABQABgAIAAAAIQAL6AcCywAA&#10;AOMAAAAPAAAAAAAAAAAAAAAAAAcCAABkcnMvZG93bnJldi54bWxQSwUGAAAAAAMAAwC3AAAA/wIA&#10;AAAA&#10;" strokecolor="#9fc5d7">
                      <v:textbox inset=",7.2pt,,7.2pt">
                        <w:txbxContent>
                          <w:p w14:paraId="1F0BA5C6" w14:textId="77777777" w:rsidR="00776C3F" w:rsidRPr="00CD5C39" w:rsidRDefault="00776C3F" w:rsidP="00776C3F">
                            <w:pPr>
                              <w:jc w:val="center"/>
                              <w:rPr>
                                <w:rFonts w:cs="Open Sans SemiCondensed"/>
                                <w:lang w:val="fr-CH"/>
                              </w:rPr>
                            </w:pPr>
                            <w:r w:rsidRPr="00CD5C39">
                              <w:rPr>
                                <w:rFonts w:cs="Open Sans SemiCondensed"/>
                                <w:lang w:val="fr-CH"/>
                              </w:rPr>
                              <w:t xml:space="preserve">Articles exclus </w:t>
                            </w:r>
                            <w:r w:rsidRPr="00CD5C39">
                              <w:rPr>
                                <w:rFonts w:cs="Open Sans SemiCondensed"/>
                                <w:lang w:val="fr-CH"/>
                              </w:rPr>
                              <w:br/>
                              <w:t>(n=12)</w:t>
                            </w:r>
                          </w:p>
                          <w:p w14:paraId="1CE35E6B" w14:textId="77777777" w:rsidR="00776C3F" w:rsidRPr="00CD5C39" w:rsidRDefault="00776C3F" w:rsidP="00776C3F">
                            <w:pPr>
                              <w:rPr>
                                <w:rFonts w:cs="Open Sans SemiCondensed"/>
                                <w:lang w:val="fr-CH"/>
                              </w:rPr>
                            </w:pPr>
                            <w:r w:rsidRPr="00CD5C39">
                              <w:rPr>
                                <w:rFonts w:cs="Open Sans SemiCondensed"/>
                                <w:lang w:val="fr-CH"/>
                              </w:rPr>
                              <w:t>Raisons :</w:t>
                            </w:r>
                          </w:p>
                          <w:p w14:paraId="10BFBC63" w14:textId="77777777" w:rsidR="008C12AC" w:rsidRPr="00776C3F" w:rsidRDefault="008C12AC" w:rsidP="008C12AC">
                            <w:pPr>
                              <w:pStyle w:val="Listenabsatz"/>
                              <w:numPr>
                                <w:ilvl w:val="0"/>
                                <w:numId w:val="7"/>
                              </w:numPr>
                              <w:ind w:left="142" w:hanging="142"/>
                              <w:rPr>
                                <w:rFonts w:ascii="Calibri" w:hAnsi="Calibri"/>
                                <w:lang w:val="fr-CH"/>
                              </w:rPr>
                            </w:pPr>
                            <w:r w:rsidRPr="00776C3F">
                              <w:rPr>
                                <w:rFonts w:cs="Open Sans SemiCondensed"/>
                                <w:lang w:val="fr-CH"/>
                              </w:rPr>
                              <w:t>Pas de DV</w:t>
                            </w:r>
                          </w:p>
                          <w:p w14:paraId="79DF90B7" w14:textId="35B25ADF" w:rsidR="008C12AC" w:rsidRPr="008C12AC" w:rsidRDefault="008C12AC" w:rsidP="008C12AC">
                            <w:pPr>
                              <w:pStyle w:val="Listenabsatz"/>
                              <w:numPr>
                                <w:ilvl w:val="0"/>
                                <w:numId w:val="7"/>
                              </w:numPr>
                              <w:ind w:left="142" w:hanging="142"/>
                              <w:rPr>
                                <w:rFonts w:ascii="Calibri" w:hAnsi="Calibri"/>
                                <w:lang w:val="fr-CH"/>
                              </w:rPr>
                            </w:pPr>
                            <w:r w:rsidRPr="00776C3F">
                              <w:rPr>
                                <w:rFonts w:cs="Open Sans SemiCondensed"/>
                                <w:lang w:val="fr-CH"/>
                              </w:rPr>
                              <w:t>Pas d’évaluation du CA</w:t>
                            </w:r>
                          </w:p>
                          <w:p w14:paraId="44D6BE0A" w14:textId="427E145A" w:rsidR="00776C3F" w:rsidRDefault="00776C3F" w:rsidP="00776C3F">
                            <w:pPr>
                              <w:pStyle w:val="Listenabsatz"/>
                              <w:numPr>
                                <w:ilvl w:val="0"/>
                                <w:numId w:val="7"/>
                              </w:numPr>
                              <w:ind w:left="142" w:hanging="142"/>
                              <w:rPr>
                                <w:rFonts w:cs="Open Sans SemiCondensed"/>
                                <w:lang w:val="fr-CH"/>
                              </w:rPr>
                            </w:pPr>
                            <w:r w:rsidRPr="00776C3F">
                              <w:rPr>
                                <w:rFonts w:cs="Open Sans SemiCondensed"/>
                                <w:lang w:val="fr-CH"/>
                              </w:rPr>
                              <w:t xml:space="preserve">Pas d’évaluation </w:t>
                            </w:r>
                            <w:r w:rsidRPr="00776C3F">
                              <w:rPr>
                                <w:rFonts w:cs="Open Sans SemiCondensed"/>
                                <w:lang w:val="fr-CH"/>
                              </w:rPr>
                              <w:br/>
                              <w:t>standardisée</w:t>
                            </w:r>
                          </w:p>
                          <w:p w14:paraId="03C01D9C" w14:textId="2F0D4F35" w:rsidR="00776C3F" w:rsidRPr="00776C3F" w:rsidRDefault="00776C3F" w:rsidP="00776C3F">
                            <w:pPr>
                              <w:pStyle w:val="Listenabsatz"/>
                              <w:numPr>
                                <w:ilvl w:val="0"/>
                                <w:numId w:val="7"/>
                              </w:numPr>
                              <w:ind w:left="142" w:hanging="142"/>
                              <w:rPr>
                                <w:rFonts w:ascii="Calibri" w:hAnsi="Calibri"/>
                                <w:lang w:val="fr-CH"/>
                              </w:rPr>
                            </w:pPr>
                            <w:r w:rsidRPr="00776C3F">
                              <w:rPr>
                                <w:rFonts w:cs="Open Sans SemiCondensed"/>
                                <w:lang w:val="fr-CH"/>
                              </w:rPr>
                              <w:t>Autres langues</w:t>
                            </w:r>
                          </w:p>
                        </w:txbxContent>
                      </v:textbox>
                    </v:rect>
                  </v:group>
                  <v:rect id="Rectangle 11" o:spid="_x0000_s1048" alt="&quot;&quot;" style="position:absolute;left:14668;top:37147;width:32398;height:5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XmyAAAAOMAAAAPAAAAZHJzL2Rvd25yZXYueG1sRE9PT8Iw&#10;FL+T+B2aZ8INOiTAMinEmBgwnEA9eHuuz226vi5tZd23pyQkHt/v/1tvo2nFmZxvLCuYTTMQxKXV&#10;DVcK3t9eJjkIH5A1tpZJwUAetpu70RoLbXs+0vkUKpFC2BeooA6hK6T0ZU0G/dR2xIn7ts5gSKer&#10;pHbYp3DTyocsW0qDDaeGGjt6rqn8Pf0ZBfFj6M2gXzPX/hzLHcXD4XP/pdT4Pj49gggUw7/45t7r&#10;NH81z2fLVT5fwPWnBIDcXAAAAP//AwBQSwECLQAUAAYACAAAACEA2+H2y+4AAACFAQAAEwAAAAAA&#10;AAAAAAAAAAAAAAAAW0NvbnRlbnRfVHlwZXNdLnhtbFBLAQItABQABgAIAAAAIQBa9CxbvwAAABUB&#10;AAALAAAAAAAAAAAAAAAAAB8BAABfcmVscy8ucmVsc1BLAQItABQABgAIAAAAIQCnNVXmyAAAAOMA&#10;AAAPAAAAAAAAAAAAAAAAAAcCAABkcnMvZG93bnJldi54bWxQSwUGAAAAAAMAAwC3AAAA/AIAAAAA&#10;" strokecolor="#9fc5d7">
                    <v:textbox inset=",7.2pt,,7.2pt">
                      <w:txbxContent>
                        <w:p w14:paraId="7C3CA4C9" w14:textId="77777777" w:rsidR="00776C3F" w:rsidRPr="00CD5C39" w:rsidRDefault="00776C3F" w:rsidP="00776C3F">
                          <w:pPr>
                            <w:jc w:val="center"/>
                            <w:rPr>
                              <w:rFonts w:cs="Open Sans SemiCondensed"/>
                              <w:lang w:val="fr-CH"/>
                            </w:rPr>
                          </w:pPr>
                          <w:r w:rsidRPr="00CD5C39">
                            <w:rPr>
                              <w:rFonts w:cs="Open Sans SemiCondensed"/>
                              <w:lang w:val="fr-CH"/>
                            </w:rPr>
                            <w:t xml:space="preserve">Articles sélectionnés pour éligibilité </w:t>
                          </w:r>
                        </w:p>
                        <w:p w14:paraId="3D8ABF49" w14:textId="77777777" w:rsidR="00776C3F" w:rsidRPr="00CD5C39" w:rsidRDefault="00776C3F" w:rsidP="00776C3F">
                          <w:pPr>
                            <w:jc w:val="center"/>
                            <w:rPr>
                              <w:rFonts w:cs="Open Sans SemiCondensed"/>
                              <w:noProof/>
                              <w:lang w:val="fr-CH"/>
                            </w:rPr>
                          </w:pPr>
                          <w:r w:rsidRPr="00CD5C39">
                            <w:rPr>
                              <w:rFonts w:cs="Open Sans SemiCondensed"/>
                              <w:noProof/>
                              <w:lang w:val="fr-CH"/>
                            </w:rPr>
                            <w:t xml:space="preserve"> (n=21)</w:t>
                          </w:r>
                        </w:p>
                      </w:txbxContent>
                    </v:textbox>
                  </v:rect>
                  <v:shape id="Gerade Verbindung mit Pfeil 2" o:spid="_x0000_s1049" type="#_x0000_t32" alt="&quot;&quot;" style="position:absolute;left:31051;top:43053;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NzygAAAOIAAAAPAAAAZHJzL2Rvd25yZXYueG1sRI/BbsIw&#10;EETvlfgHa5F6AydQUQgYRKsWEakXAh+wipc4bbxOYxfSv6+RkHoczcwbzWrT20ZcqPO1YwXpOAFB&#10;XDpdc6XgdHwfzUH4gKyxcUwKfsnDZj14WGGm3ZUPdClCJSKEfYYKTAhtJqUvDVn0Y9cSR+/sOosh&#10;yq6SusNrhNtGTpJkJi3WHBcMtvRqqPwqfqyCtxcyRbH7DrxdfHzudJ4f8TlX6nHYb5cgAvXhP3xv&#10;77WCyfRpnqSLdAq3S/EOyPUfAAAA//8DAFBLAQItABQABgAIAAAAIQDb4fbL7gAAAIUBAAATAAAA&#10;AAAAAAAAAAAAAAAAAABbQ29udGVudF9UeXBlc10ueG1sUEsBAi0AFAAGAAgAAAAhAFr0LFu/AAAA&#10;FQEAAAsAAAAAAAAAAAAAAAAAHwEAAF9yZWxzLy5yZWxzUEsBAi0AFAAGAAgAAAAhADAOY3PKAAAA&#10;4gAAAA8AAAAAAAAAAAAAAAAABwIAAGRycy9kb3ducmV2LnhtbFBLBQYAAAAAAwADALcAAAD+AgAA&#10;AAA=&#10;" strokecolor="#9fc5d7" strokeweight=".5pt">
                    <v:stroke endarrow="block" joinstyle="miter"/>
                  </v:shape>
                  <v:shape id="Gerade Verbindung mit Pfeil 4" o:spid="_x0000_s1050" type="#_x0000_t32" style="position:absolute;left:47148;top:28765;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RryAAAAOMAAAAPAAAAZHJzL2Rvd25yZXYueG1sRE9LbsIw&#10;EN1X6h2sqcSuOAXxScAgilrUSGwIHGAUD3FoPE5jA+nt60qVupz3n+W6t424UedrxwpehgkI4tLp&#10;misFp+P78xyED8gaG8ek4Js8rFePD0vMtLvzgW5FqEQMYZ+hAhNCm0npS0MW/dC1xJE7u85iiGdX&#10;Sd3hPYbbRo6SZCot1hwbDLa0NVR+Fler4O2VTFHsvgJv0v1lp/P8iLNcqcFTv1mACNSHf/Gf+0PH&#10;+fM0nUxmo/EUfn+KAMjVDwAAAP//AwBQSwECLQAUAAYACAAAACEA2+H2y+4AAACFAQAAEwAAAAAA&#10;AAAAAAAAAAAAAAAAW0NvbnRlbnRfVHlwZXNdLnhtbFBLAQItABQABgAIAAAAIQBa9CxbvwAAABUB&#10;AAALAAAAAAAAAAAAAAAAAB8BAABfcmVscy8ucmVsc1BLAQItABQABgAIAAAAIQARzDRryAAAAOMA&#10;AAAPAAAAAAAAAAAAAAAAAAcCAABkcnMvZG93bnJldi54bWxQSwUGAAAAAAMAAwC3AAAA/AIAAAAA&#10;" strokecolor="#9fc5d7" strokeweight=".5pt">
                    <v:stroke endarrow="block" joinstyle="miter"/>
                  </v:shape>
                  <v:shape id="Gerade Verbindung mit Pfeil 4" o:spid="_x0000_s1051" type="#_x0000_t32" alt="&quot;&quot;" style="position:absolute;left:47148;top:39909;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3nygAAAOMAAAAPAAAAZHJzL2Rvd25yZXYueG1sRI9BT8Mw&#10;DIXvSPsPkZG4sbTT2KAsmwaCiUq7rOMHWI1pCo1TmrCVf48PSDva7/m9z6vN6Dt1oiG2gQ3k0wwU&#10;cR1sy42B9+Pr7T2omJAtdoHJwC9F2KwnVyssbDjzgU5VapSEcCzQgEupL7SOtSOPcRp6YtE+wuAx&#10;yTg02g54lnDf6VmWLbTHlqXBYU/Pjuqv6scbeHkiV1W778Tbh/3nzpblEZelMTfX4/YRVKIxXcz/&#10;129W8Jfz/C6fZwuBlp9kAXr9BwAA//8DAFBLAQItABQABgAIAAAAIQDb4fbL7gAAAIUBAAATAAAA&#10;AAAAAAAAAAAAAAAAAABbQ29udGVudF9UeXBlc10ueG1sUEsBAi0AFAAGAAgAAAAhAFr0LFu/AAAA&#10;FQEAAAsAAAAAAAAAAAAAAAAAHwEAAF9yZWxzLy5yZWxzUEsBAi0AFAAGAAgAAAAhAF0A7efKAAAA&#10;4wAAAA8AAAAAAAAAAAAAAAAABwIAAGRycy9kb3ducmV2LnhtbFBLBQYAAAAAAwADALcAAAD+AgAA&#10;AAA=&#10;" strokecolor="#9fc5d7" strokeweight=".5pt">
                    <v:stroke endarrow="block" joinstyle="miter"/>
                  </v:shape>
                  <v:shape id="Gerade Verbindung mit Pfeil 5" o:spid="_x0000_s1052" type="#_x0000_t32" alt="&quot;&quot;" style="position:absolute;left:30765;top:20859;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mQxwAAAOIAAAAPAAAAZHJzL2Rvd25yZXYueG1sRE/dTsIw&#10;FL434R2aY+KddALZcFAIEiUu8cbhA5ysh3Wwns61wnh7emHC5Zfvf7kebCvO1PvGsYKXcQKCuHK6&#10;4VrBz/7jeQ7CB2SNrWNScCUP69XoYYm5dhf+pnMZahFD2OeowITQ5VL6ypBFP3YdceQOrrcYIuxr&#10;qXu8xHDbykmSpNJiw7HBYEdbQ9Wp/LMK3t/IlOXuN/Dm9eu400Wxx6xQ6ulx2CxABBrCXfzv/tQK&#10;0vk0m82yNG6Ol+IdkKsbAAAA//8DAFBLAQItABQABgAIAAAAIQDb4fbL7gAAAIUBAAATAAAAAAAA&#10;AAAAAAAAAAAAAABbQ29udGVudF9UeXBlc10ueG1sUEsBAi0AFAAGAAgAAAAhAFr0LFu/AAAAFQEA&#10;AAsAAAAAAAAAAAAAAAAAHwEAAF9yZWxzLy5yZWxzUEsBAi0AFAAGAAgAAAAhAC5CGZDHAAAA4gAA&#10;AA8AAAAAAAAAAAAAAAAABwIAAGRycy9kb3ducmV2LnhtbFBLBQYAAAAAAwADALcAAAD7AgAAAAA=&#10;" strokecolor="#9fc5d7" strokeweight=".5pt">
                    <v:stroke endarrow="block" joinstyle="miter"/>
                  </v:shape>
                </v:group>
                <v:shape id="Gerade Verbindung mit Pfeil 2" o:spid="_x0000_s1053" type="#_x0000_t32" alt="&quot;&quot;" style="position:absolute;left:30861;top:3238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SGyQAAAOIAAAAPAAAAZHJzL2Rvd25yZXYueG1sRI/RasJA&#10;FETfhf7Dcgu+6cYSjE1dxZYqDfjS2A+4ZK/Z2OzdNLtq+vfdguDjMDNnmOV6sK24UO8bxwpm0wQE&#10;ceV0w7WCr8N2sgDhA7LG1jEp+CUP69XDaIm5dlf+pEsZahEh7HNUYELocil9Zciin7qOOHpH11sM&#10;Ufa11D1eI9y28ilJ5tJiw3HBYEdvhqrv8mwVvL+SKcvdT+DN8/6000VxwKxQavw4bF5ABBrCPXxr&#10;f2gFaTZLs0WWpPB/Kd4BufoDAAD//wMAUEsBAi0AFAAGAAgAAAAhANvh9svuAAAAhQEAABMAAAAA&#10;AAAAAAAAAAAAAAAAAFtDb250ZW50X1R5cGVzXS54bWxQSwECLQAUAAYACAAAACEAWvQsW78AAAAV&#10;AQAACwAAAAAAAAAAAAAAAAAfAQAAX3JlbHMvLnJlbHNQSwECLQAUAAYACAAAACEAIR3UhskAAADi&#10;AAAADwAAAAAAAAAAAAAAAAAHAgAAZHJzL2Rvd25yZXYueG1sUEsFBgAAAAADAAMAtwAAAP0CAAAA&#10;AA==&#10;" strokecolor="#9fc5d7" strokeweight=".5pt">
                  <v:stroke endarrow="block" joinstyle="miter"/>
                </v:shape>
                <w10:anchorlock/>
              </v:group>
            </w:pict>
          </mc:Fallback>
        </mc:AlternateContent>
      </w:r>
    </w:p>
    <w:p w14:paraId="3E73BCB3" w14:textId="023BA337" w:rsidR="005236AD" w:rsidRPr="00233777" w:rsidRDefault="005236AD" w:rsidP="00E208B2">
      <w:pPr>
        <w:pStyle w:val="berschrift2"/>
        <w:spacing w:before="360"/>
        <w:rPr>
          <w:lang w:val="fr-CH"/>
        </w:rPr>
      </w:pPr>
      <w:r w:rsidRPr="00233777">
        <w:rPr>
          <w:lang w:val="fr-CH"/>
        </w:rPr>
        <w:t>Extraction des données</w:t>
      </w:r>
    </w:p>
    <w:p w14:paraId="6FF4ED4F" w14:textId="119ED6DB" w:rsidR="00860C01" w:rsidRDefault="005236AD" w:rsidP="00860C01">
      <w:pPr>
        <w:pStyle w:val="Textkrper"/>
        <w:rPr>
          <w:lang w:val="fr-CH"/>
        </w:rPr>
      </w:pPr>
      <w:r w:rsidRPr="00233777">
        <w:rPr>
          <w:lang w:val="fr-CH"/>
        </w:rPr>
        <w:t>Dix variables ont été extraites : 1) le pays ; 2) le devis de recherche ; 3) le contexte ; 4) les caractéristiques des participantes et participants ; 5) les informations sur la DV ; 6) la présence de comorbidités ; 7) l’instrument de mesure utilisé pour évaluer le CA ; 8) les autres variables mesurées ; 9) les analyses statistiques utilisées ; et 10) les scores de l’évaluation du CA. Le Tableau 1 présente un résumé des caractéristiques des études sélectionnées, ainsi que la synthèse des résultats du CA selon l’ordre chronologique de publication.</w:t>
      </w:r>
    </w:p>
    <w:p w14:paraId="68A14729" w14:textId="5165DF73" w:rsidR="00860C01" w:rsidRPr="00233777" w:rsidRDefault="00860C01" w:rsidP="00A22E52">
      <w:pPr>
        <w:pStyle w:val="Textkrper"/>
        <w:rPr>
          <w:lang w:val="fr-CH"/>
        </w:rPr>
        <w:sectPr w:rsidR="00860C01" w:rsidRPr="00233777" w:rsidSect="00BD0967">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134" w:left="1418" w:header="720" w:footer="567" w:gutter="0"/>
          <w:pgNumType w:start="41"/>
          <w:cols w:space="720"/>
        </w:sectPr>
      </w:pPr>
    </w:p>
    <w:p w14:paraId="22275C5B" w14:textId="2E5467DE" w:rsidR="00A22E52" w:rsidRPr="00701CB5" w:rsidRDefault="00A22E52" w:rsidP="00701CB5">
      <w:pPr>
        <w:pStyle w:val="LegendeTabelle"/>
        <w:spacing w:after="240"/>
        <w:rPr>
          <w:lang w:val="fr-CH" w:eastAsia="fr-CH"/>
        </w:rPr>
      </w:pPr>
      <w:r w:rsidRPr="00701CB5">
        <w:rPr>
          <w:lang w:val="fr-CH" w:eastAsia="fr-CH"/>
        </w:rPr>
        <w:lastRenderedPageBreak/>
        <w:t>Tableau</w:t>
      </w:r>
      <w:r w:rsidR="004457B0" w:rsidRPr="00701CB5">
        <w:rPr>
          <w:lang w:val="fr-CH" w:eastAsia="fr-CH"/>
        </w:rPr>
        <w:t> </w:t>
      </w:r>
      <w:r w:rsidRPr="00701CB5">
        <w:rPr>
          <w:lang w:val="fr-CH" w:eastAsia="fr-CH"/>
        </w:rPr>
        <w:t>1 :</w:t>
      </w:r>
      <w:r w:rsidR="00787497" w:rsidRPr="00701CB5">
        <w:rPr>
          <w:lang w:val="fr-CH" w:eastAsia="fr-CH"/>
        </w:rPr>
        <w:t xml:space="preserve"> </w:t>
      </w:r>
      <w:r w:rsidRPr="00701CB5">
        <w:rPr>
          <w:lang w:val="fr-CH" w:eastAsia="fr-CH"/>
        </w:rPr>
        <w:t>Caractéristiques des études sélectionnées</w:t>
      </w:r>
    </w:p>
    <w:tbl>
      <w:tblPr>
        <w:tblStyle w:val="Gitternetztabelle4Akzent5"/>
        <w:tblW w:w="13745" w:type="dxa"/>
        <w:tblLook w:val="04A0" w:firstRow="1" w:lastRow="0" w:firstColumn="1" w:lastColumn="0" w:noHBand="0" w:noVBand="1"/>
      </w:tblPr>
      <w:tblGrid>
        <w:gridCol w:w="2547"/>
        <w:gridCol w:w="1417"/>
        <w:gridCol w:w="993"/>
        <w:gridCol w:w="1275"/>
        <w:gridCol w:w="709"/>
        <w:gridCol w:w="1276"/>
        <w:gridCol w:w="1417"/>
        <w:gridCol w:w="1985"/>
        <w:gridCol w:w="2126"/>
      </w:tblGrid>
      <w:tr w:rsidR="00701CB5" w:rsidRPr="00701CB5" w14:paraId="0FC3BA0F" w14:textId="77777777" w:rsidTr="00701CB5">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47" w:type="dxa"/>
            <w:tcBorders>
              <w:right w:val="single" w:sz="2" w:space="0" w:color="9EC5D6" w:themeColor="accent5" w:themeTint="99"/>
            </w:tcBorders>
            <w:vAlign w:val="center"/>
            <w:hideMark/>
          </w:tcPr>
          <w:p w14:paraId="5B0EDD35" w14:textId="77777777" w:rsidR="00A22E52" w:rsidRPr="00701CB5" w:rsidRDefault="00A22E52" w:rsidP="00A22E52">
            <w:pPr>
              <w:pStyle w:val="Textkrper3"/>
              <w:jc w:val="both"/>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Références</w:t>
            </w:r>
          </w:p>
        </w:tc>
        <w:tc>
          <w:tcPr>
            <w:tcW w:w="1417" w:type="dxa"/>
            <w:tcBorders>
              <w:left w:val="single" w:sz="2" w:space="0" w:color="9EC5D6" w:themeColor="accent5" w:themeTint="99"/>
              <w:right w:val="single" w:sz="2" w:space="0" w:color="9EC5D6" w:themeColor="accent5" w:themeTint="99"/>
            </w:tcBorders>
            <w:vAlign w:val="center"/>
            <w:hideMark/>
          </w:tcPr>
          <w:p w14:paraId="64492566" w14:textId="77777777" w:rsidR="00A22E52" w:rsidRPr="00701CB5" w:rsidRDefault="00A22E52" w:rsidP="00A22E52">
            <w:pPr>
              <w:pStyle w:val="Textkrper3"/>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Pays</w:t>
            </w:r>
          </w:p>
        </w:tc>
        <w:tc>
          <w:tcPr>
            <w:tcW w:w="993" w:type="dxa"/>
            <w:tcBorders>
              <w:left w:val="single" w:sz="2" w:space="0" w:color="9EC5D6" w:themeColor="accent5" w:themeTint="99"/>
              <w:right w:val="single" w:sz="2" w:space="0" w:color="9EC5D6" w:themeColor="accent5" w:themeTint="99"/>
            </w:tcBorders>
            <w:vAlign w:val="center"/>
            <w:hideMark/>
          </w:tcPr>
          <w:p w14:paraId="652CB084" w14:textId="77777777" w:rsidR="00A22E52" w:rsidRPr="00701CB5" w:rsidRDefault="00A22E52" w:rsidP="00A22E52">
            <w:pPr>
              <w:pStyle w:val="Textkrper3"/>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Devis</w:t>
            </w:r>
          </w:p>
        </w:tc>
        <w:tc>
          <w:tcPr>
            <w:tcW w:w="1275" w:type="dxa"/>
            <w:tcBorders>
              <w:left w:val="single" w:sz="2" w:space="0" w:color="9EC5D6" w:themeColor="accent5" w:themeTint="99"/>
              <w:right w:val="single" w:sz="2" w:space="0" w:color="9EC5D6" w:themeColor="accent5" w:themeTint="99"/>
            </w:tcBorders>
            <w:vAlign w:val="center"/>
            <w:hideMark/>
          </w:tcPr>
          <w:p w14:paraId="7E7C9875" w14:textId="77777777" w:rsidR="00A22E52" w:rsidRPr="00701CB5" w:rsidRDefault="00A22E52" w:rsidP="00A22E52">
            <w:pPr>
              <w:pStyle w:val="Textkrper3"/>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Contextes</w:t>
            </w:r>
          </w:p>
        </w:tc>
        <w:tc>
          <w:tcPr>
            <w:tcW w:w="709" w:type="dxa"/>
            <w:tcBorders>
              <w:left w:val="single" w:sz="2" w:space="0" w:color="9EC5D6" w:themeColor="accent5" w:themeTint="99"/>
              <w:right w:val="single" w:sz="2" w:space="0" w:color="9EC5D6" w:themeColor="accent5" w:themeTint="99"/>
            </w:tcBorders>
            <w:vAlign w:val="center"/>
            <w:hideMark/>
          </w:tcPr>
          <w:p w14:paraId="0CF1BEE9" w14:textId="77777777" w:rsidR="00A22E52" w:rsidRPr="00701CB5" w:rsidRDefault="00A22E52" w:rsidP="00A22E52">
            <w:pPr>
              <w:pStyle w:val="Textkrper3"/>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N</w:t>
            </w:r>
          </w:p>
        </w:tc>
        <w:tc>
          <w:tcPr>
            <w:tcW w:w="1276" w:type="dxa"/>
            <w:tcBorders>
              <w:left w:val="single" w:sz="2" w:space="0" w:color="9EC5D6" w:themeColor="accent5" w:themeTint="99"/>
              <w:right w:val="single" w:sz="2" w:space="0" w:color="9EC5D6" w:themeColor="accent5" w:themeTint="99"/>
            </w:tcBorders>
            <w:vAlign w:val="center"/>
            <w:hideMark/>
          </w:tcPr>
          <w:p w14:paraId="3135B49B" w14:textId="7E26D8E9" w:rsidR="00A22E52" w:rsidRPr="00701CB5" w:rsidRDefault="00F274A2" w:rsidP="00701CB5">
            <w:pPr>
              <w:pStyle w:val="Textkrper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Â</w:t>
            </w:r>
            <w:r w:rsidR="00A22E52" w:rsidRPr="00701CB5">
              <w:rPr>
                <w:rFonts w:asciiTheme="majorHAnsi" w:hAnsiTheme="majorHAnsi" w:cstheme="majorHAnsi"/>
                <w:b w:val="0"/>
                <w:bCs w:val="0"/>
                <w:sz w:val="20"/>
                <w:szCs w:val="20"/>
                <w:lang w:val="fr-CH" w:eastAsia="fr-CH"/>
              </w:rPr>
              <w:t xml:space="preserve">ge moyen </w:t>
            </w:r>
            <w:r w:rsidR="00701CB5">
              <w:rPr>
                <w:rFonts w:asciiTheme="majorHAnsi" w:hAnsiTheme="majorHAnsi" w:cstheme="majorHAnsi"/>
                <w:b w:val="0"/>
                <w:bCs w:val="0"/>
                <w:sz w:val="20"/>
                <w:szCs w:val="20"/>
                <w:lang w:val="fr-CH" w:eastAsia="fr-CH"/>
              </w:rPr>
              <w:br/>
            </w:r>
            <w:r w:rsidR="00A22E52" w:rsidRPr="00701CB5">
              <w:rPr>
                <w:rFonts w:asciiTheme="majorHAnsi" w:hAnsiTheme="majorHAnsi" w:cstheme="majorHAnsi"/>
                <w:b w:val="0"/>
                <w:bCs w:val="0"/>
                <w:sz w:val="20"/>
                <w:szCs w:val="20"/>
                <w:lang w:val="fr-CH" w:eastAsia="fr-CH"/>
              </w:rPr>
              <w:t>(années)</w:t>
            </w:r>
          </w:p>
        </w:tc>
        <w:tc>
          <w:tcPr>
            <w:tcW w:w="1417" w:type="dxa"/>
            <w:tcBorders>
              <w:left w:val="single" w:sz="2" w:space="0" w:color="9EC5D6" w:themeColor="accent5" w:themeTint="99"/>
              <w:right w:val="single" w:sz="2" w:space="0" w:color="9EC5D6" w:themeColor="accent5" w:themeTint="99"/>
            </w:tcBorders>
            <w:vAlign w:val="center"/>
            <w:hideMark/>
          </w:tcPr>
          <w:p w14:paraId="745E6E7B" w14:textId="77777777" w:rsidR="00A22E52" w:rsidRPr="00701CB5" w:rsidRDefault="00A22E52" w:rsidP="00A22E52">
            <w:pPr>
              <w:pStyle w:val="Textkrper3"/>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Instruments</w:t>
            </w:r>
          </w:p>
        </w:tc>
        <w:tc>
          <w:tcPr>
            <w:tcW w:w="1985" w:type="dxa"/>
            <w:tcBorders>
              <w:left w:val="single" w:sz="2" w:space="0" w:color="9EC5D6" w:themeColor="accent5" w:themeTint="99"/>
              <w:right w:val="single" w:sz="2" w:space="0" w:color="9EC5D6" w:themeColor="accent5" w:themeTint="99"/>
            </w:tcBorders>
            <w:vAlign w:val="center"/>
            <w:hideMark/>
          </w:tcPr>
          <w:p w14:paraId="65C14C28" w14:textId="335C5DAE" w:rsidR="00A22E52" w:rsidRPr="00701CB5" w:rsidRDefault="00A22E52" w:rsidP="00701CB5">
            <w:pPr>
              <w:pStyle w:val="Textkrper3"/>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 xml:space="preserve">Répondantes et </w:t>
            </w:r>
            <w:r w:rsidR="00701CB5">
              <w:rPr>
                <w:rFonts w:asciiTheme="majorHAnsi" w:hAnsiTheme="majorHAnsi" w:cstheme="majorHAnsi"/>
                <w:b w:val="0"/>
                <w:bCs w:val="0"/>
                <w:sz w:val="20"/>
                <w:szCs w:val="20"/>
                <w:lang w:val="fr-CH" w:eastAsia="fr-CH"/>
              </w:rPr>
              <w:br/>
            </w:r>
            <w:r w:rsidRPr="00701CB5">
              <w:rPr>
                <w:rFonts w:asciiTheme="majorHAnsi" w:hAnsiTheme="majorHAnsi" w:cstheme="majorHAnsi"/>
                <w:b w:val="0"/>
                <w:bCs w:val="0"/>
                <w:sz w:val="20"/>
                <w:szCs w:val="20"/>
                <w:lang w:val="fr-CH" w:eastAsia="fr-CH"/>
              </w:rPr>
              <w:t>répondants</w:t>
            </w:r>
          </w:p>
        </w:tc>
        <w:tc>
          <w:tcPr>
            <w:tcW w:w="2126" w:type="dxa"/>
            <w:tcBorders>
              <w:left w:val="single" w:sz="2" w:space="0" w:color="9EC5D6" w:themeColor="accent5" w:themeTint="99"/>
              <w:right w:val="nil"/>
            </w:tcBorders>
            <w:vAlign w:val="center"/>
            <w:hideMark/>
          </w:tcPr>
          <w:p w14:paraId="439394E4" w14:textId="77777777" w:rsidR="00A22E52" w:rsidRPr="00701CB5" w:rsidRDefault="00A22E52" w:rsidP="00A22E52">
            <w:pPr>
              <w:pStyle w:val="Textkrper3"/>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fr-CH" w:eastAsia="fr-CH"/>
              </w:rPr>
            </w:pPr>
            <w:r w:rsidRPr="00701CB5">
              <w:rPr>
                <w:rFonts w:asciiTheme="majorHAnsi" w:hAnsiTheme="majorHAnsi" w:cstheme="majorHAnsi"/>
                <w:b w:val="0"/>
                <w:bCs w:val="0"/>
                <w:sz w:val="20"/>
                <w:szCs w:val="20"/>
                <w:lang w:val="fr-CH" w:eastAsia="fr-CH"/>
              </w:rPr>
              <w:t>Résultats CA</w:t>
            </w:r>
          </w:p>
        </w:tc>
      </w:tr>
      <w:tr w:rsidR="00701CB5" w:rsidRPr="00701CB5" w14:paraId="31D61DDA" w14:textId="77777777" w:rsidTr="00701CB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2C59302"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Parson (1987)</w:t>
            </w:r>
          </w:p>
        </w:tc>
        <w:tc>
          <w:tcPr>
            <w:tcW w:w="1417" w:type="dxa"/>
            <w:noWrap/>
            <w:vAlign w:val="center"/>
            <w:hideMark/>
          </w:tcPr>
          <w:p w14:paraId="50A5B175"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États-Unis</w:t>
            </w:r>
          </w:p>
        </w:tc>
        <w:tc>
          <w:tcPr>
            <w:tcW w:w="993" w:type="dxa"/>
            <w:noWrap/>
            <w:vAlign w:val="center"/>
            <w:hideMark/>
          </w:tcPr>
          <w:p w14:paraId="7F95A766"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DES</w:t>
            </w:r>
          </w:p>
        </w:tc>
        <w:tc>
          <w:tcPr>
            <w:tcW w:w="1275" w:type="dxa"/>
            <w:noWrap/>
            <w:vAlign w:val="center"/>
            <w:hideMark/>
          </w:tcPr>
          <w:p w14:paraId="2B43E25A" w14:textId="0CA7607F" w:rsidR="00A22E52" w:rsidRPr="00701CB5" w:rsidRDefault="00F274A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Écoles</w:t>
            </w:r>
          </w:p>
        </w:tc>
        <w:tc>
          <w:tcPr>
            <w:tcW w:w="709" w:type="dxa"/>
            <w:noWrap/>
            <w:vAlign w:val="center"/>
            <w:hideMark/>
          </w:tcPr>
          <w:p w14:paraId="664F588E"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17</w:t>
            </w:r>
          </w:p>
        </w:tc>
        <w:tc>
          <w:tcPr>
            <w:tcW w:w="1276" w:type="dxa"/>
            <w:noWrap/>
            <w:vAlign w:val="center"/>
            <w:hideMark/>
          </w:tcPr>
          <w:p w14:paraId="0D0532D4"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13,25</w:t>
            </w:r>
          </w:p>
        </w:tc>
        <w:tc>
          <w:tcPr>
            <w:tcW w:w="1417" w:type="dxa"/>
            <w:noWrap/>
            <w:vAlign w:val="center"/>
            <w:hideMark/>
          </w:tcPr>
          <w:p w14:paraId="1B7BB06E"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VABS</w:t>
            </w:r>
          </w:p>
        </w:tc>
        <w:tc>
          <w:tcPr>
            <w:tcW w:w="1985" w:type="dxa"/>
            <w:noWrap/>
            <w:vAlign w:val="center"/>
            <w:hideMark/>
          </w:tcPr>
          <w:p w14:paraId="732C3563"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Corps enseignant</w:t>
            </w:r>
          </w:p>
        </w:tc>
        <w:tc>
          <w:tcPr>
            <w:tcW w:w="2126" w:type="dxa"/>
            <w:noWrap/>
            <w:vAlign w:val="center"/>
            <w:hideMark/>
          </w:tcPr>
          <w:p w14:paraId="02091779"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N/M</w:t>
            </w:r>
          </w:p>
        </w:tc>
      </w:tr>
      <w:tr w:rsidR="00701CB5" w:rsidRPr="00701CB5" w14:paraId="7CA8B724" w14:textId="77777777" w:rsidTr="00701CB5">
        <w:trPr>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7E440411"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Celeste (2006)</w:t>
            </w:r>
          </w:p>
        </w:tc>
        <w:tc>
          <w:tcPr>
            <w:tcW w:w="1417" w:type="dxa"/>
            <w:noWrap/>
            <w:vAlign w:val="center"/>
            <w:hideMark/>
          </w:tcPr>
          <w:p w14:paraId="125D0926"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États-Unis</w:t>
            </w:r>
          </w:p>
        </w:tc>
        <w:tc>
          <w:tcPr>
            <w:tcW w:w="993" w:type="dxa"/>
            <w:noWrap/>
            <w:vAlign w:val="center"/>
            <w:hideMark/>
          </w:tcPr>
          <w:p w14:paraId="1634ABC8"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EDC</w:t>
            </w:r>
          </w:p>
        </w:tc>
        <w:tc>
          <w:tcPr>
            <w:tcW w:w="1275" w:type="dxa"/>
            <w:noWrap/>
            <w:vAlign w:val="center"/>
            <w:hideMark/>
          </w:tcPr>
          <w:p w14:paraId="7DAEDB3D"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Préscolaire</w:t>
            </w:r>
          </w:p>
        </w:tc>
        <w:tc>
          <w:tcPr>
            <w:tcW w:w="709" w:type="dxa"/>
            <w:noWrap/>
            <w:vAlign w:val="center"/>
            <w:hideMark/>
          </w:tcPr>
          <w:p w14:paraId="381DAD38"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w:t>
            </w:r>
          </w:p>
        </w:tc>
        <w:tc>
          <w:tcPr>
            <w:tcW w:w="1276" w:type="dxa"/>
            <w:noWrap/>
            <w:vAlign w:val="center"/>
            <w:hideMark/>
          </w:tcPr>
          <w:p w14:paraId="658B1322"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4,6</w:t>
            </w:r>
          </w:p>
        </w:tc>
        <w:tc>
          <w:tcPr>
            <w:tcW w:w="1417" w:type="dxa"/>
            <w:noWrap/>
            <w:vAlign w:val="center"/>
            <w:hideMark/>
          </w:tcPr>
          <w:p w14:paraId="2369FEBB"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 xml:space="preserve">VABS </w:t>
            </w:r>
          </w:p>
        </w:tc>
        <w:tc>
          <w:tcPr>
            <w:tcW w:w="1985" w:type="dxa"/>
            <w:tcBorders>
              <w:right w:val="single" w:sz="2" w:space="0" w:color="9EC5D6" w:themeColor="accent5" w:themeTint="99"/>
            </w:tcBorders>
            <w:noWrap/>
            <w:vAlign w:val="center"/>
            <w:hideMark/>
          </w:tcPr>
          <w:p w14:paraId="345E1DAE"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Corps enseignant</w:t>
            </w:r>
          </w:p>
        </w:tc>
        <w:tc>
          <w:tcPr>
            <w:tcW w:w="2126" w:type="dxa"/>
            <w:tcBorders>
              <w:left w:val="single" w:sz="2" w:space="0" w:color="9EC5D6" w:themeColor="accent5" w:themeTint="99"/>
            </w:tcBorders>
            <w:noWrap/>
            <w:vAlign w:val="center"/>
            <w:hideMark/>
          </w:tcPr>
          <w:p w14:paraId="19A57C92"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Modéré-faible</w:t>
            </w:r>
          </w:p>
        </w:tc>
      </w:tr>
      <w:tr w:rsidR="00701CB5" w:rsidRPr="00701CB5" w14:paraId="422D19D5" w14:textId="77777777" w:rsidTr="00701CB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F86D291"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Celeste &amp; Grum (2010)</w:t>
            </w:r>
          </w:p>
        </w:tc>
        <w:tc>
          <w:tcPr>
            <w:tcW w:w="1417" w:type="dxa"/>
            <w:noWrap/>
            <w:vAlign w:val="center"/>
            <w:hideMark/>
          </w:tcPr>
          <w:p w14:paraId="2248F37F"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Slovénie</w:t>
            </w:r>
          </w:p>
        </w:tc>
        <w:tc>
          <w:tcPr>
            <w:tcW w:w="993" w:type="dxa"/>
            <w:noWrap/>
            <w:vAlign w:val="center"/>
            <w:hideMark/>
          </w:tcPr>
          <w:p w14:paraId="63B21B7D"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EDC</w:t>
            </w:r>
          </w:p>
        </w:tc>
        <w:tc>
          <w:tcPr>
            <w:tcW w:w="1275" w:type="dxa"/>
            <w:noWrap/>
            <w:vAlign w:val="center"/>
            <w:hideMark/>
          </w:tcPr>
          <w:p w14:paraId="42D567C5"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Préscolaire</w:t>
            </w:r>
          </w:p>
        </w:tc>
        <w:tc>
          <w:tcPr>
            <w:tcW w:w="709" w:type="dxa"/>
            <w:noWrap/>
            <w:vAlign w:val="center"/>
            <w:hideMark/>
          </w:tcPr>
          <w:p w14:paraId="0FFAD6D9"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w:t>
            </w:r>
          </w:p>
        </w:tc>
        <w:tc>
          <w:tcPr>
            <w:tcW w:w="1276" w:type="dxa"/>
            <w:noWrap/>
            <w:vAlign w:val="center"/>
            <w:hideMark/>
          </w:tcPr>
          <w:p w14:paraId="2510F3FD"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4,11</w:t>
            </w:r>
          </w:p>
        </w:tc>
        <w:tc>
          <w:tcPr>
            <w:tcW w:w="1417" w:type="dxa"/>
            <w:noWrap/>
            <w:vAlign w:val="center"/>
            <w:hideMark/>
          </w:tcPr>
          <w:p w14:paraId="166CEA62"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VABS</w:t>
            </w:r>
          </w:p>
        </w:tc>
        <w:tc>
          <w:tcPr>
            <w:tcW w:w="1985" w:type="dxa"/>
            <w:noWrap/>
            <w:vAlign w:val="center"/>
            <w:hideMark/>
          </w:tcPr>
          <w:p w14:paraId="6B68714A"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Corps enseignant</w:t>
            </w:r>
          </w:p>
        </w:tc>
        <w:tc>
          <w:tcPr>
            <w:tcW w:w="2126" w:type="dxa"/>
            <w:noWrap/>
            <w:vAlign w:val="center"/>
            <w:hideMark/>
          </w:tcPr>
          <w:p w14:paraId="20CF0CDC"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Adéquat</w:t>
            </w:r>
          </w:p>
        </w:tc>
      </w:tr>
      <w:tr w:rsidR="00701CB5" w:rsidRPr="00701CB5" w14:paraId="3908AD2F" w14:textId="77777777" w:rsidTr="00701CB5">
        <w:trPr>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5744C5E9"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Papadopoulos et al. (2011)</w:t>
            </w:r>
          </w:p>
        </w:tc>
        <w:tc>
          <w:tcPr>
            <w:tcW w:w="1417" w:type="dxa"/>
            <w:noWrap/>
            <w:vAlign w:val="center"/>
            <w:hideMark/>
          </w:tcPr>
          <w:p w14:paraId="04696B11"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Grèce</w:t>
            </w:r>
          </w:p>
        </w:tc>
        <w:tc>
          <w:tcPr>
            <w:tcW w:w="993" w:type="dxa"/>
            <w:noWrap/>
            <w:vAlign w:val="center"/>
            <w:hideMark/>
          </w:tcPr>
          <w:p w14:paraId="5B3D2279"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EGC</w:t>
            </w:r>
          </w:p>
        </w:tc>
        <w:tc>
          <w:tcPr>
            <w:tcW w:w="1275" w:type="dxa"/>
            <w:noWrap/>
            <w:vAlign w:val="center"/>
            <w:hideMark/>
          </w:tcPr>
          <w:p w14:paraId="536057BE"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École</w:t>
            </w:r>
          </w:p>
        </w:tc>
        <w:tc>
          <w:tcPr>
            <w:tcW w:w="709" w:type="dxa"/>
            <w:noWrap/>
            <w:vAlign w:val="center"/>
            <w:hideMark/>
          </w:tcPr>
          <w:p w14:paraId="3213016B"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46</w:t>
            </w:r>
          </w:p>
        </w:tc>
        <w:tc>
          <w:tcPr>
            <w:tcW w:w="1276" w:type="dxa"/>
            <w:noWrap/>
            <w:vAlign w:val="center"/>
            <w:hideMark/>
          </w:tcPr>
          <w:p w14:paraId="1E2A4735"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12,4</w:t>
            </w:r>
          </w:p>
        </w:tc>
        <w:tc>
          <w:tcPr>
            <w:tcW w:w="1417" w:type="dxa"/>
            <w:noWrap/>
            <w:vAlign w:val="center"/>
            <w:hideMark/>
          </w:tcPr>
          <w:p w14:paraId="56FA6DDB"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VABS</w:t>
            </w:r>
          </w:p>
        </w:tc>
        <w:tc>
          <w:tcPr>
            <w:tcW w:w="1985" w:type="dxa"/>
            <w:noWrap/>
            <w:vAlign w:val="center"/>
            <w:hideMark/>
          </w:tcPr>
          <w:p w14:paraId="60554DD6"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N/M</w:t>
            </w:r>
          </w:p>
        </w:tc>
        <w:tc>
          <w:tcPr>
            <w:tcW w:w="2126" w:type="dxa"/>
            <w:noWrap/>
            <w:vAlign w:val="center"/>
            <w:hideMark/>
          </w:tcPr>
          <w:p w14:paraId="4397FE6E"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Faible</w:t>
            </w:r>
          </w:p>
        </w:tc>
      </w:tr>
      <w:tr w:rsidR="00701CB5" w:rsidRPr="00701CB5" w14:paraId="00525238" w14:textId="77777777" w:rsidTr="00701CB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1CE8BB25"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Metsiou et al. (2011)</w:t>
            </w:r>
          </w:p>
        </w:tc>
        <w:tc>
          <w:tcPr>
            <w:tcW w:w="1417" w:type="dxa"/>
            <w:noWrap/>
            <w:vAlign w:val="center"/>
            <w:hideMark/>
          </w:tcPr>
          <w:p w14:paraId="27603077"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Grèce</w:t>
            </w:r>
          </w:p>
        </w:tc>
        <w:tc>
          <w:tcPr>
            <w:tcW w:w="993" w:type="dxa"/>
            <w:noWrap/>
            <w:vAlign w:val="center"/>
            <w:hideMark/>
          </w:tcPr>
          <w:p w14:paraId="30301DA6"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EGC</w:t>
            </w:r>
          </w:p>
        </w:tc>
        <w:tc>
          <w:tcPr>
            <w:tcW w:w="1275" w:type="dxa"/>
            <w:noWrap/>
            <w:vAlign w:val="center"/>
            <w:hideMark/>
          </w:tcPr>
          <w:p w14:paraId="40EE29AB"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École</w:t>
            </w:r>
          </w:p>
        </w:tc>
        <w:tc>
          <w:tcPr>
            <w:tcW w:w="709" w:type="dxa"/>
            <w:noWrap/>
            <w:vAlign w:val="center"/>
            <w:hideMark/>
          </w:tcPr>
          <w:p w14:paraId="0BC16016"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36</w:t>
            </w:r>
          </w:p>
        </w:tc>
        <w:tc>
          <w:tcPr>
            <w:tcW w:w="1276" w:type="dxa"/>
            <w:noWrap/>
            <w:vAlign w:val="center"/>
            <w:hideMark/>
          </w:tcPr>
          <w:p w14:paraId="148FF31A"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10,47</w:t>
            </w:r>
          </w:p>
        </w:tc>
        <w:tc>
          <w:tcPr>
            <w:tcW w:w="1417" w:type="dxa"/>
            <w:noWrap/>
            <w:vAlign w:val="center"/>
            <w:hideMark/>
          </w:tcPr>
          <w:p w14:paraId="716DEE61"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VABS</w:t>
            </w:r>
          </w:p>
        </w:tc>
        <w:tc>
          <w:tcPr>
            <w:tcW w:w="1985" w:type="dxa"/>
            <w:noWrap/>
            <w:vAlign w:val="center"/>
            <w:hideMark/>
          </w:tcPr>
          <w:p w14:paraId="215EF973"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N/M</w:t>
            </w:r>
          </w:p>
        </w:tc>
        <w:tc>
          <w:tcPr>
            <w:tcW w:w="2126" w:type="dxa"/>
            <w:noWrap/>
            <w:vAlign w:val="center"/>
            <w:hideMark/>
          </w:tcPr>
          <w:p w14:paraId="53946E25"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Modéré-faible</w:t>
            </w:r>
          </w:p>
        </w:tc>
      </w:tr>
      <w:tr w:rsidR="00701CB5" w:rsidRPr="00701CB5" w14:paraId="1A52729B" w14:textId="77777777" w:rsidTr="00701CB5">
        <w:trPr>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7128DA79"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Grum et al. (2014)</w:t>
            </w:r>
          </w:p>
        </w:tc>
        <w:tc>
          <w:tcPr>
            <w:tcW w:w="1417" w:type="dxa"/>
            <w:noWrap/>
            <w:vAlign w:val="center"/>
            <w:hideMark/>
          </w:tcPr>
          <w:p w14:paraId="475253A3"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Japon</w:t>
            </w:r>
          </w:p>
        </w:tc>
        <w:tc>
          <w:tcPr>
            <w:tcW w:w="993" w:type="dxa"/>
            <w:noWrap/>
            <w:vAlign w:val="center"/>
            <w:hideMark/>
          </w:tcPr>
          <w:p w14:paraId="3C5F69DC"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EDC</w:t>
            </w:r>
          </w:p>
        </w:tc>
        <w:tc>
          <w:tcPr>
            <w:tcW w:w="1275" w:type="dxa"/>
            <w:noWrap/>
            <w:vAlign w:val="center"/>
            <w:hideMark/>
          </w:tcPr>
          <w:p w14:paraId="336CE800"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École</w:t>
            </w:r>
          </w:p>
        </w:tc>
        <w:tc>
          <w:tcPr>
            <w:tcW w:w="709" w:type="dxa"/>
            <w:noWrap/>
            <w:vAlign w:val="center"/>
            <w:hideMark/>
          </w:tcPr>
          <w:p w14:paraId="740D21FC"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2</w:t>
            </w:r>
          </w:p>
        </w:tc>
        <w:tc>
          <w:tcPr>
            <w:tcW w:w="1276" w:type="dxa"/>
            <w:noWrap/>
            <w:vAlign w:val="center"/>
            <w:hideMark/>
          </w:tcPr>
          <w:p w14:paraId="36DDC685"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4,3</w:t>
            </w:r>
          </w:p>
        </w:tc>
        <w:tc>
          <w:tcPr>
            <w:tcW w:w="1417" w:type="dxa"/>
            <w:noWrap/>
            <w:vAlign w:val="center"/>
            <w:hideMark/>
          </w:tcPr>
          <w:p w14:paraId="7515AD76"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VABS</w:t>
            </w:r>
          </w:p>
        </w:tc>
        <w:tc>
          <w:tcPr>
            <w:tcW w:w="1985" w:type="dxa"/>
            <w:noWrap/>
            <w:vAlign w:val="center"/>
            <w:hideMark/>
          </w:tcPr>
          <w:p w14:paraId="5BAC7D34"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Corps enseignant</w:t>
            </w:r>
          </w:p>
        </w:tc>
        <w:tc>
          <w:tcPr>
            <w:tcW w:w="2126" w:type="dxa"/>
            <w:noWrap/>
            <w:vAlign w:val="center"/>
            <w:hideMark/>
          </w:tcPr>
          <w:p w14:paraId="034C1F1E"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Modéré-faible à Faible</w:t>
            </w:r>
          </w:p>
        </w:tc>
      </w:tr>
      <w:tr w:rsidR="00701CB5" w:rsidRPr="00701CB5" w14:paraId="4F2D55DC" w14:textId="77777777" w:rsidTr="00701CB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8035A55"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Greenaway et al. (2017)</w:t>
            </w:r>
          </w:p>
        </w:tc>
        <w:tc>
          <w:tcPr>
            <w:tcW w:w="1417" w:type="dxa"/>
            <w:noWrap/>
            <w:vAlign w:val="center"/>
            <w:hideMark/>
          </w:tcPr>
          <w:p w14:paraId="63AD5E4C"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Angleterre</w:t>
            </w:r>
          </w:p>
        </w:tc>
        <w:tc>
          <w:tcPr>
            <w:tcW w:w="993" w:type="dxa"/>
            <w:noWrap/>
            <w:vAlign w:val="center"/>
            <w:hideMark/>
          </w:tcPr>
          <w:p w14:paraId="0D076746"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EGC</w:t>
            </w:r>
          </w:p>
        </w:tc>
        <w:tc>
          <w:tcPr>
            <w:tcW w:w="1275" w:type="dxa"/>
            <w:noWrap/>
            <w:vAlign w:val="center"/>
            <w:hideMark/>
          </w:tcPr>
          <w:p w14:paraId="70119DDA"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Clinique</w:t>
            </w:r>
          </w:p>
        </w:tc>
        <w:tc>
          <w:tcPr>
            <w:tcW w:w="709" w:type="dxa"/>
            <w:noWrap/>
            <w:vAlign w:val="center"/>
            <w:hideMark/>
          </w:tcPr>
          <w:p w14:paraId="6EE1A197"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11</w:t>
            </w:r>
          </w:p>
        </w:tc>
        <w:tc>
          <w:tcPr>
            <w:tcW w:w="1276" w:type="dxa"/>
            <w:noWrap/>
            <w:vAlign w:val="center"/>
            <w:hideMark/>
          </w:tcPr>
          <w:p w14:paraId="6100FF30"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13</w:t>
            </w:r>
          </w:p>
        </w:tc>
        <w:tc>
          <w:tcPr>
            <w:tcW w:w="1417" w:type="dxa"/>
            <w:noWrap/>
            <w:vAlign w:val="center"/>
            <w:hideMark/>
          </w:tcPr>
          <w:p w14:paraId="7E4AAC7A"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ABAS-II</w:t>
            </w:r>
          </w:p>
        </w:tc>
        <w:tc>
          <w:tcPr>
            <w:tcW w:w="1985" w:type="dxa"/>
            <w:noWrap/>
            <w:vAlign w:val="center"/>
            <w:hideMark/>
          </w:tcPr>
          <w:p w14:paraId="11C7AE92"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Parent</w:t>
            </w:r>
          </w:p>
        </w:tc>
        <w:tc>
          <w:tcPr>
            <w:tcW w:w="2126" w:type="dxa"/>
            <w:noWrap/>
            <w:vAlign w:val="center"/>
            <w:hideMark/>
          </w:tcPr>
          <w:p w14:paraId="3480E065"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Sous la moyenne</w:t>
            </w:r>
          </w:p>
        </w:tc>
      </w:tr>
      <w:tr w:rsidR="00701CB5" w:rsidRPr="00701CB5" w14:paraId="5B3FCEF6" w14:textId="77777777" w:rsidTr="00701CB5">
        <w:trPr>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1943CA97"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Bathelt et al. (2019)</w:t>
            </w:r>
          </w:p>
        </w:tc>
        <w:tc>
          <w:tcPr>
            <w:tcW w:w="1417" w:type="dxa"/>
            <w:noWrap/>
            <w:vAlign w:val="center"/>
            <w:hideMark/>
          </w:tcPr>
          <w:p w14:paraId="58BFCB63"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Angleterre</w:t>
            </w:r>
          </w:p>
        </w:tc>
        <w:tc>
          <w:tcPr>
            <w:tcW w:w="993" w:type="dxa"/>
            <w:noWrap/>
            <w:vAlign w:val="center"/>
            <w:hideMark/>
          </w:tcPr>
          <w:p w14:paraId="50EA6836"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EGC</w:t>
            </w:r>
          </w:p>
        </w:tc>
        <w:tc>
          <w:tcPr>
            <w:tcW w:w="1275" w:type="dxa"/>
            <w:noWrap/>
            <w:vAlign w:val="center"/>
            <w:hideMark/>
          </w:tcPr>
          <w:p w14:paraId="4BACB1E3"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Clinique</w:t>
            </w:r>
          </w:p>
        </w:tc>
        <w:tc>
          <w:tcPr>
            <w:tcW w:w="709" w:type="dxa"/>
            <w:noWrap/>
            <w:vAlign w:val="center"/>
            <w:hideMark/>
          </w:tcPr>
          <w:p w14:paraId="3B313C3D"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18</w:t>
            </w:r>
          </w:p>
        </w:tc>
        <w:tc>
          <w:tcPr>
            <w:tcW w:w="1276" w:type="dxa"/>
            <w:noWrap/>
            <w:vAlign w:val="center"/>
            <w:hideMark/>
          </w:tcPr>
          <w:p w14:paraId="6AE0C3C7"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19,5</w:t>
            </w:r>
          </w:p>
        </w:tc>
        <w:tc>
          <w:tcPr>
            <w:tcW w:w="1417" w:type="dxa"/>
            <w:noWrap/>
            <w:vAlign w:val="center"/>
            <w:hideMark/>
          </w:tcPr>
          <w:p w14:paraId="4BC39E68"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ABAS-II</w:t>
            </w:r>
          </w:p>
        </w:tc>
        <w:tc>
          <w:tcPr>
            <w:tcW w:w="1985" w:type="dxa"/>
            <w:noWrap/>
            <w:vAlign w:val="center"/>
            <w:hideMark/>
          </w:tcPr>
          <w:p w14:paraId="2AA0D206"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Parent</w:t>
            </w:r>
          </w:p>
        </w:tc>
        <w:tc>
          <w:tcPr>
            <w:tcW w:w="2126" w:type="dxa"/>
            <w:noWrap/>
            <w:vAlign w:val="center"/>
            <w:hideMark/>
          </w:tcPr>
          <w:p w14:paraId="76A60CA3" w14:textId="77777777" w:rsidR="00A22E52" w:rsidRPr="00701CB5" w:rsidRDefault="00A22E52" w:rsidP="00A22E52">
            <w:pPr>
              <w:pStyle w:val="Textkrper3"/>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Sous la moyenne</w:t>
            </w:r>
          </w:p>
        </w:tc>
      </w:tr>
      <w:tr w:rsidR="00701CB5" w:rsidRPr="00701CB5" w14:paraId="6338FFBA" w14:textId="77777777" w:rsidTr="00701CB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39F3960C" w14:textId="77777777" w:rsidR="00A22E52" w:rsidRPr="00701CB5" w:rsidRDefault="00A22E52" w:rsidP="00A22E52">
            <w:pPr>
              <w:pStyle w:val="Textkrper3"/>
              <w:jc w:val="both"/>
              <w:rPr>
                <w:rFonts w:asciiTheme="majorHAnsi" w:hAnsiTheme="majorHAnsi" w:cstheme="majorHAnsi"/>
                <w:b w:val="0"/>
                <w:bCs w:val="0"/>
                <w:color w:val="000000"/>
                <w:sz w:val="20"/>
                <w:szCs w:val="20"/>
                <w:lang w:val="fr-CH" w:eastAsia="fr-CH"/>
              </w:rPr>
            </w:pPr>
            <w:r w:rsidRPr="00701CB5">
              <w:rPr>
                <w:rFonts w:asciiTheme="majorHAnsi" w:hAnsiTheme="majorHAnsi" w:cstheme="majorHAnsi"/>
                <w:b w:val="0"/>
                <w:bCs w:val="0"/>
                <w:color w:val="000000"/>
                <w:sz w:val="20"/>
                <w:szCs w:val="20"/>
                <w:lang w:val="fr-CH" w:eastAsia="fr-CH"/>
              </w:rPr>
              <w:t>Pineio et al. (2019)</w:t>
            </w:r>
          </w:p>
        </w:tc>
        <w:tc>
          <w:tcPr>
            <w:tcW w:w="1417" w:type="dxa"/>
            <w:noWrap/>
            <w:vAlign w:val="center"/>
            <w:hideMark/>
          </w:tcPr>
          <w:p w14:paraId="50D02CAA"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Grèce</w:t>
            </w:r>
          </w:p>
        </w:tc>
        <w:tc>
          <w:tcPr>
            <w:tcW w:w="993" w:type="dxa"/>
            <w:noWrap/>
            <w:vAlign w:val="center"/>
            <w:hideMark/>
          </w:tcPr>
          <w:p w14:paraId="5D4E5B95"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EGC</w:t>
            </w:r>
          </w:p>
        </w:tc>
        <w:tc>
          <w:tcPr>
            <w:tcW w:w="1275" w:type="dxa"/>
            <w:noWrap/>
            <w:vAlign w:val="center"/>
            <w:hideMark/>
          </w:tcPr>
          <w:p w14:paraId="221C5D90"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École DV</w:t>
            </w:r>
          </w:p>
        </w:tc>
        <w:tc>
          <w:tcPr>
            <w:tcW w:w="709" w:type="dxa"/>
            <w:noWrap/>
            <w:vAlign w:val="center"/>
            <w:hideMark/>
          </w:tcPr>
          <w:p w14:paraId="353E2F83"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74</w:t>
            </w:r>
          </w:p>
        </w:tc>
        <w:tc>
          <w:tcPr>
            <w:tcW w:w="1276" w:type="dxa"/>
            <w:noWrap/>
            <w:vAlign w:val="center"/>
            <w:hideMark/>
          </w:tcPr>
          <w:p w14:paraId="2DB17208"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10</w:t>
            </w:r>
          </w:p>
        </w:tc>
        <w:tc>
          <w:tcPr>
            <w:tcW w:w="1417" w:type="dxa"/>
            <w:noWrap/>
            <w:vAlign w:val="center"/>
            <w:hideMark/>
          </w:tcPr>
          <w:p w14:paraId="0B7074A7"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VABS-II</w:t>
            </w:r>
          </w:p>
        </w:tc>
        <w:tc>
          <w:tcPr>
            <w:tcW w:w="1985" w:type="dxa"/>
            <w:noWrap/>
            <w:vAlign w:val="center"/>
            <w:hideMark/>
          </w:tcPr>
          <w:p w14:paraId="7437D2AD"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Corps enseignant</w:t>
            </w:r>
          </w:p>
        </w:tc>
        <w:tc>
          <w:tcPr>
            <w:tcW w:w="2126" w:type="dxa"/>
            <w:noWrap/>
            <w:vAlign w:val="center"/>
            <w:hideMark/>
          </w:tcPr>
          <w:p w14:paraId="1C9A36E7" w14:textId="77777777" w:rsidR="00A22E52" w:rsidRPr="00701CB5" w:rsidRDefault="00A22E52" w:rsidP="00A22E52">
            <w:pPr>
              <w:pStyle w:val="Textkrper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fr-CH" w:eastAsia="fr-CH"/>
              </w:rPr>
            </w:pPr>
            <w:r w:rsidRPr="00701CB5">
              <w:rPr>
                <w:rFonts w:asciiTheme="majorHAnsi" w:hAnsiTheme="majorHAnsi" w:cstheme="majorHAnsi"/>
                <w:color w:val="000000"/>
                <w:sz w:val="20"/>
                <w:szCs w:val="20"/>
                <w:lang w:val="fr-CH" w:eastAsia="fr-CH"/>
              </w:rPr>
              <w:t>Modéré-faible</w:t>
            </w:r>
          </w:p>
        </w:tc>
      </w:tr>
    </w:tbl>
    <w:p w14:paraId="1B69364E" w14:textId="2F1716AF" w:rsidR="00A22E52" w:rsidRPr="00377970" w:rsidRDefault="00A22E52" w:rsidP="00377970">
      <w:pPr>
        <w:pStyle w:val="NotizAbbildung"/>
        <w:spacing w:before="240"/>
        <w:rPr>
          <w:rFonts w:asciiTheme="majorHAnsi" w:hAnsiTheme="majorHAnsi" w:cstheme="majorHAnsi"/>
          <w:sz w:val="20"/>
          <w:lang w:val="fr-CH"/>
        </w:rPr>
        <w:sectPr w:rsidR="00A22E52" w:rsidRPr="00377970" w:rsidSect="00BD0967">
          <w:pgSz w:w="16840" w:h="11907" w:orient="landscape" w:code="9"/>
          <w:pgMar w:top="1418" w:right="1134" w:bottom="1418" w:left="1418" w:header="720" w:footer="567" w:gutter="0"/>
          <w:cols w:space="720"/>
        </w:sectPr>
      </w:pPr>
      <w:r w:rsidRPr="00701CB5">
        <w:rPr>
          <w:rFonts w:asciiTheme="majorHAnsi" w:hAnsiTheme="majorHAnsi" w:cstheme="majorHAnsi"/>
          <w:iCs w:val="0"/>
          <w:sz w:val="20"/>
          <w:lang w:val="fr-CH"/>
        </w:rPr>
        <w:t>Note.</w:t>
      </w:r>
      <w:r w:rsidRPr="00701CB5">
        <w:rPr>
          <w:rFonts w:asciiTheme="majorHAnsi" w:hAnsiTheme="majorHAnsi" w:cstheme="majorHAnsi"/>
          <w:sz w:val="20"/>
          <w:lang w:val="fr-CH"/>
        </w:rPr>
        <w:t xml:space="preserve"> Devis : </w:t>
      </w:r>
      <w:r w:rsidR="0051447C" w:rsidRPr="00701CB5">
        <w:rPr>
          <w:rFonts w:asciiTheme="majorHAnsi" w:hAnsiTheme="majorHAnsi" w:cstheme="majorHAnsi"/>
          <w:sz w:val="20"/>
          <w:lang w:val="fr-CH" w:eastAsia="fr-CH"/>
        </w:rPr>
        <w:t>e</w:t>
      </w:r>
      <w:r w:rsidRPr="00701CB5">
        <w:rPr>
          <w:rFonts w:asciiTheme="majorHAnsi" w:hAnsiTheme="majorHAnsi" w:cstheme="majorHAnsi"/>
          <w:sz w:val="20"/>
          <w:lang w:val="fr-CH" w:eastAsia="fr-CH"/>
        </w:rPr>
        <w:t>xpérimental avec groupe contrôle (EGC)</w:t>
      </w:r>
      <w:r w:rsidR="00701CB5" w:rsidRPr="00701CB5">
        <w:rPr>
          <w:rFonts w:asciiTheme="majorHAnsi" w:hAnsiTheme="majorHAnsi" w:cstheme="majorHAnsi"/>
          <w:sz w:val="20"/>
          <w:lang w:val="fr-CH" w:eastAsia="fr-CH"/>
        </w:rPr>
        <w:t> ;</w:t>
      </w:r>
      <w:r w:rsidRPr="00701CB5">
        <w:rPr>
          <w:rFonts w:asciiTheme="majorHAnsi" w:hAnsiTheme="majorHAnsi" w:cstheme="majorHAnsi"/>
          <w:sz w:val="20"/>
          <w:lang w:val="fr-CH" w:eastAsia="fr-CH"/>
        </w:rPr>
        <w:t xml:space="preserve"> </w:t>
      </w:r>
      <w:r w:rsidR="0051447C" w:rsidRPr="00701CB5">
        <w:rPr>
          <w:rFonts w:asciiTheme="majorHAnsi" w:hAnsiTheme="majorHAnsi" w:cstheme="majorHAnsi"/>
          <w:sz w:val="20"/>
          <w:lang w:val="fr-CH" w:eastAsia="fr-CH"/>
        </w:rPr>
        <w:t>e</w:t>
      </w:r>
      <w:r w:rsidRPr="00701CB5">
        <w:rPr>
          <w:rFonts w:asciiTheme="majorHAnsi" w:hAnsiTheme="majorHAnsi" w:cstheme="majorHAnsi"/>
          <w:sz w:val="20"/>
          <w:lang w:val="fr-CH" w:eastAsia="fr-CH"/>
        </w:rPr>
        <w:t>xploratoire (EXP)</w:t>
      </w:r>
      <w:r w:rsidR="00701CB5" w:rsidRPr="00701CB5">
        <w:rPr>
          <w:rFonts w:asciiTheme="majorHAnsi" w:hAnsiTheme="majorHAnsi" w:cstheme="majorHAnsi"/>
          <w:sz w:val="20"/>
          <w:lang w:val="fr-CH" w:eastAsia="fr-CH"/>
        </w:rPr>
        <w:t> ;</w:t>
      </w:r>
      <w:r w:rsidRPr="00701CB5">
        <w:rPr>
          <w:rFonts w:asciiTheme="majorHAnsi" w:hAnsiTheme="majorHAnsi" w:cstheme="majorHAnsi"/>
          <w:sz w:val="20"/>
          <w:lang w:val="fr-CH" w:eastAsia="fr-CH"/>
        </w:rPr>
        <w:t xml:space="preserve"> </w:t>
      </w:r>
      <w:r w:rsidR="0051447C" w:rsidRPr="00701CB5">
        <w:rPr>
          <w:rFonts w:asciiTheme="majorHAnsi" w:hAnsiTheme="majorHAnsi" w:cstheme="majorHAnsi"/>
          <w:sz w:val="20"/>
          <w:lang w:val="fr-CH" w:eastAsia="fr-CH"/>
        </w:rPr>
        <w:t>d</w:t>
      </w:r>
      <w:r w:rsidRPr="00701CB5">
        <w:rPr>
          <w:rFonts w:asciiTheme="majorHAnsi" w:hAnsiTheme="majorHAnsi" w:cstheme="majorHAnsi"/>
          <w:sz w:val="20"/>
          <w:lang w:val="fr-CH" w:eastAsia="fr-CH"/>
        </w:rPr>
        <w:t>escriptif (DES)</w:t>
      </w:r>
      <w:r w:rsidR="00701CB5" w:rsidRPr="00701CB5">
        <w:rPr>
          <w:rFonts w:asciiTheme="majorHAnsi" w:hAnsiTheme="majorHAnsi" w:cstheme="majorHAnsi"/>
          <w:sz w:val="20"/>
          <w:lang w:val="fr-CH" w:eastAsia="fr-CH"/>
        </w:rPr>
        <w:t> ; é</w:t>
      </w:r>
      <w:r w:rsidRPr="00701CB5">
        <w:rPr>
          <w:rFonts w:asciiTheme="majorHAnsi" w:hAnsiTheme="majorHAnsi" w:cstheme="majorHAnsi"/>
          <w:sz w:val="20"/>
          <w:lang w:val="fr-CH" w:eastAsia="fr-CH"/>
        </w:rPr>
        <w:t>tude de cas (EDC). N</w:t>
      </w:r>
      <w:r w:rsidR="00701CB5" w:rsidRPr="00701CB5">
        <w:rPr>
          <w:rFonts w:asciiTheme="majorHAnsi" w:hAnsiTheme="majorHAnsi" w:cstheme="majorHAnsi"/>
          <w:sz w:val="20"/>
          <w:lang w:val="fr-CH" w:eastAsia="fr-CH"/>
        </w:rPr>
        <w:t>/</w:t>
      </w:r>
      <w:r w:rsidRPr="00701CB5">
        <w:rPr>
          <w:rFonts w:asciiTheme="majorHAnsi" w:hAnsiTheme="majorHAnsi" w:cstheme="majorHAnsi"/>
          <w:sz w:val="20"/>
          <w:lang w:val="fr-CH" w:eastAsia="fr-CH"/>
        </w:rPr>
        <w:t xml:space="preserve">M= </w:t>
      </w:r>
      <w:r w:rsidR="00701CB5" w:rsidRPr="00701CB5">
        <w:rPr>
          <w:rFonts w:asciiTheme="majorHAnsi" w:hAnsiTheme="majorHAnsi" w:cstheme="majorHAnsi"/>
          <w:sz w:val="20"/>
          <w:lang w:val="fr-CH" w:eastAsia="fr-CH"/>
        </w:rPr>
        <w:t>n</w:t>
      </w:r>
      <w:r w:rsidRPr="00701CB5">
        <w:rPr>
          <w:rFonts w:asciiTheme="majorHAnsi" w:hAnsiTheme="majorHAnsi" w:cstheme="majorHAnsi"/>
          <w:sz w:val="20"/>
          <w:lang w:val="fr-CH" w:eastAsia="fr-CH"/>
        </w:rPr>
        <w:t>on mentionné</w:t>
      </w:r>
    </w:p>
    <w:p w14:paraId="1CC62699" w14:textId="77777777" w:rsidR="00930227" w:rsidRPr="00233777" w:rsidRDefault="00930227" w:rsidP="00930227">
      <w:pPr>
        <w:pStyle w:val="berschrift2"/>
        <w:rPr>
          <w:lang w:val="fr-CH"/>
        </w:rPr>
      </w:pPr>
      <w:r w:rsidRPr="00233777">
        <w:rPr>
          <w:lang w:val="fr-CH"/>
        </w:rPr>
        <w:lastRenderedPageBreak/>
        <w:t xml:space="preserve">Résultats et Discussion </w:t>
      </w:r>
    </w:p>
    <w:p w14:paraId="78C38AB4" w14:textId="77777777" w:rsidR="00930227" w:rsidRPr="00233777" w:rsidRDefault="00930227" w:rsidP="00930227">
      <w:pPr>
        <w:pStyle w:val="Textkrper"/>
        <w:rPr>
          <w:lang w:val="fr-CH"/>
        </w:rPr>
      </w:pPr>
      <w:r w:rsidRPr="00233777">
        <w:rPr>
          <w:lang w:val="fr-CH"/>
        </w:rPr>
        <w:t>Les résultats sont présentés et discutés en fonction des caractéristiques des études et organisés en fonction des trois domaines de CA définis par l’AAIDD. Parmi les neuf études sélectionnées, les pays d’origine étaient l’Angleterre (n=2), les États-Unis (n=2), la Grèce (n=3), le Japon (n=1) et la Slovénie (n=1). Les études ont utilisé quatre types de devis de recherche différents, soit un modèle quasi-expérimental avec groupe contrôle (Bathelt et al., 2019 ; Metsiou et al., 2011 ; Papadopoulos et al., 2011 ; Pineio et al., 2019), un devis exploratoire (Greenaway et al., 2017), un devis descriptif (Parson, 1987), ainsi qu’un devis par étude de cas (Celeste, 2006 ; Celeste &amp; Grum, 2010 ; Grum et al., 2014). Les études ont eu lieu dans des écoles spécialisées ou ordinaires, des centres cliniques ou à domicile. Le nombre total de participantes et participants regroupés dans les neuf études était de 206 avec des échantillons allant de 11 à 74 personnes, âgées entre 4,6 et 19,6 ans (âge moyen de 9,1 ans). Les informations sur la DV reportées par les études étaient basées sur le niveau d’acuité visuelle (n=4) ou sur la catégorie de cécité (n=5). Le profil des participantes et participants était très hétérogène, allant de la basse vision à la cécité totale. Enfin, les neuf études portaient sur des participantes et participants avec une DV sans comorbidités. Le niveau intellectuel a été mesuré dans trois études.</w:t>
      </w:r>
    </w:p>
    <w:p w14:paraId="556221C8" w14:textId="77777777" w:rsidR="00BB3894" w:rsidRDefault="00930227" w:rsidP="00930227">
      <w:pPr>
        <w:pStyle w:val="Textkrper"/>
        <w:rPr>
          <w:lang w:val="fr-CH"/>
        </w:rPr>
      </w:pPr>
      <w:r w:rsidRPr="00233777">
        <w:rPr>
          <w:lang w:val="fr-CH"/>
        </w:rPr>
        <w:t xml:space="preserve">Parmi les neuf études sélectionnées, cinq ont utilisé l’échelle VABS-I, deux ont utilisé l’échelle VABS-II et deux ont utilisé l’ABAS-II. Dans l’échelle VABS-II, le CA global est indiqué par l’indice </w:t>
      </w:r>
      <w:r w:rsidRPr="00233777">
        <w:rPr>
          <w:i/>
          <w:lang w:val="fr-CH"/>
        </w:rPr>
        <w:t>Vineland Adaptatif Behavior Composite</w:t>
      </w:r>
      <w:r w:rsidRPr="00233777">
        <w:rPr>
          <w:lang w:val="fr-CH"/>
        </w:rPr>
        <w:t xml:space="preserve"> (VABC) qui peut être soit faible, modéré faible, adéquat, modéré élevé ou élevé. Dans l’ABAS-II, le CA global est représenté par un score rapporté à la moyenne. </w:t>
      </w:r>
    </w:p>
    <w:p w14:paraId="00AD1467" w14:textId="49081032" w:rsidR="00930227" w:rsidRPr="00233777" w:rsidRDefault="00930227" w:rsidP="00930227">
      <w:pPr>
        <w:pStyle w:val="Textkrper"/>
        <w:rPr>
          <w:lang w:val="fr-CH"/>
        </w:rPr>
      </w:pPr>
      <w:r w:rsidRPr="00233777">
        <w:rPr>
          <w:lang w:val="fr-CH"/>
        </w:rPr>
        <w:t>Les</w:t>
      </w:r>
      <w:r w:rsidRPr="00233777">
        <w:rPr>
          <w:b/>
          <w:lang w:val="fr-CH"/>
        </w:rPr>
        <w:t xml:space="preserve"> habiletés conceptuelles </w:t>
      </w:r>
      <w:r w:rsidRPr="00233777">
        <w:rPr>
          <w:lang w:val="fr-CH"/>
        </w:rPr>
        <w:t>correspondent aux habiletés de communication (réceptive, expressive, l’écriture et la lecture). Bien que l’ensemble des participantes et participants n’atteignent pas un CA adéquat ou dans la moyenne, ce domaine est celui qui a obtenu le score le plus élevé (Celeste, 2006 ; Celeste &amp; Grum, 2010 ; Greenaway et al., 2017 ; Pineo et al., 2019). Plus spécifiquement, le sous-domaine de la communication réceptive représente une force (Celeste &amp; Grum, 2014 ; Papadopoulos et al., 2011). Ces résultats diffèrent des conclusions de revues antérieures qui ont mis en évidence que les scores en communication étaient souvent faibles (Mosca et al., 2015 ; Veldhorst et al, 2022).</w:t>
      </w:r>
    </w:p>
    <w:p w14:paraId="0AF47462" w14:textId="4E534BAE" w:rsidR="00930227" w:rsidRPr="00233777" w:rsidRDefault="00930227" w:rsidP="00930227">
      <w:pPr>
        <w:pStyle w:val="Textkrper"/>
        <w:rPr>
          <w:lang w:val="fr-CH"/>
        </w:rPr>
      </w:pPr>
      <w:r w:rsidRPr="00233777">
        <w:rPr>
          <w:lang w:val="fr-CH"/>
        </w:rPr>
        <w:t xml:space="preserve">Les </w:t>
      </w:r>
      <w:r w:rsidRPr="00233777">
        <w:rPr>
          <w:b/>
          <w:lang w:val="fr-CH"/>
        </w:rPr>
        <w:t>habiletés pratiques</w:t>
      </w:r>
      <w:r w:rsidRPr="00233777">
        <w:rPr>
          <w:lang w:val="fr-CH"/>
        </w:rPr>
        <w:t xml:space="preserve"> correspondent aux activités de la vie quotidienne (l’hygiène, la sécurité et les soins). Bien que les résultats des neuf études analysées n’aient pas tous obtenu des scores adéquats ou dans la moyenne, certaines études ont mis en évidence que celui-ci représentait le domaine le plus élevé, plus spécifiquement le sous-domaine des activités dans la communauté (Celeste, 2006 ; Celeste &amp; Grum, 2014). Malgré cette tendance encourageante, ces résultats ne sont pas unanimes et il est fréquent que les jeunes avec </w:t>
      </w:r>
      <w:r w:rsidR="002B2F5A">
        <w:rPr>
          <w:lang w:val="fr-CH"/>
        </w:rPr>
        <w:t xml:space="preserve">une </w:t>
      </w:r>
      <w:r w:rsidRPr="00233777">
        <w:rPr>
          <w:lang w:val="fr-CH"/>
        </w:rPr>
        <w:t xml:space="preserve">DV cumulent des retards dans ce domaine peu enseigné dans les classes par manque </w:t>
      </w:r>
      <w:r w:rsidR="003660B4">
        <w:rPr>
          <w:lang w:val="fr-CH"/>
        </w:rPr>
        <w:t xml:space="preserve">de ressources et </w:t>
      </w:r>
      <w:r w:rsidRPr="00233777">
        <w:rPr>
          <w:lang w:val="fr-CH"/>
        </w:rPr>
        <w:t>de temps du corps enseignant (Lewis &amp; Iselin, 2002).</w:t>
      </w:r>
      <w:r w:rsidRPr="00233777" w:rsidDel="00131982">
        <w:rPr>
          <w:lang w:val="fr-CH"/>
        </w:rPr>
        <w:t xml:space="preserve"> </w:t>
      </w:r>
    </w:p>
    <w:p w14:paraId="5F219996" w14:textId="77777777" w:rsidR="00930227" w:rsidRPr="00233777" w:rsidRDefault="00930227" w:rsidP="00930227">
      <w:pPr>
        <w:pStyle w:val="Textkrper"/>
        <w:rPr>
          <w:lang w:val="fr-CH"/>
        </w:rPr>
      </w:pPr>
      <w:r w:rsidRPr="00233777">
        <w:rPr>
          <w:lang w:val="fr-CH"/>
        </w:rPr>
        <w:t xml:space="preserve">Les </w:t>
      </w:r>
      <w:r w:rsidRPr="00233777">
        <w:rPr>
          <w:b/>
          <w:lang w:val="fr-CH"/>
        </w:rPr>
        <w:t>habiletés sociales </w:t>
      </w:r>
      <w:r w:rsidRPr="00233777">
        <w:rPr>
          <w:lang w:val="fr-CH"/>
        </w:rPr>
        <w:t>correspondent aux relations interpersonnelles (la responsabilité et la conscience du danger). Bien que l’ensemble des participantes et participants n’ait pas obtenu des scores jugés adéquats ou dans la moyenne, certaines études ont relevé que la socialisation représentait le domaine le plus élevé (Bathlet et al., 2019 ; Celeste &amp; Grum, 2014 ; Metsiou et al., 2011 ; Papadopoulos et al., 2011). Plus spécifiquement, le sous-domaine des loisirs représente une force (Greenaway et al., 2017 ; Papadopoulos et al., 2011).</w:t>
      </w:r>
    </w:p>
    <w:p w14:paraId="752878AB" w14:textId="74F4F5D4" w:rsidR="00EA4342" w:rsidRPr="00EA4342" w:rsidRDefault="00930227" w:rsidP="00EA4342">
      <w:pPr>
        <w:pStyle w:val="Textkrper"/>
        <w:rPr>
          <w:color w:val="000000"/>
          <w:lang w:val="fr-CH"/>
        </w:rPr>
      </w:pPr>
      <w:r w:rsidRPr="00233777">
        <w:rPr>
          <w:lang w:val="fr-CH"/>
        </w:rPr>
        <w:t xml:space="preserve">Les </w:t>
      </w:r>
      <w:r w:rsidRPr="00233777">
        <w:rPr>
          <w:b/>
          <w:lang w:val="fr-CH"/>
        </w:rPr>
        <w:t>habiletés motrices </w:t>
      </w:r>
      <w:r w:rsidRPr="00233777">
        <w:rPr>
          <w:lang w:val="fr-CH"/>
        </w:rPr>
        <w:t>correspondent aux compétences motrices globales et fines. Celles-ci ne font pas partie des trois domaines définis par l’AAIDD, mais sont intégrées dans certaines études ayant utilisé l’échelle VABS-I ou VABS-II. Bien que la majorité des études analysées n’aient pas r</w:t>
      </w:r>
      <w:r w:rsidR="00F46BC5">
        <w:rPr>
          <w:lang w:val="fr-CH"/>
        </w:rPr>
        <w:t>ap</w:t>
      </w:r>
      <w:r w:rsidRPr="00233777">
        <w:rPr>
          <w:lang w:val="fr-CH"/>
        </w:rPr>
        <w:t xml:space="preserve">porté de score pour ce domaine, deux études ont indiqué des scores de modérés-faibles à faibles (Celeste, 2006 ; Celeste &amp; Grum, 2010 ; Grum et Celeste, 2014). Ce domaine ne représente pas une force dans les études analysées. Cette tendance converge avec de nombreuses études ayant mis en évidence d’importantes difficultés dans les habiletés motrices fondamentales (de locomotion et de balle) </w:t>
      </w:r>
      <w:r w:rsidRPr="00233777">
        <w:rPr>
          <w:color w:val="000000"/>
          <w:lang w:val="fr-CH"/>
        </w:rPr>
        <w:t>(Brian et al., 2021 ; Caron et al., 2023 ; Haegele et al., 2015).</w:t>
      </w:r>
    </w:p>
    <w:p w14:paraId="5B76C6C1" w14:textId="77777777" w:rsidR="00930227" w:rsidRPr="00233777" w:rsidRDefault="00930227" w:rsidP="00930227">
      <w:pPr>
        <w:pStyle w:val="berschrift1"/>
        <w:rPr>
          <w:rFonts w:eastAsia="CIDFont+F2"/>
          <w:lang w:val="fr-CH"/>
        </w:rPr>
      </w:pPr>
      <w:r w:rsidRPr="00233777">
        <w:rPr>
          <w:rFonts w:eastAsia="CIDFont+F2"/>
          <w:lang w:val="fr-CH"/>
        </w:rPr>
        <w:lastRenderedPageBreak/>
        <w:t>Conclusion</w:t>
      </w:r>
    </w:p>
    <w:p w14:paraId="76B3CF39" w14:textId="1BBF2575" w:rsidR="00930227" w:rsidRDefault="00930227" w:rsidP="00233777">
      <w:pPr>
        <w:pStyle w:val="Textkrper"/>
        <w:rPr>
          <w:lang w:val="fr-CH"/>
        </w:rPr>
      </w:pPr>
      <w:r w:rsidRPr="00233777">
        <w:rPr>
          <w:lang w:val="fr-CH"/>
        </w:rPr>
        <w:t xml:space="preserve">L’analyse des résultats a permis de tirer certains constats, bien qu’ils doivent être interprétés avec précaution étant donné le petit nombre d’études disponibles. D’abord, deux instruments de mesure ressortent, soit l’Échelle VABS-II et l’ABAS-II, qui sont jugés adéquats pour une utilisation auprès de la population avec une DV dans le contexte de la recherche et en clinique. Bien que ces instruments aient été normés pour la population présentant une DV, une perspective de recherche future serait l’adaptation d’une échelle d’évaluation du CA spécifique aux personnes avec une DV, ce qui permettrait d’adapter les items au fonctionnement typique ainsi qu’aux spécificités de fonctionnement (p. ex., </w:t>
      </w:r>
      <w:r w:rsidR="00E07FAE">
        <w:rPr>
          <w:lang w:val="fr-CH"/>
        </w:rPr>
        <w:t xml:space="preserve">les </w:t>
      </w:r>
      <w:r w:rsidRPr="00233777">
        <w:rPr>
          <w:lang w:val="fr-CH"/>
        </w:rPr>
        <w:t>déplacement</w:t>
      </w:r>
      <w:r w:rsidR="00E07FAE">
        <w:rPr>
          <w:lang w:val="fr-CH"/>
        </w:rPr>
        <w:t>s</w:t>
      </w:r>
      <w:r w:rsidRPr="00233777">
        <w:rPr>
          <w:lang w:val="fr-CH"/>
        </w:rPr>
        <w:t xml:space="preserve"> avec une canne ou </w:t>
      </w:r>
      <w:r w:rsidR="00E07FAE">
        <w:rPr>
          <w:lang w:val="fr-CH"/>
        </w:rPr>
        <w:t xml:space="preserve">la </w:t>
      </w:r>
      <w:r w:rsidRPr="00233777">
        <w:rPr>
          <w:lang w:val="fr-CH"/>
        </w:rPr>
        <w:t xml:space="preserve">lecture en braille). Enfin, comme les résultats ont mis en évidence des niveaux de CA globalement plus faibles chez les personnes ayant une DV que les personnes voyantes, il est possible de confirmer l’importance d’en faire une évaluation régulière afin d’orienter et évaluer les objectifs d’intervention proposés dans le contexte de la pédagogie spécialisée. </w:t>
      </w:r>
    </w:p>
    <w:p w14:paraId="6B21BA3C" w14:textId="4FE4AC85" w:rsidR="00930227" w:rsidRPr="00233777" w:rsidRDefault="00930227" w:rsidP="00930227">
      <w:pPr>
        <w:pStyle w:val="berschrift1"/>
        <w:rPr>
          <w:lang w:val="fr-CH"/>
        </w:rPr>
      </w:pPr>
      <w:r w:rsidRPr="00233777">
        <w:rPr>
          <w:lang w:val="fr-CH"/>
        </w:rPr>
        <w:t>Autrices</w:t>
      </w:r>
    </w:p>
    <w:tbl>
      <w:tblPr>
        <w:tblStyle w:val="Tabellenraster"/>
        <w:tblW w:w="51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2"/>
        <w:gridCol w:w="3117"/>
        <w:gridCol w:w="2977"/>
      </w:tblGrid>
      <w:tr w:rsidR="00BE5D3C" w:rsidRPr="00233777" w14:paraId="63FEEA49" w14:textId="77777777" w:rsidTr="00BE5D3C">
        <w:trPr>
          <w:trHeight w:val="2385"/>
        </w:trPr>
        <w:tc>
          <w:tcPr>
            <w:tcW w:w="1743" w:type="pct"/>
          </w:tcPr>
          <w:p w14:paraId="07F28BCF" w14:textId="5A1D75D0" w:rsidR="00930227" w:rsidRPr="00233777" w:rsidRDefault="00930227" w:rsidP="00221033">
            <w:pPr>
              <w:rPr>
                <w:lang w:val="fr-CH"/>
              </w:rPr>
            </w:pPr>
            <w:r w:rsidRPr="00233777">
              <w:rPr>
                <w:noProof/>
                <w:lang w:val="fr-CH"/>
              </w:rPr>
              <w:drawing>
                <wp:inline distT="0" distB="0" distL="0" distR="0" wp14:anchorId="26044144" wp14:editId="02A298E1">
                  <wp:extent cx="1440000" cy="1440000"/>
                  <wp:effectExtent l="0" t="0" r="8255" b="8255"/>
                  <wp:docPr id="1440858836"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58836" name="Grafik 5">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1666" w:type="pct"/>
          </w:tcPr>
          <w:p w14:paraId="7EEA28FC" w14:textId="77777777" w:rsidR="00930227" w:rsidRPr="00233777" w:rsidRDefault="00930227" w:rsidP="00221033">
            <w:pPr>
              <w:spacing w:line="240" w:lineRule="auto"/>
              <w:rPr>
                <w:rFonts w:eastAsia="Times New Roman"/>
                <w:lang w:val="fr-CH" w:eastAsia="fr-CH"/>
              </w:rPr>
            </w:pPr>
            <w:r w:rsidRPr="00233777">
              <w:rPr>
                <w:noProof/>
                <w:lang w:val="fr-CH"/>
              </w:rPr>
              <w:drawing>
                <wp:inline distT="0" distB="0" distL="0" distR="0" wp14:anchorId="56230147" wp14:editId="4B226C53">
                  <wp:extent cx="1440000" cy="1440000"/>
                  <wp:effectExtent l="0" t="0" r="8255" b="8255"/>
                  <wp:docPr id="551493751"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93751" name="Grafik 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1591" w:type="pct"/>
          </w:tcPr>
          <w:p w14:paraId="783352DD" w14:textId="77777777" w:rsidR="00930227" w:rsidRPr="00233777" w:rsidRDefault="00930227" w:rsidP="00221033">
            <w:pPr>
              <w:rPr>
                <w:lang w:val="fr-CH"/>
              </w:rPr>
            </w:pPr>
            <w:r w:rsidRPr="00233777">
              <w:rPr>
                <w:noProof/>
                <w:lang w:val="fr-CH"/>
              </w:rPr>
              <w:drawing>
                <wp:inline distT="0" distB="0" distL="0" distR="0" wp14:anchorId="27298DE3" wp14:editId="2D3AFDAC">
                  <wp:extent cx="1440000" cy="1440000"/>
                  <wp:effectExtent l="0" t="0" r="8255" b="8255"/>
                  <wp:docPr id="1222590789"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90789" name="Grafik 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BE5D3C" w:rsidRPr="00233777" w14:paraId="7B7AE8CE" w14:textId="77777777" w:rsidTr="00BE5D3C">
        <w:trPr>
          <w:trHeight w:val="960"/>
        </w:trPr>
        <w:tc>
          <w:tcPr>
            <w:tcW w:w="1743" w:type="pct"/>
          </w:tcPr>
          <w:p w14:paraId="456ED20E" w14:textId="77777777" w:rsidR="00930227" w:rsidRPr="00233777" w:rsidRDefault="00930227" w:rsidP="00221033">
            <w:pPr>
              <w:spacing w:after="160"/>
              <w:rPr>
                <w:lang w:val="fr-CH"/>
              </w:rPr>
            </w:pPr>
            <w:r w:rsidRPr="00233777">
              <w:rPr>
                <w:lang w:val="fr-CH"/>
              </w:rPr>
              <w:t xml:space="preserve">Valérie Caron </w:t>
            </w:r>
            <w:r w:rsidRPr="00233777">
              <w:rPr>
                <w:lang w:val="fr-CH"/>
              </w:rPr>
              <w:br/>
              <w:t xml:space="preserve">Lectrice </w:t>
            </w:r>
            <w:r w:rsidRPr="00233777">
              <w:rPr>
                <w:lang w:val="fr-CH"/>
              </w:rPr>
              <w:br/>
              <w:t>Université de Fribourg</w:t>
            </w:r>
            <w:r w:rsidRPr="00233777">
              <w:rPr>
                <w:lang w:val="fr-CH"/>
              </w:rPr>
              <w:br/>
            </w:r>
            <w:hyperlink r:id="rId23" w:history="1">
              <w:r w:rsidRPr="00233777">
                <w:rPr>
                  <w:rStyle w:val="Hyperlink"/>
                  <w:lang w:val="fr-CH"/>
                </w:rPr>
                <w:t>valerie.caron@unifr.ch</w:t>
              </w:r>
            </w:hyperlink>
            <w:r w:rsidRPr="00233777">
              <w:rPr>
                <w:lang w:val="fr-CH"/>
              </w:rPr>
              <w:t xml:space="preserve">  </w:t>
            </w:r>
          </w:p>
        </w:tc>
        <w:tc>
          <w:tcPr>
            <w:tcW w:w="1666" w:type="pct"/>
          </w:tcPr>
          <w:p w14:paraId="477D2D44" w14:textId="26355CD0" w:rsidR="00930227" w:rsidRPr="00233777" w:rsidRDefault="00930227" w:rsidP="00221033">
            <w:pPr>
              <w:spacing w:after="160"/>
              <w:rPr>
                <w:lang w:val="fr-CH"/>
              </w:rPr>
            </w:pPr>
            <w:r w:rsidRPr="00674377">
              <w:rPr>
                <w:lang w:val="fr-CH"/>
              </w:rPr>
              <w:t>Stefania Garbellini</w:t>
            </w:r>
            <w:r w:rsidRPr="00674377">
              <w:rPr>
                <w:lang w:val="fr-CH"/>
              </w:rPr>
              <w:br/>
              <w:t xml:space="preserve">Pédagogue spécialisée </w:t>
            </w:r>
            <w:r w:rsidRPr="00674377">
              <w:rPr>
                <w:lang w:val="fr-CH"/>
              </w:rPr>
              <w:br/>
              <w:t>Université de Fribourg</w:t>
            </w:r>
            <w:r w:rsidRPr="00233777">
              <w:rPr>
                <w:lang w:val="fr-CH"/>
              </w:rPr>
              <w:br/>
            </w:r>
            <w:hyperlink r:id="rId24" w:history="1">
              <w:r w:rsidRPr="00233777">
                <w:rPr>
                  <w:rStyle w:val="Hyperlink"/>
                  <w:lang w:val="fr-CH"/>
                </w:rPr>
                <w:t>stefania.garbellini@unifr.ch</w:t>
              </w:r>
            </w:hyperlink>
            <w:r w:rsidRPr="00233777">
              <w:rPr>
                <w:lang w:val="fr-CH"/>
              </w:rPr>
              <w:t xml:space="preserve"> </w:t>
            </w:r>
          </w:p>
        </w:tc>
        <w:tc>
          <w:tcPr>
            <w:tcW w:w="1591" w:type="pct"/>
          </w:tcPr>
          <w:p w14:paraId="283E5CCD" w14:textId="77777777" w:rsidR="00930227" w:rsidRPr="00233777" w:rsidRDefault="00930227" w:rsidP="00221033">
            <w:pPr>
              <w:spacing w:after="160"/>
              <w:rPr>
                <w:lang w:val="fr-CH"/>
              </w:rPr>
            </w:pPr>
            <w:r w:rsidRPr="00233777">
              <w:rPr>
                <w:lang w:val="fr-CH"/>
              </w:rPr>
              <w:t>Geneviève Petitpierre</w:t>
            </w:r>
            <w:r w:rsidRPr="00233777">
              <w:rPr>
                <w:lang w:val="fr-CH"/>
              </w:rPr>
              <w:br/>
              <w:t>Professeure ordinaire</w:t>
            </w:r>
            <w:r w:rsidRPr="00233777">
              <w:rPr>
                <w:lang w:val="fr-CH"/>
              </w:rPr>
              <w:br/>
              <w:t>Université de Fribourg</w:t>
            </w:r>
            <w:r w:rsidRPr="00233777">
              <w:rPr>
                <w:lang w:val="fr-CH"/>
              </w:rPr>
              <w:br/>
            </w:r>
            <w:hyperlink r:id="rId25" w:history="1">
              <w:r w:rsidRPr="00233777">
                <w:rPr>
                  <w:rStyle w:val="Hyperlink"/>
                  <w:lang w:val="fr-CH"/>
                </w:rPr>
                <w:t>genevieve.petitpierre@unifr.ch</w:t>
              </w:r>
            </w:hyperlink>
            <w:r w:rsidRPr="00233777">
              <w:rPr>
                <w:lang w:val="fr-CH"/>
              </w:rPr>
              <w:t xml:space="preserve"> </w:t>
            </w:r>
          </w:p>
        </w:tc>
      </w:tr>
    </w:tbl>
    <w:p w14:paraId="354219DA" w14:textId="77777777" w:rsidR="00930227" w:rsidRPr="00233777" w:rsidRDefault="00930227" w:rsidP="00930227">
      <w:pPr>
        <w:pStyle w:val="berschrift1"/>
        <w:rPr>
          <w:rFonts w:eastAsia="CIDFont+F2"/>
          <w:lang w:val="fr-CH"/>
        </w:rPr>
      </w:pPr>
      <w:r w:rsidRPr="00233777">
        <w:rPr>
          <w:rFonts w:eastAsia="CIDFont+F2"/>
          <w:lang w:val="fr-CH"/>
        </w:rPr>
        <w:t>Références</w:t>
      </w:r>
    </w:p>
    <w:p w14:paraId="43E69324" w14:textId="77777777" w:rsidR="00930227" w:rsidRPr="00233777" w:rsidRDefault="00930227" w:rsidP="00930227">
      <w:pPr>
        <w:pStyle w:val="Literaturverzeichnis"/>
        <w:jc w:val="both"/>
        <w:rPr>
          <w:lang w:val="fr-CH"/>
        </w:rPr>
      </w:pPr>
      <w:r w:rsidRPr="00233777">
        <w:rPr>
          <w:lang w:val="fr-CH"/>
        </w:rPr>
        <w:t xml:space="preserve">* Les références précédées par un astérisque ont été analysées dans cette revue de littérature. </w:t>
      </w:r>
    </w:p>
    <w:p w14:paraId="7FA7A8D6" w14:textId="22F90A7C" w:rsidR="00930227" w:rsidRPr="00233777" w:rsidRDefault="00930227" w:rsidP="00930227">
      <w:pPr>
        <w:pStyle w:val="Literaturverzeichnis"/>
        <w:jc w:val="both"/>
        <w:rPr>
          <w:lang w:val="fr-CH"/>
        </w:rPr>
      </w:pPr>
      <w:r w:rsidRPr="00233777">
        <w:rPr>
          <w:lang w:val="fr-CH"/>
        </w:rPr>
        <w:t xml:space="preserve">*Bathelt, J., de Haan, M., &amp; Dale, N. J. (2019). Adaptive behaviour and quality of life in school-age children with congenital visual disorders and different levels of visual impairment. </w:t>
      </w:r>
      <w:r w:rsidRPr="00233777">
        <w:rPr>
          <w:i/>
          <w:iCs/>
          <w:lang w:val="fr-CH"/>
        </w:rPr>
        <w:t>Research in Developmental Disabilities</w:t>
      </w:r>
      <w:r w:rsidRPr="00233777">
        <w:rPr>
          <w:lang w:val="fr-CH"/>
        </w:rPr>
        <w:t xml:space="preserve">, </w:t>
      </w:r>
      <w:r w:rsidRPr="00233777">
        <w:rPr>
          <w:i/>
          <w:iCs/>
          <w:lang w:val="fr-CH"/>
        </w:rPr>
        <w:t>85</w:t>
      </w:r>
      <w:r w:rsidRPr="00233777">
        <w:rPr>
          <w:lang w:val="fr-CH"/>
        </w:rPr>
        <w:t xml:space="preserve">, 154–162. </w:t>
      </w:r>
      <w:hyperlink r:id="rId26" w:history="1">
        <w:r w:rsidRPr="00233777">
          <w:rPr>
            <w:rStyle w:val="Hyperlink"/>
            <w:lang w:val="fr-CH"/>
          </w:rPr>
          <w:t>https://doi.org/10.1016/j.ridd.2018.12.003</w:t>
        </w:r>
      </w:hyperlink>
      <w:r w:rsidRPr="00233777">
        <w:rPr>
          <w:lang w:val="fr-CH"/>
        </w:rPr>
        <w:t xml:space="preserve"> </w:t>
      </w:r>
    </w:p>
    <w:p w14:paraId="5E0514FF" w14:textId="2B426633" w:rsidR="00930227" w:rsidRPr="00233777" w:rsidRDefault="00930227" w:rsidP="00930227">
      <w:pPr>
        <w:pStyle w:val="Literaturverzeichnis"/>
        <w:jc w:val="both"/>
        <w:rPr>
          <w:lang w:val="fr-CH"/>
        </w:rPr>
      </w:pPr>
      <w:r w:rsidRPr="00233777">
        <w:rPr>
          <w:lang w:val="fr-CH"/>
        </w:rPr>
        <w:t xml:space="preserve">Bless, G., &amp; Orthmann-Bless, D. (2022). </w:t>
      </w:r>
      <w:r w:rsidRPr="00233777">
        <w:rPr>
          <w:i/>
          <w:iCs/>
          <w:lang w:val="fr-CH"/>
        </w:rPr>
        <w:t>Rapport final sur la situation actuelle des enfants malvoyants/sourdaveugles en Suisse</w:t>
      </w:r>
      <w:r w:rsidRPr="00233777">
        <w:rPr>
          <w:lang w:val="fr-CH"/>
        </w:rPr>
        <w:t xml:space="preserve">. </w:t>
      </w:r>
      <w:r w:rsidRPr="00233777">
        <w:rPr>
          <w:i/>
          <w:iCs/>
          <w:lang w:val="fr-CH"/>
        </w:rPr>
        <w:t>Une étude réalisée dans le cadre de REVISA – dépistage et reconnaissance des déficiences visuelles à l’âge (pré)scolaire.</w:t>
      </w:r>
      <w:r w:rsidRPr="00233777">
        <w:rPr>
          <w:lang w:val="fr-CH"/>
        </w:rPr>
        <w:t xml:space="preserve"> Institut de pédagogie curative de l’Université de Fribourg. </w:t>
      </w:r>
      <w:hyperlink r:id="rId27" w:history="1">
        <w:r w:rsidRPr="00233777">
          <w:rPr>
            <w:rStyle w:val="Hyperlink"/>
            <w:lang w:val="fr-CH"/>
          </w:rPr>
          <w:t>https://www.ucba.ch/fileadmin/pdfs/Forschung/Forschung_FR/Forschungsberichte/Schulalter/Orthmann_Bless_D.__Bless_G.__2022__REVISA_La_situation_actuelle.pdf</w:t>
        </w:r>
      </w:hyperlink>
      <w:r w:rsidRPr="00233777">
        <w:rPr>
          <w:lang w:val="fr-CH"/>
        </w:rPr>
        <w:t xml:space="preserve"> </w:t>
      </w:r>
    </w:p>
    <w:p w14:paraId="04037333" w14:textId="77777777" w:rsidR="00930227" w:rsidRPr="00233777" w:rsidRDefault="00930227" w:rsidP="00930227">
      <w:pPr>
        <w:pStyle w:val="Literaturverzeichnis"/>
        <w:jc w:val="both"/>
        <w:rPr>
          <w:lang w:val="fr-CH"/>
        </w:rPr>
      </w:pPr>
      <w:r w:rsidRPr="00233777">
        <w:rPr>
          <w:lang w:val="fr-CH"/>
        </w:rPr>
        <w:t xml:space="preserve">Brian, A., Starrett, A., Pennell, A., Haibach-Beach, P., Gilbert, E., Stribing, A., Miedema, S. T., &amp; Lieberman, L. (2021). Longitudinal locomotor competence and body mass index across self-reported gender and vision level for youth with visual impairments: A 3-year investigation. </w:t>
      </w:r>
      <w:r w:rsidRPr="00233777">
        <w:rPr>
          <w:i/>
          <w:iCs/>
          <w:lang w:val="fr-CH"/>
        </w:rPr>
        <w:t>Adapted Physical Activity Quarterly</w:t>
      </w:r>
      <w:r w:rsidRPr="00233777">
        <w:rPr>
          <w:lang w:val="fr-CH"/>
        </w:rPr>
        <w:t xml:space="preserve">, </w:t>
      </w:r>
      <w:r w:rsidRPr="00233777">
        <w:rPr>
          <w:i/>
          <w:iCs/>
          <w:lang w:val="fr-CH"/>
        </w:rPr>
        <w:t>38</w:t>
      </w:r>
      <w:r w:rsidRPr="00233777">
        <w:rPr>
          <w:lang w:val="fr-CH"/>
        </w:rPr>
        <w:t xml:space="preserve">(2), 268–285. </w:t>
      </w:r>
      <w:hyperlink r:id="rId28" w:history="1">
        <w:r w:rsidRPr="00233777">
          <w:rPr>
            <w:rStyle w:val="Hyperlink"/>
            <w:lang w:val="fr-CH"/>
          </w:rPr>
          <w:t>https://doi.org/10.1123/apaq.2020-0082</w:t>
        </w:r>
      </w:hyperlink>
      <w:r w:rsidRPr="00233777">
        <w:rPr>
          <w:lang w:val="fr-CH"/>
        </w:rPr>
        <w:t xml:space="preserve"> </w:t>
      </w:r>
    </w:p>
    <w:p w14:paraId="136728F9" w14:textId="77777777" w:rsidR="00930227" w:rsidRPr="00233777" w:rsidRDefault="00930227" w:rsidP="00930227">
      <w:pPr>
        <w:pStyle w:val="Literaturverzeichnis"/>
        <w:jc w:val="both"/>
        <w:rPr>
          <w:lang w:val="fr-CH"/>
        </w:rPr>
      </w:pPr>
      <w:r w:rsidRPr="00233777">
        <w:rPr>
          <w:lang w:val="fr-CH"/>
        </w:rPr>
        <w:t xml:space="preserve">Caron, V., Allegranza, L., Lieberman, L., &amp; Haibach-Beach, P. (2023). Camp Abilities – an educational sports camp for children and youth with visual impairment: A systematic review. </w:t>
      </w:r>
      <w:r w:rsidRPr="00233777">
        <w:rPr>
          <w:i/>
          <w:iCs/>
          <w:lang w:val="fr-CH"/>
        </w:rPr>
        <w:t>British Journal of Visual Impairment</w:t>
      </w:r>
      <w:r w:rsidRPr="00233777">
        <w:rPr>
          <w:lang w:val="fr-CH"/>
        </w:rPr>
        <w:t xml:space="preserve">. </w:t>
      </w:r>
      <w:hyperlink r:id="rId29" w:history="1">
        <w:r w:rsidRPr="00233777">
          <w:rPr>
            <w:rStyle w:val="Hyperlink"/>
            <w:lang w:val="fr-CH"/>
          </w:rPr>
          <w:t>https://doi.org/10.1177/02646196231187543</w:t>
        </w:r>
      </w:hyperlink>
      <w:r w:rsidRPr="00233777">
        <w:rPr>
          <w:lang w:val="fr-CH"/>
        </w:rPr>
        <w:t xml:space="preserve"> </w:t>
      </w:r>
    </w:p>
    <w:p w14:paraId="779B89D5" w14:textId="77777777" w:rsidR="00930227" w:rsidRPr="00233777" w:rsidRDefault="00930227" w:rsidP="00930227">
      <w:pPr>
        <w:pStyle w:val="Literaturverzeichnis"/>
        <w:jc w:val="both"/>
        <w:rPr>
          <w:lang w:val="fr-CH"/>
        </w:rPr>
      </w:pPr>
      <w:r w:rsidRPr="00233777">
        <w:rPr>
          <w:lang w:val="fr-CH"/>
        </w:rPr>
        <w:lastRenderedPageBreak/>
        <w:t xml:space="preserve">*Celeste, M. (2006). Play Behaviors and Social Interactions of a Child Who Is Blind: In Theory and Practice. </w:t>
      </w:r>
      <w:r w:rsidRPr="00233777">
        <w:rPr>
          <w:i/>
          <w:iCs/>
          <w:lang w:val="fr-CH"/>
        </w:rPr>
        <w:t>Journal of Visual Impairment and Blindness</w:t>
      </w:r>
      <w:r w:rsidRPr="00233777">
        <w:rPr>
          <w:lang w:val="fr-CH"/>
        </w:rPr>
        <w:t xml:space="preserve">, </w:t>
      </w:r>
      <w:r w:rsidRPr="00233777">
        <w:rPr>
          <w:i/>
          <w:iCs/>
          <w:lang w:val="fr-CH"/>
        </w:rPr>
        <w:t>100</w:t>
      </w:r>
      <w:r w:rsidRPr="00233777">
        <w:rPr>
          <w:lang w:val="fr-CH"/>
        </w:rPr>
        <w:t xml:space="preserve">(2), 75-90. </w:t>
      </w:r>
      <w:hyperlink r:id="rId30" w:history="1">
        <w:r w:rsidRPr="00233777">
          <w:rPr>
            <w:rStyle w:val="Hyperlink"/>
            <w:lang w:val="fr-CH"/>
          </w:rPr>
          <w:t>https://doi.org/10.1177/0145482X0610000203</w:t>
        </w:r>
      </w:hyperlink>
      <w:r w:rsidRPr="00233777">
        <w:rPr>
          <w:lang w:val="fr-CH"/>
        </w:rPr>
        <w:t xml:space="preserve"> </w:t>
      </w:r>
    </w:p>
    <w:p w14:paraId="2503A51F" w14:textId="77777777" w:rsidR="00930227" w:rsidRPr="00233777" w:rsidRDefault="00930227" w:rsidP="00930227">
      <w:pPr>
        <w:pStyle w:val="Literaturverzeichnis"/>
        <w:jc w:val="both"/>
        <w:rPr>
          <w:lang w:val="fr-CH"/>
        </w:rPr>
      </w:pPr>
      <w:r w:rsidRPr="00233777">
        <w:rPr>
          <w:lang w:val="fr-CH"/>
        </w:rPr>
        <w:t xml:space="preserve">*Celeste, M., &amp; Grum, D. K. (2010). Social integration of children with visual impairment: A developmental model. </w:t>
      </w:r>
      <w:r w:rsidRPr="00233777">
        <w:rPr>
          <w:i/>
          <w:iCs/>
          <w:lang w:val="fr-CH"/>
        </w:rPr>
        <w:t>Elementary Education Online</w:t>
      </w:r>
      <w:r w:rsidRPr="00233777">
        <w:rPr>
          <w:lang w:val="fr-CH"/>
        </w:rPr>
        <w:t xml:space="preserve">, </w:t>
      </w:r>
      <w:r w:rsidRPr="00233777">
        <w:rPr>
          <w:i/>
          <w:iCs/>
          <w:lang w:val="fr-CH"/>
        </w:rPr>
        <w:t>9</w:t>
      </w:r>
      <w:r w:rsidRPr="00233777">
        <w:rPr>
          <w:lang w:val="fr-CH"/>
        </w:rPr>
        <w:t xml:space="preserve">(1), 11-22. </w:t>
      </w:r>
      <w:hyperlink r:id="rId31" w:history="1">
        <w:r w:rsidRPr="00233777">
          <w:rPr>
            <w:rStyle w:val="Hyperlink"/>
            <w:lang w:val="fr-CH"/>
          </w:rPr>
          <w:t>http://ilkogretim-online.org.tr</w:t>
        </w:r>
      </w:hyperlink>
      <w:r w:rsidRPr="00233777">
        <w:rPr>
          <w:lang w:val="fr-CH"/>
        </w:rPr>
        <w:t xml:space="preserve"> </w:t>
      </w:r>
    </w:p>
    <w:p w14:paraId="17E249BD" w14:textId="77777777" w:rsidR="00930227" w:rsidRPr="00233777" w:rsidRDefault="00930227" w:rsidP="00930227">
      <w:pPr>
        <w:pStyle w:val="Literaturverzeichnis"/>
        <w:jc w:val="both"/>
        <w:rPr>
          <w:lang w:val="fr-CH"/>
        </w:rPr>
      </w:pPr>
      <w:r w:rsidRPr="00233777">
        <w:rPr>
          <w:lang w:val="fr-CH"/>
        </w:rPr>
        <w:t xml:space="preserve">Floyd, R. G., Shands, E. I., Alfonso, V. C., Phillips, J. F., Autry, B. K., Mosteller, J. A., Skinner, M., &amp; Irby, S. (2015). A Systematic Review and Psychometric Evaluation of Adaptive Behavior Scales and Recommendations for Practice. </w:t>
      </w:r>
      <w:r w:rsidRPr="00233777">
        <w:rPr>
          <w:i/>
          <w:iCs/>
          <w:lang w:val="fr-CH"/>
        </w:rPr>
        <w:t>Journal of Applied School Psychology</w:t>
      </w:r>
      <w:r w:rsidRPr="00233777">
        <w:rPr>
          <w:lang w:val="fr-CH"/>
        </w:rPr>
        <w:t xml:space="preserve">, </w:t>
      </w:r>
      <w:r w:rsidRPr="00233777">
        <w:rPr>
          <w:i/>
          <w:iCs/>
          <w:lang w:val="fr-CH"/>
        </w:rPr>
        <w:t>31</w:t>
      </w:r>
      <w:r w:rsidRPr="00233777">
        <w:rPr>
          <w:lang w:val="fr-CH"/>
        </w:rPr>
        <w:t xml:space="preserve">(1), 83-113. </w:t>
      </w:r>
      <w:hyperlink r:id="rId32" w:history="1">
        <w:r w:rsidRPr="00233777">
          <w:rPr>
            <w:rStyle w:val="Hyperlink"/>
            <w:lang w:val="fr-CH"/>
          </w:rPr>
          <w:t>https://doi.org/10.1080/15377903.2014.979384</w:t>
        </w:r>
      </w:hyperlink>
      <w:r w:rsidRPr="00233777">
        <w:rPr>
          <w:lang w:val="fr-CH"/>
        </w:rPr>
        <w:t xml:space="preserve"> </w:t>
      </w:r>
    </w:p>
    <w:p w14:paraId="5F33A955" w14:textId="77777777" w:rsidR="00930227" w:rsidRPr="00233777" w:rsidRDefault="00930227" w:rsidP="00930227">
      <w:pPr>
        <w:pStyle w:val="Literaturverzeichnis"/>
        <w:jc w:val="both"/>
        <w:rPr>
          <w:lang w:val="fr-CH"/>
        </w:rPr>
      </w:pPr>
      <w:r w:rsidRPr="00233777">
        <w:rPr>
          <w:lang w:val="fr-CH"/>
        </w:rPr>
        <w:t xml:space="preserve">*Greenaway, R., Pring, L., Schepers, A., Isaacs, D. P., &amp; Dale, N. J. (2017). Neuropsychological presentation and adaptive skills in high-functioning adolescents with visual impairment: A preliminary investigation. </w:t>
      </w:r>
      <w:r w:rsidRPr="00233777">
        <w:rPr>
          <w:i/>
          <w:iCs/>
          <w:lang w:val="fr-CH"/>
        </w:rPr>
        <w:t>Applied Neuropsychology: Child</w:t>
      </w:r>
      <w:r w:rsidRPr="00233777">
        <w:rPr>
          <w:lang w:val="fr-CH"/>
        </w:rPr>
        <w:t xml:space="preserve">, </w:t>
      </w:r>
      <w:r w:rsidRPr="00233777">
        <w:rPr>
          <w:i/>
          <w:iCs/>
          <w:lang w:val="fr-CH"/>
        </w:rPr>
        <w:t>6</w:t>
      </w:r>
      <w:r w:rsidRPr="00233777">
        <w:rPr>
          <w:lang w:val="fr-CH"/>
        </w:rPr>
        <w:t xml:space="preserve">(2), 145-157. </w:t>
      </w:r>
      <w:hyperlink r:id="rId33" w:history="1">
        <w:r w:rsidRPr="00233777">
          <w:rPr>
            <w:rStyle w:val="Hyperlink"/>
            <w:lang w:val="fr-CH"/>
          </w:rPr>
          <w:t>https://doi.org/10.1080/21622965.2015.1129608</w:t>
        </w:r>
      </w:hyperlink>
      <w:r w:rsidRPr="00233777">
        <w:rPr>
          <w:lang w:val="fr-CH"/>
        </w:rPr>
        <w:t xml:space="preserve"> </w:t>
      </w:r>
    </w:p>
    <w:p w14:paraId="5BF3FB44" w14:textId="77777777" w:rsidR="00930227" w:rsidRPr="00233777" w:rsidRDefault="00930227" w:rsidP="00930227">
      <w:pPr>
        <w:pStyle w:val="Literaturverzeichnis"/>
        <w:jc w:val="both"/>
        <w:rPr>
          <w:lang w:val="fr-CH"/>
        </w:rPr>
      </w:pPr>
      <w:r w:rsidRPr="00233777">
        <w:rPr>
          <w:lang w:val="fr-CH"/>
        </w:rPr>
        <w:t xml:space="preserve">*Grum, D. K., Kakizawa, T., &amp; Celeste, M. (2014). Assessment of play behaviours and social interactions of two blind girls: Case studies in Japan. </w:t>
      </w:r>
      <w:r w:rsidRPr="00233777">
        <w:rPr>
          <w:i/>
          <w:iCs/>
          <w:lang w:val="fr-CH"/>
        </w:rPr>
        <w:t>Anthropological Notebooks</w:t>
      </w:r>
      <w:r w:rsidRPr="00233777">
        <w:rPr>
          <w:lang w:val="fr-CH"/>
        </w:rPr>
        <w:t xml:space="preserve">, </w:t>
      </w:r>
      <w:r w:rsidRPr="00233777">
        <w:rPr>
          <w:i/>
          <w:iCs/>
          <w:lang w:val="fr-CH"/>
        </w:rPr>
        <w:t>20</w:t>
      </w:r>
      <w:r w:rsidRPr="00233777">
        <w:rPr>
          <w:lang w:val="fr-CH"/>
        </w:rPr>
        <w:t xml:space="preserve">(2), 61-76. </w:t>
      </w:r>
      <w:hyperlink r:id="rId34" w:history="1">
        <w:r w:rsidRPr="00233777">
          <w:rPr>
            <w:rStyle w:val="Hyperlink"/>
            <w:lang w:val="fr-CH"/>
          </w:rPr>
          <w:t>https://anthropological-notebooks.zrc-sazu.si/Notebooks/article/view/191</w:t>
        </w:r>
      </w:hyperlink>
      <w:r w:rsidRPr="00233777">
        <w:rPr>
          <w:lang w:val="fr-CH"/>
        </w:rPr>
        <w:t xml:space="preserve"> </w:t>
      </w:r>
    </w:p>
    <w:p w14:paraId="39FB544B" w14:textId="77777777" w:rsidR="00930227" w:rsidRPr="00233777" w:rsidRDefault="00930227" w:rsidP="00930227">
      <w:pPr>
        <w:pStyle w:val="Literaturverzeichnis"/>
        <w:jc w:val="both"/>
        <w:rPr>
          <w:lang w:val="fr-CH"/>
        </w:rPr>
      </w:pPr>
      <w:r w:rsidRPr="00233777">
        <w:rPr>
          <w:lang w:val="fr-CH"/>
        </w:rPr>
        <w:t xml:space="preserve">Haegele, J. A., Brian, A., &amp; Goodway, J. (2015). Fundamental motor skills and school-aged individuals with visual impairments: A review. </w:t>
      </w:r>
      <w:r w:rsidRPr="00233777">
        <w:rPr>
          <w:i/>
          <w:iCs/>
          <w:lang w:val="fr-CH"/>
        </w:rPr>
        <w:t>Review Journal of Autism and Developmental Disorders</w:t>
      </w:r>
      <w:r w:rsidRPr="00233777">
        <w:rPr>
          <w:lang w:val="fr-CH"/>
        </w:rPr>
        <w:t xml:space="preserve">, </w:t>
      </w:r>
      <w:r w:rsidRPr="00233777">
        <w:rPr>
          <w:i/>
          <w:iCs/>
          <w:lang w:val="fr-CH"/>
        </w:rPr>
        <w:t>2</w:t>
      </w:r>
      <w:r w:rsidRPr="00233777">
        <w:rPr>
          <w:lang w:val="fr-CH"/>
        </w:rPr>
        <w:t xml:space="preserve">(3), 320-327. </w:t>
      </w:r>
      <w:hyperlink r:id="rId35" w:history="1">
        <w:r w:rsidRPr="00233777">
          <w:rPr>
            <w:rStyle w:val="Hyperlink"/>
            <w:lang w:val="fr-CH"/>
          </w:rPr>
          <w:t>https://doi.org/10.1007/s40489-015-0055-8</w:t>
        </w:r>
      </w:hyperlink>
      <w:r w:rsidRPr="00233777">
        <w:rPr>
          <w:lang w:val="fr-CH"/>
        </w:rPr>
        <w:t xml:space="preserve"> </w:t>
      </w:r>
    </w:p>
    <w:p w14:paraId="79DD8CFF" w14:textId="77777777" w:rsidR="00930227" w:rsidRPr="00233777" w:rsidRDefault="00930227" w:rsidP="00930227">
      <w:pPr>
        <w:pStyle w:val="Literaturverzeichnis"/>
        <w:jc w:val="both"/>
        <w:rPr>
          <w:lang w:val="fr-CH"/>
        </w:rPr>
      </w:pPr>
      <w:r w:rsidRPr="00233777">
        <w:rPr>
          <w:lang w:val="fr-CH"/>
        </w:rPr>
        <w:t>Harrison, P. L., &amp; Oakland, T. (2008). Adaptive Behavior Assessment System (2</w:t>
      </w:r>
      <w:r w:rsidRPr="00233777">
        <w:rPr>
          <w:vertAlign w:val="superscript"/>
          <w:lang w:val="fr-CH"/>
        </w:rPr>
        <w:t>nd</w:t>
      </w:r>
      <w:r w:rsidRPr="00233777">
        <w:rPr>
          <w:lang w:val="fr-CH"/>
        </w:rPr>
        <w:t> ed.). Western Psychological Services.</w:t>
      </w:r>
    </w:p>
    <w:p w14:paraId="437704FA" w14:textId="77777777" w:rsidR="00930227" w:rsidRPr="00233777" w:rsidRDefault="00930227" w:rsidP="00930227">
      <w:pPr>
        <w:pStyle w:val="Literaturverzeichnis"/>
        <w:jc w:val="both"/>
        <w:rPr>
          <w:lang w:val="fr-CH"/>
        </w:rPr>
      </w:pPr>
      <w:r w:rsidRPr="00233777">
        <w:rPr>
          <w:lang w:val="fr-CH"/>
        </w:rPr>
        <w:t>Harrison, P. L., &amp; Oakland, T. (2015). Adaptive Behavior Assessment System (3</w:t>
      </w:r>
      <w:r w:rsidRPr="00233777">
        <w:rPr>
          <w:vertAlign w:val="superscript"/>
          <w:lang w:val="fr-CH"/>
        </w:rPr>
        <w:t>rd</w:t>
      </w:r>
      <w:r w:rsidRPr="00233777">
        <w:rPr>
          <w:lang w:val="fr-CH"/>
        </w:rPr>
        <w:t xml:space="preserve"> ed.). Western Psychological Services.</w:t>
      </w:r>
    </w:p>
    <w:p w14:paraId="4806CBDA" w14:textId="77777777" w:rsidR="00930227" w:rsidRPr="00233777" w:rsidRDefault="00930227" w:rsidP="00930227">
      <w:pPr>
        <w:pStyle w:val="Literaturverzeichnis"/>
        <w:jc w:val="both"/>
        <w:rPr>
          <w:lang w:val="fr-CH"/>
        </w:rPr>
      </w:pPr>
      <w:r w:rsidRPr="00233777">
        <w:rPr>
          <w:lang w:val="fr-CH"/>
        </w:rPr>
        <w:t xml:space="preserve">Jonker, F., de Looff, P., van Erp, S., Nijman, H., &amp; Didden, R. (2023). The adaptive ability performance test (ADAPT): A factor analytic study in clients with intellectual disabilities. </w:t>
      </w:r>
      <w:r w:rsidRPr="00233777">
        <w:rPr>
          <w:i/>
          <w:iCs/>
          <w:lang w:val="fr-CH"/>
        </w:rPr>
        <w:t>Journal of Applied Research in Intellectual Disabilities</w:t>
      </w:r>
      <w:r w:rsidRPr="00233777">
        <w:rPr>
          <w:lang w:val="fr-CH"/>
        </w:rPr>
        <w:t xml:space="preserve">, </w:t>
      </w:r>
      <w:r w:rsidRPr="00233777">
        <w:rPr>
          <w:i/>
          <w:iCs/>
          <w:lang w:val="fr-CH"/>
        </w:rPr>
        <w:t>36</w:t>
      </w:r>
      <w:r w:rsidRPr="00233777">
        <w:rPr>
          <w:lang w:val="fr-CH"/>
        </w:rPr>
        <w:t xml:space="preserve">(1), 3-12. </w:t>
      </w:r>
      <w:hyperlink r:id="rId36" w:history="1">
        <w:r w:rsidRPr="00233777">
          <w:rPr>
            <w:rStyle w:val="Hyperlink"/>
            <w:lang w:val="fr-CH"/>
          </w:rPr>
          <w:t>https://doi.org/10.1111/jar.13044</w:t>
        </w:r>
      </w:hyperlink>
      <w:r w:rsidRPr="00233777">
        <w:rPr>
          <w:lang w:val="fr-CH"/>
        </w:rPr>
        <w:t xml:space="preserve"> </w:t>
      </w:r>
    </w:p>
    <w:p w14:paraId="47C74CA7" w14:textId="77777777" w:rsidR="00930227" w:rsidRPr="00233777" w:rsidRDefault="00930227" w:rsidP="00930227">
      <w:pPr>
        <w:pStyle w:val="Literaturverzeichnis"/>
        <w:jc w:val="both"/>
        <w:rPr>
          <w:lang w:val="fr-CH"/>
        </w:rPr>
      </w:pPr>
      <w:r w:rsidRPr="00233777">
        <w:rPr>
          <w:lang w:val="fr-CH"/>
        </w:rPr>
        <w:t xml:space="preserve">Lewis, S., &amp; Iselin, S. A. (2002). A Comparison of the Independent Living Skills of Primary Students with Visual Impairments and Their Sighted Peers: A Pilot Study. </w:t>
      </w:r>
      <w:r w:rsidRPr="00233777">
        <w:rPr>
          <w:i/>
          <w:iCs/>
          <w:lang w:val="fr-CH"/>
        </w:rPr>
        <w:t>Journal of Visual Impairment and Blindness</w:t>
      </w:r>
      <w:r w:rsidRPr="00233777">
        <w:rPr>
          <w:lang w:val="fr-CH"/>
        </w:rPr>
        <w:t xml:space="preserve">, </w:t>
      </w:r>
      <w:r w:rsidRPr="00233777">
        <w:rPr>
          <w:i/>
          <w:iCs/>
          <w:lang w:val="fr-CH"/>
        </w:rPr>
        <w:t>96</w:t>
      </w:r>
      <w:r w:rsidRPr="00233777">
        <w:rPr>
          <w:lang w:val="fr-CH"/>
        </w:rPr>
        <w:t xml:space="preserve">(5), 335-344. </w:t>
      </w:r>
      <w:hyperlink r:id="rId37" w:history="1">
        <w:r w:rsidRPr="00233777">
          <w:rPr>
            <w:rStyle w:val="Hyperlink"/>
            <w:lang w:val="fr-CH"/>
          </w:rPr>
          <w:t>https://doi.org/10.1177/0145482X0209600505</w:t>
        </w:r>
      </w:hyperlink>
      <w:r w:rsidRPr="00233777">
        <w:rPr>
          <w:lang w:val="fr-CH"/>
        </w:rPr>
        <w:t xml:space="preserve"> </w:t>
      </w:r>
    </w:p>
    <w:p w14:paraId="43D47012" w14:textId="77777777" w:rsidR="00930227" w:rsidRPr="00233777" w:rsidRDefault="00930227" w:rsidP="00930227">
      <w:pPr>
        <w:pStyle w:val="Literaturverzeichnis"/>
        <w:jc w:val="both"/>
        <w:rPr>
          <w:lang w:val="fr-CH"/>
        </w:rPr>
      </w:pPr>
      <w:r w:rsidRPr="00233777">
        <w:rPr>
          <w:lang w:val="fr-CH"/>
        </w:rPr>
        <w:t xml:space="preserve">Mosca, R., Kritzinger, A., &amp; van der Linde, J. (2015). Language and communication development in preschool children with visual impairment: A systematic review. </w:t>
      </w:r>
      <w:r w:rsidRPr="00233777">
        <w:rPr>
          <w:i/>
          <w:iCs/>
          <w:lang w:val="fr-CH"/>
        </w:rPr>
        <w:t>The South African journal of communication disorders</w:t>
      </w:r>
      <w:r w:rsidRPr="00233777">
        <w:rPr>
          <w:lang w:val="fr-CH"/>
        </w:rPr>
        <w:t xml:space="preserve">, </w:t>
      </w:r>
      <w:r w:rsidRPr="00233777">
        <w:rPr>
          <w:i/>
          <w:iCs/>
          <w:lang w:val="fr-CH"/>
        </w:rPr>
        <w:t>62</w:t>
      </w:r>
      <w:r w:rsidRPr="00233777">
        <w:rPr>
          <w:lang w:val="fr-CH"/>
        </w:rPr>
        <w:t xml:space="preserve">(1), 1-10. </w:t>
      </w:r>
      <w:hyperlink r:id="rId38" w:history="1">
        <w:r w:rsidRPr="00233777">
          <w:rPr>
            <w:rStyle w:val="Hyperlink"/>
            <w:lang w:val="fr-CH"/>
          </w:rPr>
          <w:t>https://doi.org/10.4102/sajcd.v62i1.119</w:t>
        </w:r>
      </w:hyperlink>
      <w:r w:rsidRPr="00233777">
        <w:rPr>
          <w:lang w:val="fr-CH"/>
        </w:rPr>
        <w:t xml:space="preserve"> </w:t>
      </w:r>
    </w:p>
    <w:p w14:paraId="47DC2E5E" w14:textId="77777777" w:rsidR="00930227" w:rsidRPr="00233777" w:rsidRDefault="00930227" w:rsidP="00930227">
      <w:pPr>
        <w:pStyle w:val="Literaturverzeichnis"/>
        <w:jc w:val="both"/>
        <w:rPr>
          <w:lang w:val="fr-CH"/>
        </w:rPr>
      </w:pPr>
      <w:r w:rsidRPr="00233777">
        <w:rPr>
          <w:lang w:val="fr-CH"/>
        </w:rPr>
        <w:t xml:space="preserve">*Metsiou, K., Papadopoulos, K., &amp; Agaliotis, I. (2011). Adaptive behavior of primary school students with visual impairments: The impact of educational settings. </w:t>
      </w:r>
      <w:r w:rsidRPr="00233777">
        <w:rPr>
          <w:i/>
          <w:iCs/>
          <w:lang w:val="fr-CH"/>
        </w:rPr>
        <w:t>Research in Developmental Disabilities</w:t>
      </w:r>
      <w:r w:rsidRPr="00233777">
        <w:rPr>
          <w:lang w:val="fr-CH"/>
        </w:rPr>
        <w:t xml:space="preserve">, </w:t>
      </w:r>
      <w:r w:rsidRPr="00233777">
        <w:rPr>
          <w:i/>
          <w:iCs/>
          <w:lang w:val="fr-CH"/>
        </w:rPr>
        <w:t>32</w:t>
      </w:r>
      <w:r w:rsidRPr="00233777">
        <w:rPr>
          <w:lang w:val="fr-CH"/>
        </w:rPr>
        <w:t xml:space="preserve">(6), 2340–2345. </w:t>
      </w:r>
      <w:hyperlink r:id="rId39" w:history="1">
        <w:r w:rsidRPr="00233777">
          <w:rPr>
            <w:rStyle w:val="Hyperlink"/>
            <w:lang w:val="fr-CH"/>
          </w:rPr>
          <w:t>https://doi.org/10.1016/j.ridd.2011.07.030</w:t>
        </w:r>
      </w:hyperlink>
      <w:r w:rsidRPr="00233777">
        <w:rPr>
          <w:lang w:val="fr-CH"/>
        </w:rPr>
        <w:t xml:space="preserve"> </w:t>
      </w:r>
    </w:p>
    <w:p w14:paraId="64EB9F18" w14:textId="77777777" w:rsidR="00930227" w:rsidRPr="00233777" w:rsidRDefault="00930227" w:rsidP="00930227">
      <w:pPr>
        <w:pStyle w:val="Literaturverzeichnis"/>
        <w:jc w:val="both"/>
        <w:rPr>
          <w:lang w:val="fr-CH"/>
        </w:rPr>
      </w:pPr>
      <w:r w:rsidRPr="00233777">
        <w:rPr>
          <w:lang w:val="fr-CH"/>
        </w:rPr>
        <w:t xml:space="preserve">Munn, Z., Peters, M. D. J., Stern, C., Tufanaru, C., McArthur, A., &amp; Aromataris, E. (2018). Systematic review or scoping review? Guidance for authors when choosing between a systematic or scoping review approach. </w:t>
      </w:r>
      <w:r w:rsidRPr="00233777">
        <w:rPr>
          <w:i/>
          <w:iCs/>
          <w:lang w:val="fr-CH"/>
        </w:rPr>
        <w:t>BMC Medical Research Methodology</w:t>
      </w:r>
      <w:r w:rsidRPr="00233777">
        <w:rPr>
          <w:lang w:val="fr-CH"/>
        </w:rPr>
        <w:t xml:space="preserve">, </w:t>
      </w:r>
      <w:r w:rsidRPr="00233777">
        <w:rPr>
          <w:i/>
          <w:iCs/>
          <w:lang w:val="fr-CH"/>
        </w:rPr>
        <w:t>18</w:t>
      </w:r>
      <w:r w:rsidRPr="00233777">
        <w:rPr>
          <w:lang w:val="fr-CH"/>
        </w:rPr>
        <w:t xml:space="preserve">(1). </w:t>
      </w:r>
      <w:hyperlink r:id="rId40" w:history="1">
        <w:r w:rsidRPr="00233777">
          <w:rPr>
            <w:rStyle w:val="Hyperlink"/>
            <w:lang w:val="fr-CH"/>
          </w:rPr>
          <w:t>https://doi.org/10.1186/s12874-018-0611-x</w:t>
        </w:r>
      </w:hyperlink>
      <w:r w:rsidRPr="00233777">
        <w:rPr>
          <w:lang w:val="fr-CH"/>
        </w:rPr>
        <w:t xml:space="preserve"> </w:t>
      </w:r>
    </w:p>
    <w:p w14:paraId="3E43387B" w14:textId="77777777" w:rsidR="00930227" w:rsidRPr="00233777" w:rsidRDefault="00930227" w:rsidP="00930227">
      <w:pPr>
        <w:pStyle w:val="Literaturverzeichnis"/>
        <w:jc w:val="both"/>
        <w:rPr>
          <w:lang w:val="fr-CH"/>
        </w:rPr>
      </w:pPr>
      <w:r w:rsidRPr="00233777">
        <w:rPr>
          <w:lang w:val="fr-CH"/>
        </w:rPr>
        <w:t xml:space="preserve">Organisation Mondiale de la santé [OMS]. (2023). </w:t>
      </w:r>
      <w:r w:rsidRPr="00233777">
        <w:rPr>
          <w:i/>
          <w:iCs/>
          <w:lang w:val="fr-CH"/>
        </w:rPr>
        <w:t>Cécité et déficience visuelle</w:t>
      </w:r>
      <w:r w:rsidRPr="00233777">
        <w:rPr>
          <w:lang w:val="fr-CH"/>
        </w:rPr>
        <w:t xml:space="preserve">. </w:t>
      </w:r>
      <w:hyperlink r:id="rId41" w:history="1">
        <w:r w:rsidRPr="00233777">
          <w:rPr>
            <w:rStyle w:val="Hyperlink"/>
            <w:lang w:val="fr-CH"/>
          </w:rPr>
          <w:t>https://www.who.int/fr/news-room/fact-sheets/detail/blindness-and-visual-impairment</w:t>
        </w:r>
      </w:hyperlink>
      <w:r w:rsidRPr="00233777">
        <w:rPr>
          <w:lang w:val="fr-CH"/>
        </w:rPr>
        <w:t xml:space="preserve"> </w:t>
      </w:r>
    </w:p>
    <w:p w14:paraId="33DA9B94" w14:textId="77777777" w:rsidR="00930227" w:rsidRPr="00233777" w:rsidRDefault="00930227" w:rsidP="00930227">
      <w:pPr>
        <w:pStyle w:val="Literaturverzeichnis"/>
        <w:jc w:val="both"/>
        <w:rPr>
          <w:lang w:val="fr-CH"/>
        </w:rPr>
      </w:pPr>
      <w:r w:rsidRPr="00233777">
        <w:rPr>
          <w:lang w:val="fr-CH"/>
        </w:rPr>
        <w:t xml:space="preserve">*Parson, S. (1987). Locus of Control and Adaptive Behavior in Visually Impaired Children. </w:t>
      </w:r>
      <w:r w:rsidRPr="00233777">
        <w:rPr>
          <w:i/>
          <w:iCs/>
          <w:lang w:val="fr-CH"/>
        </w:rPr>
        <w:t>Journal of Visual Impairment and Blindness</w:t>
      </w:r>
      <w:r w:rsidRPr="00233777">
        <w:rPr>
          <w:lang w:val="fr-CH"/>
        </w:rPr>
        <w:t>,</w:t>
      </w:r>
      <w:r w:rsidRPr="00233777">
        <w:rPr>
          <w:i/>
          <w:lang w:val="fr-CH"/>
        </w:rPr>
        <w:t>81</w:t>
      </w:r>
      <w:r w:rsidRPr="00233777">
        <w:rPr>
          <w:lang w:val="fr-CH"/>
        </w:rPr>
        <w:t xml:space="preserve">(9), 429-432. </w:t>
      </w:r>
      <w:hyperlink r:id="rId42" w:history="1">
        <w:r w:rsidRPr="00233777">
          <w:rPr>
            <w:rStyle w:val="Hyperlink"/>
            <w:lang w:val="fr-CH"/>
          </w:rPr>
          <w:t>https://psycnet.apa.org/record/1988-37364-001</w:t>
        </w:r>
      </w:hyperlink>
      <w:r w:rsidRPr="00233777">
        <w:rPr>
          <w:lang w:val="fr-CH"/>
        </w:rPr>
        <w:t xml:space="preserve"> </w:t>
      </w:r>
    </w:p>
    <w:p w14:paraId="648F4EE3" w14:textId="77777777" w:rsidR="00930227" w:rsidRPr="00233777" w:rsidRDefault="00930227" w:rsidP="00930227">
      <w:pPr>
        <w:pStyle w:val="Literaturverzeichnis"/>
        <w:jc w:val="both"/>
        <w:rPr>
          <w:lang w:val="fr-CH"/>
        </w:rPr>
      </w:pPr>
      <w:r w:rsidRPr="00233777">
        <w:rPr>
          <w:lang w:val="fr-CH"/>
        </w:rPr>
        <w:t xml:space="preserve">*Papadopoulos, K., Metsiou, K., &amp; Agaliotis, I. (2011). Adaptive behavior of children and adolescents with visual impairments. </w:t>
      </w:r>
      <w:r w:rsidRPr="00233777">
        <w:rPr>
          <w:i/>
          <w:iCs/>
          <w:lang w:val="fr-CH"/>
        </w:rPr>
        <w:t>Research in Developmental Disabilities</w:t>
      </w:r>
      <w:r w:rsidRPr="00233777">
        <w:rPr>
          <w:lang w:val="fr-CH"/>
        </w:rPr>
        <w:t xml:space="preserve">, </w:t>
      </w:r>
      <w:r w:rsidRPr="00233777">
        <w:rPr>
          <w:i/>
          <w:iCs/>
          <w:lang w:val="fr-CH"/>
        </w:rPr>
        <w:t>32</w:t>
      </w:r>
      <w:r w:rsidRPr="00233777">
        <w:rPr>
          <w:lang w:val="fr-CH"/>
        </w:rPr>
        <w:t xml:space="preserve">(3), 1086-1096. </w:t>
      </w:r>
      <w:hyperlink r:id="rId43" w:history="1">
        <w:r w:rsidRPr="00233777">
          <w:rPr>
            <w:rStyle w:val="Hyperlink"/>
            <w:lang w:val="fr-CH"/>
          </w:rPr>
          <w:t>https://doi.org/10.1016/j.ridd.2011.01.021</w:t>
        </w:r>
      </w:hyperlink>
      <w:r w:rsidRPr="00233777">
        <w:rPr>
          <w:lang w:val="fr-CH"/>
        </w:rPr>
        <w:t xml:space="preserve"> </w:t>
      </w:r>
    </w:p>
    <w:p w14:paraId="68D2374D" w14:textId="77777777" w:rsidR="00930227" w:rsidRPr="00233777" w:rsidRDefault="00930227" w:rsidP="00930227">
      <w:pPr>
        <w:pStyle w:val="Literaturverzeichnis"/>
        <w:jc w:val="both"/>
        <w:rPr>
          <w:lang w:val="fr-CH"/>
        </w:rPr>
      </w:pPr>
      <w:r w:rsidRPr="00233777">
        <w:rPr>
          <w:lang w:val="fr-CH"/>
        </w:rPr>
        <w:t xml:space="preserve">*Pineio, C., Eleni, F., Spyridon-Georgios, S., Konstantinos, C., Foteini, C., &amp; Eleni, C. (2019). Relationship of Motor Development to Adaptative Behavior of Children and Adolescents with Visual Impairment. European. </w:t>
      </w:r>
      <w:r w:rsidRPr="00233777">
        <w:rPr>
          <w:i/>
          <w:iCs/>
          <w:lang w:val="fr-CH"/>
        </w:rPr>
        <w:t>Journal of Special Education Research</w:t>
      </w:r>
      <w:r w:rsidRPr="00233777">
        <w:rPr>
          <w:lang w:val="fr-CH"/>
        </w:rPr>
        <w:t xml:space="preserve">, </w:t>
      </w:r>
      <w:r w:rsidRPr="00233777">
        <w:rPr>
          <w:i/>
          <w:iCs/>
          <w:lang w:val="fr-CH"/>
        </w:rPr>
        <w:t>4</w:t>
      </w:r>
      <w:r w:rsidRPr="00233777">
        <w:rPr>
          <w:lang w:val="fr-CH"/>
        </w:rPr>
        <w:t xml:space="preserve">(4), 115-131. </w:t>
      </w:r>
      <w:hyperlink r:id="rId44" w:history="1">
        <w:r w:rsidRPr="00233777">
          <w:rPr>
            <w:rStyle w:val="Hyperlink"/>
            <w:lang w:val="fr-CH"/>
          </w:rPr>
          <w:t>https://doi.org/10.5281/zenodo.3379031</w:t>
        </w:r>
      </w:hyperlink>
      <w:r w:rsidRPr="00233777">
        <w:rPr>
          <w:lang w:val="fr-CH"/>
        </w:rPr>
        <w:t xml:space="preserve"> </w:t>
      </w:r>
    </w:p>
    <w:p w14:paraId="63A060D5" w14:textId="77777777" w:rsidR="00930227" w:rsidRPr="00233777" w:rsidRDefault="00930227" w:rsidP="00930227">
      <w:pPr>
        <w:pStyle w:val="Literaturverzeichnis"/>
        <w:jc w:val="both"/>
        <w:rPr>
          <w:lang w:val="fr-CH"/>
        </w:rPr>
      </w:pPr>
      <w:r w:rsidRPr="00233777">
        <w:rPr>
          <w:lang w:val="fr-CH"/>
        </w:rPr>
        <w:t xml:space="preserve">Pontrelli Mecca, T., Tafla, T. L., Bueno, F. M. B., Valentini, F., Bassetto, S. A., &amp; Teixeira, M. C. T. V. (2022). Transcultural adaptation of the Adaptive Behavior Assessment System (ABAS-3). </w:t>
      </w:r>
      <w:r w:rsidRPr="00233777">
        <w:rPr>
          <w:i/>
          <w:iCs/>
          <w:lang w:val="fr-CH"/>
        </w:rPr>
        <w:t>International Journal of Developmental Disabilities</w:t>
      </w:r>
      <w:r w:rsidRPr="00233777">
        <w:rPr>
          <w:lang w:val="fr-CH"/>
        </w:rPr>
        <w:t xml:space="preserve">, 1-11. </w:t>
      </w:r>
      <w:hyperlink r:id="rId45" w:history="1">
        <w:r w:rsidRPr="00233777">
          <w:rPr>
            <w:rStyle w:val="Hyperlink"/>
            <w:lang w:val="fr-CH"/>
          </w:rPr>
          <w:t>https://doi.org/10.1080/20473869.2022.2137953</w:t>
        </w:r>
      </w:hyperlink>
      <w:r w:rsidRPr="00233777">
        <w:rPr>
          <w:lang w:val="fr-CH"/>
        </w:rPr>
        <w:t xml:space="preserve"> </w:t>
      </w:r>
    </w:p>
    <w:p w14:paraId="1AAFBFBF" w14:textId="77777777" w:rsidR="00930227" w:rsidRPr="00233777" w:rsidRDefault="00930227" w:rsidP="00930227">
      <w:pPr>
        <w:pStyle w:val="Literaturverzeichnis"/>
        <w:jc w:val="both"/>
        <w:rPr>
          <w:lang w:val="fr-CH"/>
        </w:rPr>
      </w:pPr>
      <w:r w:rsidRPr="00233777">
        <w:rPr>
          <w:lang w:val="fr-CH"/>
        </w:rPr>
        <w:lastRenderedPageBreak/>
        <w:t>Schalock, R. L., Luckasson, R.., &amp; Tassé, M. J. (2021</w:t>
      </w:r>
      <w:r w:rsidRPr="00233777">
        <w:rPr>
          <w:i/>
          <w:iCs/>
          <w:lang w:val="fr-CH"/>
        </w:rPr>
        <w:t>). Intellectual disability: Definition, diagnosis, classification, and systems of supports</w:t>
      </w:r>
      <w:r w:rsidRPr="00233777">
        <w:rPr>
          <w:lang w:val="fr-CH"/>
        </w:rPr>
        <w:t xml:space="preserve"> (12</w:t>
      </w:r>
      <w:r w:rsidRPr="00233777">
        <w:rPr>
          <w:vertAlign w:val="superscript"/>
          <w:lang w:val="fr-CH"/>
        </w:rPr>
        <w:t>th</w:t>
      </w:r>
      <w:r w:rsidRPr="00233777">
        <w:rPr>
          <w:lang w:val="fr-CH"/>
        </w:rPr>
        <w:t xml:space="preserve"> ed.). American Association on Intellectual and Developmental Disabilities.</w:t>
      </w:r>
    </w:p>
    <w:p w14:paraId="635BB93B" w14:textId="77777777" w:rsidR="00930227" w:rsidRPr="00233777" w:rsidRDefault="00930227" w:rsidP="00930227">
      <w:pPr>
        <w:pStyle w:val="Literaturverzeichnis"/>
        <w:jc w:val="both"/>
        <w:rPr>
          <w:lang w:val="fr-CH"/>
        </w:rPr>
      </w:pPr>
      <w:r w:rsidRPr="00233777">
        <w:rPr>
          <w:lang w:val="fr-CH"/>
        </w:rPr>
        <w:t xml:space="preserve">Sparrow, S. S., Balla, D. A., &amp; Cicchetti, D. V. (1984). </w:t>
      </w:r>
      <w:r w:rsidRPr="00233777">
        <w:rPr>
          <w:i/>
          <w:iCs/>
          <w:lang w:val="fr-CH"/>
        </w:rPr>
        <w:t>The Vineland Adaptive Behavior Scales</w:t>
      </w:r>
      <w:r w:rsidRPr="00233777">
        <w:rPr>
          <w:lang w:val="fr-CH"/>
        </w:rPr>
        <w:t>. American Guidance Service.</w:t>
      </w:r>
    </w:p>
    <w:p w14:paraId="50DE0B23" w14:textId="77777777" w:rsidR="00930227" w:rsidRPr="00233777" w:rsidRDefault="00930227" w:rsidP="00930227">
      <w:pPr>
        <w:pStyle w:val="Literaturverzeichnis"/>
        <w:jc w:val="both"/>
        <w:rPr>
          <w:lang w:val="fr-CH"/>
        </w:rPr>
      </w:pPr>
      <w:r w:rsidRPr="00233777">
        <w:rPr>
          <w:lang w:val="fr-CH"/>
        </w:rPr>
        <w:t xml:space="preserve">Sparrow, S. S., Cicchetti, D. V., &amp; Balla, D. A. (2005). </w:t>
      </w:r>
      <w:r w:rsidRPr="00233777">
        <w:rPr>
          <w:i/>
          <w:iCs/>
          <w:lang w:val="fr-CH"/>
        </w:rPr>
        <w:t xml:space="preserve">Vineland Adaptive Behavior Scales </w:t>
      </w:r>
      <w:r w:rsidRPr="00233777">
        <w:rPr>
          <w:lang w:val="fr-CH"/>
        </w:rPr>
        <w:t>(2</w:t>
      </w:r>
      <w:r w:rsidRPr="00233777">
        <w:rPr>
          <w:vertAlign w:val="superscript"/>
          <w:lang w:val="fr-CH"/>
        </w:rPr>
        <w:t>nd </w:t>
      </w:r>
      <w:r w:rsidRPr="00233777">
        <w:rPr>
          <w:lang w:val="fr-CH"/>
        </w:rPr>
        <w:t>ed.). American Guidance Service.</w:t>
      </w:r>
    </w:p>
    <w:p w14:paraId="715E1D78" w14:textId="77777777" w:rsidR="00930227" w:rsidRPr="00233777" w:rsidRDefault="00930227" w:rsidP="00930227">
      <w:pPr>
        <w:pStyle w:val="Literaturverzeichnis"/>
        <w:jc w:val="both"/>
        <w:rPr>
          <w:lang w:val="fr-CH"/>
        </w:rPr>
      </w:pPr>
      <w:r w:rsidRPr="00233777">
        <w:rPr>
          <w:lang w:val="fr-CH"/>
        </w:rPr>
        <w:t xml:space="preserve">Sparrow, S. S., Cicchetti, D. V., &amp; Saulnier, C. A. (2016). </w:t>
      </w:r>
      <w:r w:rsidRPr="00233777">
        <w:rPr>
          <w:i/>
          <w:iCs/>
          <w:lang w:val="fr-CH"/>
        </w:rPr>
        <w:t xml:space="preserve">Vineland Adaptive Behavior Scales, Third Edition </w:t>
      </w:r>
      <w:r w:rsidRPr="00233777">
        <w:rPr>
          <w:lang w:val="fr-CH"/>
        </w:rPr>
        <w:t>(3</w:t>
      </w:r>
      <w:r w:rsidRPr="00233777">
        <w:rPr>
          <w:vertAlign w:val="superscript"/>
          <w:lang w:val="fr-CH"/>
        </w:rPr>
        <w:t>rd</w:t>
      </w:r>
      <w:r w:rsidRPr="00233777">
        <w:rPr>
          <w:lang w:val="fr-CH"/>
        </w:rPr>
        <w:t xml:space="preserve"> ed.). Pearson.</w:t>
      </w:r>
    </w:p>
    <w:p w14:paraId="429D8A0B" w14:textId="77777777" w:rsidR="00930227" w:rsidRPr="00233777" w:rsidRDefault="00930227" w:rsidP="00930227">
      <w:pPr>
        <w:pStyle w:val="Literaturverzeichnis"/>
        <w:jc w:val="both"/>
        <w:rPr>
          <w:lang w:val="fr-CH"/>
        </w:rPr>
      </w:pPr>
      <w:r w:rsidRPr="00233777">
        <w:rPr>
          <w:lang w:val="fr-CH"/>
        </w:rPr>
        <w:t xml:space="preserve">van der Aa, H., Jonker, F., de Looff, P., &amp; Didden, R. (2023). A Study into the Relationship Between Adaptive Skills and Visual Impairment in Individuals with and Without Intellectual Disabilities. </w:t>
      </w:r>
      <w:r w:rsidRPr="00233777">
        <w:rPr>
          <w:i/>
          <w:iCs/>
          <w:lang w:val="fr-CH"/>
        </w:rPr>
        <w:t>Journal of Visual Impairment &amp; Blindness</w:t>
      </w:r>
      <w:r w:rsidRPr="00233777">
        <w:rPr>
          <w:lang w:val="fr-CH"/>
        </w:rPr>
        <w:t xml:space="preserve">, </w:t>
      </w:r>
      <w:r w:rsidRPr="00233777">
        <w:rPr>
          <w:i/>
          <w:iCs/>
          <w:lang w:val="fr-CH"/>
        </w:rPr>
        <w:t>117</w:t>
      </w:r>
      <w:r w:rsidRPr="00233777">
        <w:rPr>
          <w:lang w:val="fr-CH"/>
        </w:rPr>
        <w:t xml:space="preserve">(3), 224-232. </w:t>
      </w:r>
      <w:hyperlink r:id="rId46" w:history="1">
        <w:r w:rsidRPr="00233777">
          <w:rPr>
            <w:rStyle w:val="Hyperlink"/>
            <w:lang w:val="fr-CH"/>
          </w:rPr>
          <w:t>https://doi.org/10.1177/0145482x231180615</w:t>
        </w:r>
      </w:hyperlink>
      <w:r w:rsidRPr="00233777">
        <w:rPr>
          <w:lang w:val="fr-CH"/>
        </w:rPr>
        <w:t xml:space="preserve"> </w:t>
      </w:r>
    </w:p>
    <w:p w14:paraId="30C58ECE" w14:textId="6BB26360" w:rsidR="00930227" w:rsidRPr="00233777" w:rsidRDefault="00930227" w:rsidP="00065EAC">
      <w:pPr>
        <w:pStyle w:val="Literaturverzeichnis"/>
        <w:rPr>
          <w:lang w:val="fr-CH"/>
        </w:rPr>
      </w:pPr>
      <w:r w:rsidRPr="00233777">
        <w:rPr>
          <w:lang w:val="fr-CH"/>
        </w:rPr>
        <w:t>Veldhorst, C., Vervloed, M., Kef, S., &amp; St</w:t>
      </w:r>
      <w:r w:rsidR="00065EAC">
        <w:rPr>
          <w:lang w:val="fr-CH"/>
        </w:rPr>
        <w:t>e</w:t>
      </w:r>
      <w:r w:rsidRPr="00233777">
        <w:rPr>
          <w:lang w:val="fr-CH"/>
        </w:rPr>
        <w:t>enbergen, B. (2022). A scoping review of longitudinal studies of children with vision impairment</w:t>
      </w:r>
      <w:r w:rsidRPr="00233777">
        <w:rPr>
          <w:i/>
          <w:iCs/>
          <w:lang w:val="fr-CH"/>
        </w:rPr>
        <w:t>. British Journal of Visual Impairment</w:t>
      </w:r>
      <w:r w:rsidRPr="00233777">
        <w:rPr>
          <w:lang w:val="fr-CH"/>
        </w:rPr>
        <w:t xml:space="preserve">, </w:t>
      </w:r>
      <w:r w:rsidRPr="00233777">
        <w:rPr>
          <w:i/>
          <w:iCs/>
          <w:lang w:val="fr-CH"/>
        </w:rPr>
        <w:t>41</w:t>
      </w:r>
      <w:r w:rsidRPr="00233777">
        <w:rPr>
          <w:lang w:val="fr-CH"/>
        </w:rPr>
        <w:t xml:space="preserve">(3), 587-609. </w:t>
      </w:r>
      <w:hyperlink r:id="rId47" w:history="1">
        <w:r w:rsidR="00065EAC" w:rsidRPr="00046422">
          <w:rPr>
            <w:rStyle w:val="Hyperlink"/>
            <w:lang w:val="fr-CH"/>
          </w:rPr>
          <w:t>https://doi.org/10.1177/02646196211072432</w:t>
        </w:r>
      </w:hyperlink>
      <w:r w:rsidRPr="00233777">
        <w:rPr>
          <w:lang w:val="fr-CH"/>
        </w:rPr>
        <w:t xml:space="preserve"> </w:t>
      </w:r>
      <w:bookmarkEnd w:id="0"/>
    </w:p>
    <w:sectPr w:rsidR="00930227" w:rsidRPr="00233777" w:rsidSect="00BD096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ED50" w14:textId="77777777" w:rsidR="00BD0967" w:rsidRDefault="00BD0967">
      <w:pPr>
        <w:spacing w:line="240" w:lineRule="auto"/>
      </w:pPr>
      <w:r>
        <w:separator/>
      </w:r>
    </w:p>
  </w:endnote>
  <w:endnote w:type="continuationSeparator" w:id="0">
    <w:p w14:paraId="61631D2C" w14:textId="77777777" w:rsidR="00BD0967" w:rsidRDefault="00BD0967">
      <w:pPr>
        <w:spacing w:line="240" w:lineRule="auto"/>
      </w:pPr>
      <w:r>
        <w:continuationSeparator/>
      </w:r>
    </w:p>
  </w:endnote>
  <w:endnote w:type="continuationNotice" w:id="1">
    <w:p w14:paraId="1DFA7743" w14:textId="77777777" w:rsidR="00BD0967" w:rsidRDefault="00BD09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D5B330C-F6AE-456F-93E8-0D10AB02F163}"/>
    <w:embedBold r:id="rId2" w:fontKey="{ACD16A74-A5A7-4589-A2F9-208E8F8B2413}"/>
    <w:embedItalic r:id="rId3" w:fontKey="{495E5367-10ED-493C-9A7E-10B2AA0E335E}"/>
    <w:embedBoldItalic r:id="rId4" w:fontKey="{1ABA173D-9F4B-4C43-9193-D24056F0FBF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Yu Gothic"/>
    <w:charset w:val="80"/>
    <w:family w:val="auto"/>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embedRegular r:id="rId5" w:fontKey="{60F57AB2-6FCF-4885-ABB9-60DB9CE4DA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6BF9" w14:textId="77777777" w:rsidR="007C77AE" w:rsidRDefault="007C77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5485" w14:textId="777325E1" w:rsidR="00BB172C" w:rsidRPr="005236AD" w:rsidRDefault="006E210A" w:rsidP="005236AD">
    <w:pPr>
      <w:pStyle w:val="Fuzeile"/>
      <w:rPr>
        <w:szCs w:val="22"/>
      </w:rPr>
    </w:pPr>
    <w:r>
      <w:rPr>
        <w:noProof/>
      </w:rPr>
      <w:drawing>
        <wp:anchor distT="0" distB="0" distL="114300" distR="114300" simplePos="0" relativeHeight="251658241" behindDoc="1" locked="0" layoutInCell="1" allowOverlap="1" wp14:anchorId="01C2B688" wp14:editId="25E1314F">
          <wp:simplePos x="0" y="0"/>
          <wp:positionH relativeFrom="column">
            <wp:posOffset>-671830</wp:posOffset>
          </wp:positionH>
          <wp:positionV relativeFrom="paragraph">
            <wp:posOffset>-726440</wp:posOffset>
          </wp:positionV>
          <wp:extent cx="101861" cy="849482"/>
          <wp:effectExtent l="0" t="0" r="0" b="0"/>
          <wp:wrapNone/>
          <wp:docPr id="1697158863" name="Grafik 169715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E5A0" w14:textId="77777777" w:rsidR="007C77AE" w:rsidRDefault="007C77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D0938" w14:textId="77777777" w:rsidR="00BD0967" w:rsidRPr="00777A2F" w:rsidRDefault="00BD096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0B8BC56" w14:textId="77777777" w:rsidR="00BD0967" w:rsidRDefault="00BD0967">
      <w:r>
        <w:continuationSeparator/>
      </w:r>
    </w:p>
  </w:footnote>
  <w:footnote w:type="continuationNotice" w:id="1">
    <w:p w14:paraId="7071385E" w14:textId="77777777" w:rsidR="00BD0967" w:rsidRDefault="00BD09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FD3E" w14:textId="77777777" w:rsidR="007C77AE" w:rsidRDefault="007C77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A856" w14:textId="373854EC"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2209AFD3" wp14:editId="68AAF696">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F8FDD39">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2056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B752BA">
      <w:rPr>
        <w:lang w:val="fr-CH"/>
      </w:rPr>
      <w:t>f</w:t>
    </w:r>
    <w:r w:rsidR="00037AE3">
      <w:rPr>
        <w:lang w:val="fr-CH"/>
      </w:rPr>
      <w:t>essionnelles</w:t>
    </w:r>
    <w:r w:rsidR="007B448B">
      <w:rPr>
        <w:lang w:val="fr-CH"/>
      </w:rPr>
      <w:tab/>
    </w:r>
    <w:r w:rsidR="007B448B">
      <w:rPr>
        <w:lang w:val="fr-CH"/>
      </w:rPr>
      <w:tab/>
    </w:r>
    <w:r w:rsidR="007B448B" w:rsidRPr="00ED473A">
      <w:rPr>
        <w:b w:val="0"/>
        <w:bCs/>
        <w:lang w:val="fr-CH"/>
      </w:rPr>
      <w:t>Revue Suisse de Pédagogie Spécialisée, Vol.</w:t>
    </w:r>
    <w:r w:rsidR="004457B0">
      <w:rPr>
        <w:b w:val="0"/>
        <w:bCs/>
        <w:lang w:val="fr-CH"/>
      </w:rPr>
      <w:t>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1782083C" w14:textId="074F47A7" w:rsidR="00BB172C" w:rsidRDefault="00B7489C" w:rsidP="00742C8B">
    <w:pPr>
      <w:pStyle w:val="Themenschwerpunkt"/>
    </w:pPr>
    <w:r w:rsidRPr="006555BD">
      <w:rPr>
        <w:b w:val="0"/>
        <w:bCs/>
        <w:lang w:val="fr-CH"/>
      </w:rPr>
      <w:t xml:space="preserve">| VARIA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3D21" w14:textId="77777777" w:rsidR="007C77AE" w:rsidRDefault="007C77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FCF1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0EB0C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4F8EE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8C67C9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E8A05B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DF20B4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95057F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AAB48FD"/>
    <w:multiLevelType w:val="hybridMultilevel"/>
    <w:tmpl w:val="020C02A8"/>
    <w:lvl w:ilvl="0" w:tplc="B07AAA76">
      <w:start w:val="1"/>
      <w:numFmt w:val="bullet"/>
      <w:lvlText w:val="-"/>
      <w:lvlJc w:val="left"/>
      <w:pPr>
        <w:ind w:left="72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3182FE2"/>
    <w:multiLevelType w:val="multilevel"/>
    <w:tmpl w:val="D062E6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1B237D"/>
    <w:multiLevelType w:val="hybridMultilevel"/>
    <w:tmpl w:val="30D245AC"/>
    <w:lvl w:ilvl="0" w:tplc="F71694CE">
      <w:start w:val="1"/>
      <w:numFmt w:val="bullet"/>
      <w:lvlText w:val="-"/>
      <w:lvlJc w:val="left"/>
      <w:pPr>
        <w:ind w:left="72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7B006F17"/>
    <w:multiLevelType w:val="multilevel"/>
    <w:tmpl w:val="A282F9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671034576">
    <w:abstractNumId w:val="13"/>
  </w:num>
  <w:num w:numId="5" w16cid:durableId="695884051">
    <w:abstractNumId w:val="11"/>
  </w:num>
  <w:num w:numId="6" w16cid:durableId="1884710320">
    <w:abstractNumId w:val="9"/>
  </w:num>
  <w:num w:numId="7" w16cid:durableId="1757284962">
    <w:abstractNumId w:val="12"/>
  </w:num>
  <w:num w:numId="8" w16cid:durableId="1055660395">
    <w:abstractNumId w:val="6"/>
  </w:num>
  <w:num w:numId="9" w16cid:durableId="33434329">
    <w:abstractNumId w:val="5"/>
  </w:num>
  <w:num w:numId="10" w16cid:durableId="1207523888">
    <w:abstractNumId w:val="4"/>
  </w:num>
  <w:num w:numId="11" w16cid:durableId="466092665">
    <w:abstractNumId w:val="3"/>
  </w:num>
  <w:num w:numId="12" w16cid:durableId="199435873">
    <w:abstractNumId w:val="2"/>
  </w:num>
  <w:num w:numId="13" w16cid:durableId="44644584">
    <w:abstractNumId w:val="1"/>
  </w:num>
  <w:num w:numId="14" w16cid:durableId="1818247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3A"/>
    <w:rsid w:val="00016BFF"/>
    <w:rsid w:val="00024143"/>
    <w:rsid w:val="00026471"/>
    <w:rsid w:val="000302CB"/>
    <w:rsid w:val="0003314D"/>
    <w:rsid w:val="000352CE"/>
    <w:rsid w:val="00037AE3"/>
    <w:rsid w:val="00053353"/>
    <w:rsid w:val="00055147"/>
    <w:rsid w:val="0006361A"/>
    <w:rsid w:val="00065EAC"/>
    <w:rsid w:val="000720AC"/>
    <w:rsid w:val="000759D7"/>
    <w:rsid w:val="0008035C"/>
    <w:rsid w:val="00096F04"/>
    <w:rsid w:val="000B5BB8"/>
    <w:rsid w:val="000E04DC"/>
    <w:rsid w:val="000E1FCD"/>
    <w:rsid w:val="000E6A66"/>
    <w:rsid w:val="000F0956"/>
    <w:rsid w:val="000F4649"/>
    <w:rsid w:val="000F4B54"/>
    <w:rsid w:val="000F5288"/>
    <w:rsid w:val="0010334E"/>
    <w:rsid w:val="0010466F"/>
    <w:rsid w:val="001114E2"/>
    <w:rsid w:val="00111697"/>
    <w:rsid w:val="00111C7E"/>
    <w:rsid w:val="001150A5"/>
    <w:rsid w:val="00115EF5"/>
    <w:rsid w:val="001161D6"/>
    <w:rsid w:val="0012022C"/>
    <w:rsid w:val="00120CBF"/>
    <w:rsid w:val="0015096B"/>
    <w:rsid w:val="00151BCA"/>
    <w:rsid w:val="00153133"/>
    <w:rsid w:val="0015364E"/>
    <w:rsid w:val="0015530C"/>
    <w:rsid w:val="00157D7E"/>
    <w:rsid w:val="00167858"/>
    <w:rsid w:val="0017053F"/>
    <w:rsid w:val="0017731A"/>
    <w:rsid w:val="001820A7"/>
    <w:rsid w:val="00196AC6"/>
    <w:rsid w:val="001A2EEC"/>
    <w:rsid w:val="001A2FE0"/>
    <w:rsid w:val="001A610F"/>
    <w:rsid w:val="001B05BD"/>
    <w:rsid w:val="001B16E8"/>
    <w:rsid w:val="001B25F3"/>
    <w:rsid w:val="001B7781"/>
    <w:rsid w:val="001D3BFB"/>
    <w:rsid w:val="001E3198"/>
    <w:rsid w:val="001E3BE9"/>
    <w:rsid w:val="001F1E1E"/>
    <w:rsid w:val="00202A19"/>
    <w:rsid w:val="00203670"/>
    <w:rsid w:val="0020467E"/>
    <w:rsid w:val="00233777"/>
    <w:rsid w:val="00235A6C"/>
    <w:rsid w:val="002443A6"/>
    <w:rsid w:val="00257801"/>
    <w:rsid w:val="00276B2C"/>
    <w:rsid w:val="00284EA0"/>
    <w:rsid w:val="002862AA"/>
    <w:rsid w:val="002950AE"/>
    <w:rsid w:val="002B2F5A"/>
    <w:rsid w:val="002C5235"/>
    <w:rsid w:val="002C7FE7"/>
    <w:rsid w:val="002E13B6"/>
    <w:rsid w:val="002E485C"/>
    <w:rsid w:val="002E5374"/>
    <w:rsid w:val="002E7D8D"/>
    <w:rsid w:val="0030447C"/>
    <w:rsid w:val="00307EC7"/>
    <w:rsid w:val="00322024"/>
    <w:rsid w:val="003222A6"/>
    <w:rsid w:val="00354AC9"/>
    <w:rsid w:val="00365730"/>
    <w:rsid w:val="003660B4"/>
    <w:rsid w:val="00375A58"/>
    <w:rsid w:val="00377970"/>
    <w:rsid w:val="003819B7"/>
    <w:rsid w:val="00382314"/>
    <w:rsid w:val="00382636"/>
    <w:rsid w:val="00383074"/>
    <w:rsid w:val="00386CFF"/>
    <w:rsid w:val="003A0EA7"/>
    <w:rsid w:val="003A2717"/>
    <w:rsid w:val="003B4C81"/>
    <w:rsid w:val="003B4F57"/>
    <w:rsid w:val="003C5F8E"/>
    <w:rsid w:val="003D221C"/>
    <w:rsid w:val="003D502F"/>
    <w:rsid w:val="003E022D"/>
    <w:rsid w:val="003E0292"/>
    <w:rsid w:val="003E0578"/>
    <w:rsid w:val="003F2D45"/>
    <w:rsid w:val="003F5B1B"/>
    <w:rsid w:val="003F6A6B"/>
    <w:rsid w:val="003F78C2"/>
    <w:rsid w:val="004027D5"/>
    <w:rsid w:val="00404F18"/>
    <w:rsid w:val="004108D3"/>
    <w:rsid w:val="00414332"/>
    <w:rsid w:val="00421D05"/>
    <w:rsid w:val="00426606"/>
    <w:rsid w:val="004338A9"/>
    <w:rsid w:val="00441F45"/>
    <w:rsid w:val="004457B0"/>
    <w:rsid w:val="0045144F"/>
    <w:rsid w:val="00454BCF"/>
    <w:rsid w:val="00467E46"/>
    <w:rsid w:val="0047168D"/>
    <w:rsid w:val="00486270"/>
    <w:rsid w:val="004934B2"/>
    <w:rsid w:val="0049CFCE"/>
    <w:rsid w:val="004A04D3"/>
    <w:rsid w:val="004A2854"/>
    <w:rsid w:val="004A6571"/>
    <w:rsid w:val="004B05CB"/>
    <w:rsid w:val="004B1834"/>
    <w:rsid w:val="004B29F8"/>
    <w:rsid w:val="004B3001"/>
    <w:rsid w:val="004B3A29"/>
    <w:rsid w:val="004C13EB"/>
    <w:rsid w:val="004C4A76"/>
    <w:rsid w:val="004C7424"/>
    <w:rsid w:val="004D542D"/>
    <w:rsid w:val="004D58AC"/>
    <w:rsid w:val="004E232F"/>
    <w:rsid w:val="004F1139"/>
    <w:rsid w:val="004F5C23"/>
    <w:rsid w:val="0050104B"/>
    <w:rsid w:val="005055D5"/>
    <w:rsid w:val="0051447C"/>
    <w:rsid w:val="00521559"/>
    <w:rsid w:val="005236AD"/>
    <w:rsid w:val="00530E98"/>
    <w:rsid w:val="00533DA1"/>
    <w:rsid w:val="005360CE"/>
    <w:rsid w:val="00546490"/>
    <w:rsid w:val="0056578A"/>
    <w:rsid w:val="0056595B"/>
    <w:rsid w:val="00571C0D"/>
    <w:rsid w:val="00572C4C"/>
    <w:rsid w:val="005731E0"/>
    <w:rsid w:val="0057605E"/>
    <w:rsid w:val="00576E09"/>
    <w:rsid w:val="00577261"/>
    <w:rsid w:val="00581DB2"/>
    <w:rsid w:val="00585ED0"/>
    <w:rsid w:val="00594747"/>
    <w:rsid w:val="00594844"/>
    <w:rsid w:val="005A646E"/>
    <w:rsid w:val="005A6F41"/>
    <w:rsid w:val="005A7AE7"/>
    <w:rsid w:val="005D15B8"/>
    <w:rsid w:val="005E150A"/>
    <w:rsid w:val="005E7DD5"/>
    <w:rsid w:val="006111D5"/>
    <w:rsid w:val="006111F5"/>
    <w:rsid w:val="00623E11"/>
    <w:rsid w:val="006321CA"/>
    <w:rsid w:val="006411DE"/>
    <w:rsid w:val="006448C5"/>
    <w:rsid w:val="00647174"/>
    <w:rsid w:val="006555BD"/>
    <w:rsid w:val="006676E2"/>
    <w:rsid w:val="00674377"/>
    <w:rsid w:val="00682B8C"/>
    <w:rsid w:val="00685EB4"/>
    <w:rsid w:val="0069439B"/>
    <w:rsid w:val="006A2BB4"/>
    <w:rsid w:val="006A4C05"/>
    <w:rsid w:val="006B5540"/>
    <w:rsid w:val="006C2B84"/>
    <w:rsid w:val="006C3DFC"/>
    <w:rsid w:val="006D3B7B"/>
    <w:rsid w:val="006D5D28"/>
    <w:rsid w:val="006E1D42"/>
    <w:rsid w:val="006E210A"/>
    <w:rsid w:val="006E260B"/>
    <w:rsid w:val="006F557E"/>
    <w:rsid w:val="00701CB5"/>
    <w:rsid w:val="00702BE5"/>
    <w:rsid w:val="007155B8"/>
    <w:rsid w:val="007373E7"/>
    <w:rsid w:val="007424F5"/>
    <w:rsid w:val="00742C8B"/>
    <w:rsid w:val="0074442C"/>
    <w:rsid w:val="007514CB"/>
    <w:rsid w:val="007551AD"/>
    <w:rsid w:val="00775795"/>
    <w:rsid w:val="00776C3F"/>
    <w:rsid w:val="00777A2F"/>
    <w:rsid w:val="0078484B"/>
    <w:rsid w:val="0078487C"/>
    <w:rsid w:val="00787497"/>
    <w:rsid w:val="00787B6E"/>
    <w:rsid w:val="00795E45"/>
    <w:rsid w:val="007A3489"/>
    <w:rsid w:val="007A75E1"/>
    <w:rsid w:val="007B206C"/>
    <w:rsid w:val="007B250E"/>
    <w:rsid w:val="007B448B"/>
    <w:rsid w:val="007B4F54"/>
    <w:rsid w:val="007B5701"/>
    <w:rsid w:val="007B62B5"/>
    <w:rsid w:val="007C0D96"/>
    <w:rsid w:val="007C5AB3"/>
    <w:rsid w:val="007C77AE"/>
    <w:rsid w:val="007E78D0"/>
    <w:rsid w:val="007F43B0"/>
    <w:rsid w:val="007F5E1D"/>
    <w:rsid w:val="008152E5"/>
    <w:rsid w:val="00822118"/>
    <w:rsid w:val="00830A17"/>
    <w:rsid w:val="008351F7"/>
    <w:rsid w:val="00853805"/>
    <w:rsid w:val="00855097"/>
    <w:rsid w:val="00860C01"/>
    <w:rsid w:val="00862E23"/>
    <w:rsid w:val="00870508"/>
    <w:rsid w:val="00882B9B"/>
    <w:rsid w:val="008854C8"/>
    <w:rsid w:val="00886A3A"/>
    <w:rsid w:val="00890ABB"/>
    <w:rsid w:val="00891E7D"/>
    <w:rsid w:val="008924D4"/>
    <w:rsid w:val="00894EDC"/>
    <w:rsid w:val="008A2229"/>
    <w:rsid w:val="008B2C5D"/>
    <w:rsid w:val="008C12AC"/>
    <w:rsid w:val="008C6EDB"/>
    <w:rsid w:val="008C7DE6"/>
    <w:rsid w:val="008D1807"/>
    <w:rsid w:val="008D4D52"/>
    <w:rsid w:val="008D5616"/>
    <w:rsid w:val="008E0839"/>
    <w:rsid w:val="008F2E4E"/>
    <w:rsid w:val="00912E02"/>
    <w:rsid w:val="00920846"/>
    <w:rsid w:val="00920A21"/>
    <w:rsid w:val="00930227"/>
    <w:rsid w:val="00943B46"/>
    <w:rsid w:val="009552F9"/>
    <w:rsid w:val="00963571"/>
    <w:rsid w:val="009660DC"/>
    <w:rsid w:val="00967D5F"/>
    <w:rsid w:val="00985126"/>
    <w:rsid w:val="00986FA6"/>
    <w:rsid w:val="009A7FF6"/>
    <w:rsid w:val="009C6886"/>
    <w:rsid w:val="009D1208"/>
    <w:rsid w:val="009D300E"/>
    <w:rsid w:val="009D4CCF"/>
    <w:rsid w:val="009D6D5F"/>
    <w:rsid w:val="009E5005"/>
    <w:rsid w:val="009F4CD6"/>
    <w:rsid w:val="009F6A07"/>
    <w:rsid w:val="00A07DD8"/>
    <w:rsid w:val="00A10362"/>
    <w:rsid w:val="00A11404"/>
    <w:rsid w:val="00A22E52"/>
    <w:rsid w:val="00A26905"/>
    <w:rsid w:val="00A37E53"/>
    <w:rsid w:val="00A449EE"/>
    <w:rsid w:val="00A50A1E"/>
    <w:rsid w:val="00A543D6"/>
    <w:rsid w:val="00A55E72"/>
    <w:rsid w:val="00A61330"/>
    <w:rsid w:val="00A707F8"/>
    <w:rsid w:val="00AA2F41"/>
    <w:rsid w:val="00AA3192"/>
    <w:rsid w:val="00AA7D4C"/>
    <w:rsid w:val="00AB7501"/>
    <w:rsid w:val="00AC20F1"/>
    <w:rsid w:val="00AE583E"/>
    <w:rsid w:val="00AE5D15"/>
    <w:rsid w:val="00AE631D"/>
    <w:rsid w:val="00AE7C1D"/>
    <w:rsid w:val="00AF05B3"/>
    <w:rsid w:val="00AF16EB"/>
    <w:rsid w:val="00AF400A"/>
    <w:rsid w:val="00B07B22"/>
    <w:rsid w:val="00B15C49"/>
    <w:rsid w:val="00B23FEC"/>
    <w:rsid w:val="00B30542"/>
    <w:rsid w:val="00B50E21"/>
    <w:rsid w:val="00B54E5C"/>
    <w:rsid w:val="00B71621"/>
    <w:rsid w:val="00B7489C"/>
    <w:rsid w:val="00B74F64"/>
    <w:rsid w:val="00B752BA"/>
    <w:rsid w:val="00B7596B"/>
    <w:rsid w:val="00B94549"/>
    <w:rsid w:val="00BB172C"/>
    <w:rsid w:val="00BB3270"/>
    <w:rsid w:val="00BB3894"/>
    <w:rsid w:val="00BB49FC"/>
    <w:rsid w:val="00BC318A"/>
    <w:rsid w:val="00BC32F4"/>
    <w:rsid w:val="00BD004A"/>
    <w:rsid w:val="00BD0967"/>
    <w:rsid w:val="00BD4FAD"/>
    <w:rsid w:val="00BD74F7"/>
    <w:rsid w:val="00BE5D3C"/>
    <w:rsid w:val="00C037EC"/>
    <w:rsid w:val="00C201F8"/>
    <w:rsid w:val="00C24833"/>
    <w:rsid w:val="00C34BBB"/>
    <w:rsid w:val="00C350DC"/>
    <w:rsid w:val="00C43705"/>
    <w:rsid w:val="00C50710"/>
    <w:rsid w:val="00C63ADB"/>
    <w:rsid w:val="00C72B0C"/>
    <w:rsid w:val="00C77A77"/>
    <w:rsid w:val="00C85052"/>
    <w:rsid w:val="00C90953"/>
    <w:rsid w:val="00CB7AAD"/>
    <w:rsid w:val="00CC1689"/>
    <w:rsid w:val="00CD3867"/>
    <w:rsid w:val="00CF4C21"/>
    <w:rsid w:val="00CF788D"/>
    <w:rsid w:val="00D02DE1"/>
    <w:rsid w:val="00D17F8E"/>
    <w:rsid w:val="00D30491"/>
    <w:rsid w:val="00D32E20"/>
    <w:rsid w:val="00D33603"/>
    <w:rsid w:val="00D45554"/>
    <w:rsid w:val="00D55316"/>
    <w:rsid w:val="00D56388"/>
    <w:rsid w:val="00D614DC"/>
    <w:rsid w:val="00D65100"/>
    <w:rsid w:val="00D74DE7"/>
    <w:rsid w:val="00D75B90"/>
    <w:rsid w:val="00D93F9E"/>
    <w:rsid w:val="00D9463F"/>
    <w:rsid w:val="00D969AF"/>
    <w:rsid w:val="00DA3CEB"/>
    <w:rsid w:val="00DB085C"/>
    <w:rsid w:val="00DB1F8B"/>
    <w:rsid w:val="00DB429A"/>
    <w:rsid w:val="00DB5151"/>
    <w:rsid w:val="00DB5625"/>
    <w:rsid w:val="00DC0602"/>
    <w:rsid w:val="00DC0AB5"/>
    <w:rsid w:val="00DC399A"/>
    <w:rsid w:val="00DE6B7F"/>
    <w:rsid w:val="00DF11B1"/>
    <w:rsid w:val="00DF5157"/>
    <w:rsid w:val="00E03695"/>
    <w:rsid w:val="00E07FAE"/>
    <w:rsid w:val="00E208B2"/>
    <w:rsid w:val="00E23124"/>
    <w:rsid w:val="00E26F3D"/>
    <w:rsid w:val="00E31225"/>
    <w:rsid w:val="00E33F3D"/>
    <w:rsid w:val="00E42E44"/>
    <w:rsid w:val="00E54DD0"/>
    <w:rsid w:val="00E5ADC4"/>
    <w:rsid w:val="00E6236B"/>
    <w:rsid w:val="00E7780E"/>
    <w:rsid w:val="00E8625B"/>
    <w:rsid w:val="00E869A3"/>
    <w:rsid w:val="00E9142E"/>
    <w:rsid w:val="00E96E69"/>
    <w:rsid w:val="00E9740A"/>
    <w:rsid w:val="00EA4342"/>
    <w:rsid w:val="00EA4676"/>
    <w:rsid w:val="00EA484D"/>
    <w:rsid w:val="00EC0A4F"/>
    <w:rsid w:val="00ED473A"/>
    <w:rsid w:val="00EF4C1D"/>
    <w:rsid w:val="00EF7CFB"/>
    <w:rsid w:val="00F11EF0"/>
    <w:rsid w:val="00F1657B"/>
    <w:rsid w:val="00F274A2"/>
    <w:rsid w:val="00F46970"/>
    <w:rsid w:val="00F46BC5"/>
    <w:rsid w:val="00F47AD4"/>
    <w:rsid w:val="00F767F6"/>
    <w:rsid w:val="00F76CB2"/>
    <w:rsid w:val="00F83A13"/>
    <w:rsid w:val="00FA3ADB"/>
    <w:rsid w:val="00FB2600"/>
    <w:rsid w:val="00FB2DAA"/>
    <w:rsid w:val="00FB48D2"/>
    <w:rsid w:val="00FB7742"/>
    <w:rsid w:val="00FC7953"/>
    <w:rsid w:val="00FD5708"/>
    <w:rsid w:val="00FE1D88"/>
    <w:rsid w:val="00FE57F9"/>
    <w:rsid w:val="00FF2E2B"/>
    <w:rsid w:val="00FF397D"/>
    <w:rsid w:val="02490C0F"/>
    <w:rsid w:val="02BEBA5F"/>
    <w:rsid w:val="04226AB9"/>
    <w:rsid w:val="074B509E"/>
    <w:rsid w:val="07F69F3F"/>
    <w:rsid w:val="081CD5A4"/>
    <w:rsid w:val="093209A4"/>
    <w:rsid w:val="094C7310"/>
    <w:rsid w:val="0A5E6E1D"/>
    <w:rsid w:val="0C008DE8"/>
    <w:rsid w:val="0D1C235E"/>
    <w:rsid w:val="0D7F2BD8"/>
    <w:rsid w:val="116B3D4C"/>
    <w:rsid w:val="150B4A08"/>
    <w:rsid w:val="1738705E"/>
    <w:rsid w:val="1C4EDA44"/>
    <w:rsid w:val="1C4FA980"/>
    <w:rsid w:val="1C5B3200"/>
    <w:rsid w:val="1CBC73ED"/>
    <w:rsid w:val="1D9D3D28"/>
    <w:rsid w:val="1DA252D8"/>
    <w:rsid w:val="1E1F7E56"/>
    <w:rsid w:val="212777DA"/>
    <w:rsid w:val="22E052E1"/>
    <w:rsid w:val="261DCE55"/>
    <w:rsid w:val="27792B5A"/>
    <w:rsid w:val="2E2AB0C0"/>
    <w:rsid w:val="2F4F3153"/>
    <w:rsid w:val="307BE758"/>
    <w:rsid w:val="3236F1AF"/>
    <w:rsid w:val="3247DD78"/>
    <w:rsid w:val="32670C54"/>
    <w:rsid w:val="32EAFB1D"/>
    <w:rsid w:val="33415B28"/>
    <w:rsid w:val="33EBF366"/>
    <w:rsid w:val="3411679F"/>
    <w:rsid w:val="363604F3"/>
    <w:rsid w:val="36AB3ABF"/>
    <w:rsid w:val="375675CA"/>
    <w:rsid w:val="37BC06F6"/>
    <w:rsid w:val="3A52EF5D"/>
    <w:rsid w:val="3B02EA51"/>
    <w:rsid w:val="3BF32074"/>
    <w:rsid w:val="3C53C243"/>
    <w:rsid w:val="3EE7E751"/>
    <w:rsid w:val="3F97E245"/>
    <w:rsid w:val="402C97D2"/>
    <w:rsid w:val="408662D7"/>
    <w:rsid w:val="40AAE714"/>
    <w:rsid w:val="41EE2254"/>
    <w:rsid w:val="44C8D2BA"/>
    <w:rsid w:val="47117D78"/>
    <w:rsid w:val="4756E803"/>
    <w:rsid w:val="4831D93B"/>
    <w:rsid w:val="49A970F3"/>
    <w:rsid w:val="4A0D3732"/>
    <w:rsid w:val="4A121813"/>
    <w:rsid w:val="4A57D850"/>
    <w:rsid w:val="4A7BFFDC"/>
    <w:rsid w:val="4B97044F"/>
    <w:rsid w:val="4C00E6EE"/>
    <w:rsid w:val="4C8CBA8A"/>
    <w:rsid w:val="4CECC879"/>
    <w:rsid w:val="4EBF167E"/>
    <w:rsid w:val="4FEF9B74"/>
    <w:rsid w:val="5155EF99"/>
    <w:rsid w:val="53C8DD70"/>
    <w:rsid w:val="5527BAD1"/>
    <w:rsid w:val="57AF5154"/>
    <w:rsid w:val="58F6BAA4"/>
    <w:rsid w:val="5988B272"/>
    <w:rsid w:val="5C7B4E40"/>
    <w:rsid w:val="5CD7DA82"/>
    <w:rsid w:val="5F917478"/>
    <w:rsid w:val="60E2D87E"/>
    <w:rsid w:val="6317A60F"/>
    <w:rsid w:val="64685315"/>
    <w:rsid w:val="64EF78F6"/>
    <w:rsid w:val="658D81B2"/>
    <w:rsid w:val="66A471B4"/>
    <w:rsid w:val="6A75407C"/>
    <w:rsid w:val="6BA64BAE"/>
    <w:rsid w:val="71B480C1"/>
    <w:rsid w:val="779BCC76"/>
    <w:rsid w:val="7A515C43"/>
    <w:rsid w:val="7AF29D16"/>
    <w:rsid w:val="7B7CCBCA"/>
    <w:rsid w:val="7BDDBF3D"/>
    <w:rsid w:val="7C239DA0"/>
    <w:rsid w:val="7DD4B924"/>
    <w:rsid w:val="7E6E05D7"/>
    <w:rsid w:val="7E9B253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00A38"/>
  <w15:docId w15:val="{00D2869F-9DC6-4F8B-A8F5-8CF8EC1C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rsid w:val="00203670"/>
    <w:rPr>
      <w:rFonts w:eastAsiaTheme="majorEastAsia" w:cstheme="majorBidi"/>
      <w:b/>
      <w:bCs/>
      <w:color w:val="D31932" w:themeColor="accent1"/>
      <w:spacing w:val="20"/>
      <w:sz w:val="28"/>
      <w:szCs w:val="28"/>
      <w:lang w:val="de-CH"/>
    </w:rPr>
  </w:style>
  <w:style w:type="character" w:styleId="Hervorhebung">
    <w:name w:val="Emphasis"/>
    <w:basedOn w:val="Absatz-Standardschriftart"/>
    <w:uiPriority w:val="20"/>
    <w:qFormat/>
    <w:rsid w:val="00775795"/>
    <w:rPr>
      <w:i/>
      <w:iCs/>
    </w:rPr>
  </w:style>
  <w:style w:type="character" w:customStyle="1" w:styleId="berschrift2Zchn">
    <w:name w:val="Überschrift 2 Zchn"/>
    <w:basedOn w:val="Absatz-Standardschriftart"/>
    <w:link w:val="berschrift2"/>
    <w:uiPriority w:val="9"/>
    <w:rsid w:val="0015530C"/>
    <w:rPr>
      <w:rFonts w:eastAsiaTheme="majorEastAsia" w:cs="Open Sans SemiCondensed"/>
      <w:b/>
      <w:bCs/>
      <w:szCs w:val="24"/>
      <w:lang w:val="de-CH"/>
    </w:rPr>
  </w:style>
  <w:style w:type="character" w:customStyle="1" w:styleId="berschrift1Zchn">
    <w:name w:val="Überschrift 1 Zchn"/>
    <w:basedOn w:val="Absatz-Standardschriftart"/>
    <w:link w:val="berschrift1"/>
    <w:uiPriority w:val="1"/>
    <w:rsid w:val="0015530C"/>
    <w:rPr>
      <w:rFonts w:eastAsiaTheme="majorEastAsia" w:cs="Open Sans SemiCondensed"/>
      <w:b/>
      <w:bCs/>
      <w:color w:val="000000" w:themeColor="text1"/>
      <w:sz w:val="24"/>
      <w:szCs w:val="32"/>
      <w:lang w:val="de-CH"/>
    </w:rPr>
  </w:style>
  <w:style w:type="table" w:styleId="Gitternetztabelle4Akzent5">
    <w:name w:val="Grid Table 4 Accent 5"/>
    <w:basedOn w:val="NormaleTabelle"/>
    <w:uiPriority w:val="49"/>
    <w:rsid w:val="00A22E52"/>
    <w:pPr>
      <w:spacing w:after="0"/>
    </w:pPr>
    <w:rPr>
      <w:rFonts w:asciiTheme="minorHAnsi" w:hAnsiTheme="minorHAnsi"/>
      <w:spacing w:val="0"/>
      <w:sz w:val="22"/>
      <w:szCs w:val="22"/>
      <w:lang w:val="fr-CH"/>
    </w:r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color w:val="FFFFFF" w:themeColor="background1"/>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insideH w:val="nil"/>
          <w:insideV w:val="nil"/>
        </w:tcBorders>
        <w:shd w:val="clear" w:color="auto" w:fill="5F9FBC" w:themeFill="accent5"/>
      </w:tcPr>
    </w:tblStylePr>
    <w:tblStylePr w:type="lastRow">
      <w:rPr>
        <w:b/>
        <w:bCs/>
      </w:rPr>
      <w:tblPr/>
      <w:tcPr>
        <w:tcBorders>
          <w:top w:val="double" w:sz="4" w:space="0" w:color="5F9FBC" w:themeColor="accent5"/>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paragraph" w:styleId="Listenabsatz">
    <w:name w:val="List Paragraph"/>
    <w:basedOn w:val="Standard"/>
    <w:rsid w:val="007C0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eader" Target="header3.xml"/><Relationship Id="rId26" Type="http://schemas.openxmlformats.org/officeDocument/2006/relationships/hyperlink" Target="https://doi.org/10.1016/j.ridd.2018.12.003" TargetMode="External"/><Relationship Id="rId39" Type="http://schemas.openxmlformats.org/officeDocument/2006/relationships/hyperlink" Target="https://doi.org/10.1016/j.ridd.2011.07.030"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anthropological-notebooks.zrc-sazu.si/Notebooks/article/view/191" TargetMode="External"/><Relationship Id="rId42" Type="http://schemas.openxmlformats.org/officeDocument/2006/relationships/hyperlink" Target="https://psycnet.apa.org/record/1988-37364-001" TargetMode="External"/><Relationship Id="rId47" Type="http://schemas.openxmlformats.org/officeDocument/2006/relationships/hyperlink" Target="https://doi.org/10.1177/0264619621107243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mailto:genevieve.petitpierre@unifr.ch" TargetMode="External"/><Relationship Id="rId33" Type="http://schemas.openxmlformats.org/officeDocument/2006/relationships/hyperlink" Target="https://doi.org/10.1080/21622965.2015.1129608" TargetMode="External"/><Relationship Id="rId38" Type="http://schemas.openxmlformats.org/officeDocument/2006/relationships/hyperlink" Target="https://doi.org/10.4102/sajcd.v62i1.119" TargetMode="External"/><Relationship Id="rId46" Type="http://schemas.openxmlformats.org/officeDocument/2006/relationships/hyperlink" Target="https://doi.org/10.1177/0145482x231180615"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https://doi.org/10.1177/02646196231187543" TargetMode="External"/><Relationship Id="rId41" Type="http://schemas.openxmlformats.org/officeDocument/2006/relationships/hyperlink" Target="https://www.who.int/fr/news-room/fact-sheets/detail/blindness-and-visual-impair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1-08" TargetMode="External"/><Relationship Id="rId24" Type="http://schemas.openxmlformats.org/officeDocument/2006/relationships/hyperlink" Target="mailto:stefania.garbellini@unifr.ch" TargetMode="External"/><Relationship Id="rId32" Type="http://schemas.openxmlformats.org/officeDocument/2006/relationships/hyperlink" Target="https://doi.org/10.1080/15377903.2014.979384" TargetMode="External"/><Relationship Id="rId37" Type="http://schemas.openxmlformats.org/officeDocument/2006/relationships/hyperlink" Target="https://doi.org/10.1177/0145482X0209600505" TargetMode="External"/><Relationship Id="rId40" Type="http://schemas.openxmlformats.org/officeDocument/2006/relationships/hyperlink" Target="https://doi.org/10.1186/s12874-018-0611-x" TargetMode="External"/><Relationship Id="rId45" Type="http://schemas.openxmlformats.org/officeDocument/2006/relationships/hyperlink" Target="https://doi.org/10.1080/20473869.2022.2137953"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valerie.caron@unifr.ch" TargetMode="External"/><Relationship Id="rId28" Type="http://schemas.openxmlformats.org/officeDocument/2006/relationships/hyperlink" Target="https://doi.org/10.1123/apaq.2020-0082" TargetMode="External"/><Relationship Id="rId36" Type="http://schemas.openxmlformats.org/officeDocument/2006/relationships/hyperlink" Target="https://doi.org/10.1111/jar.13044"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ilkogretim-online.org.tr" TargetMode="External"/><Relationship Id="rId44" Type="http://schemas.openxmlformats.org/officeDocument/2006/relationships/hyperlink" Target="https://doi.org/10.5281/zenodo.33790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www.ucba.ch/fileadmin/pdfs/Forschung/Forschung_FR/Forschungsberichte/Schulalter/Orthmann_Bless_D.__Bless_G.__2022__REVISA_La_situation_actuelle.pdf" TargetMode="External"/><Relationship Id="rId30" Type="http://schemas.openxmlformats.org/officeDocument/2006/relationships/hyperlink" Target="https://doi.org/10.1177/0145482X0610000203" TargetMode="External"/><Relationship Id="rId35" Type="http://schemas.openxmlformats.org/officeDocument/2006/relationships/hyperlink" Target="https://doi.org/10.1007/s40489-015-0055-8" TargetMode="External"/><Relationship Id="rId43" Type="http://schemas.openxmlformats.org/officeDocument/2006/relationships/hyperlink" Target="https://doi.org/10.1016/j.ridd.2011.01.021"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1_Transitions%20scolaires%20et%20professionnelles\Layout%20R01.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CC508D6A-949B-49E9-8E7E-958A07C0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 R01.2024</Template>
  <TotalTime>0</TotalTime>
  <Pages>8</Pages>
  <Words>3794</Words>
  <Characters>20867</Characters>
  <Application>Microsoft Office Word</Application>
  <DocSecurity>0</DocSecurity>
  <Lines>173</Lines>
  <Paragraphs>49</Paragraphs>
  <ScaleCrop>false</ScaleCrop>
  <Company/>
  <LinksUpToDate>false</LinksUpToDate>
  <CharactersWithSpaces>24612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comportement adaptatif des enfants et des jeunes présentant une déficience visuelle</dc:title>
  <dc:creator>Valerie Caron;Stefania Garbellini;Geneviève Petitpierre</dc:creator>
  <cp:keywords>comportement adaptatif, déficience visuelle/Sehschädigung, comportement adaptatif,</cp:keywords>
  <cp:lastModifiedBy>Siffert, Elodie</cp:lastModifiedBy>
  <cp:revision>126</cp:revision>
  <cp:lastPrinted>2024-03-06T10:37:00Z</cp:lastPrinted>
  <dcterms:created xsi:type="dcterms:W3CDTF">2024-01-16T10:27:00Z</dcterms:created>
  <dcterms:modified xsi:type="dcterms:W3CDTF">2024-03-07T10:52:00Z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