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C0AF" w14:textId="1C1255EF" w:rsidR="001114E2" w:rsidRPr="00B56C07" w:rsidRDefault="0072165F" w:rsidP="006D1180">
      <w:pPr>
        <w:pStyle w:val="Titel"/>
        <w:jc w:val="both"/>
        <w:rPr>
          <w:lang w:val="fr-CH"/>
        </w:rPr>
      </w:pPr>
      <w:r w:rsidRPr="00B56C07">
        <w:rPr>
          <w:lang w:val="fr-CH"/>
        </w:rPr>
        <w:t>Quels sont les facteurs de risque et de protection du burnout scolaire</w:t>
      </w:r>
      <w:r w:rsidR="008C6B1E">
        <w:rPr>
          <w:lang w:val="fr-CH"/>
        </w:rPr>
        <w:t> </w:t>
      </w:r>
      <w:r w:rsidRPr="00B56C07">
        <w:rPr>
          <w:lang w:val="fr-CH"/>
        </w:rPr>
        <w:t>?</w:t>
      </w:r>
    </w:p>
    <w:p w14:paraId="1142CF38" w14:textId="409D0DE5" w:rsidR="001114E2" w:rsidRPr="00B56C07" w:rsidRDefault="00FD11BD" w:rsidP="00B10D14">
      <w:pPr>
        <w:pStyle w:val="Untertitel"/>
        <w:rPr>
          <w:rFonts w:cs="Open Sans SemiCondensed"/>
          <w:lang w:val="fr-CH"/>
        </w:rPr>
      </w:pPr>
      <w:r w:rsidRPr="00B56C07">
        <w:rPr>
          <w:rFonts w:asciiTheme="majorHAnsi" w:hAnsiTheme="majorHAnsi" w:cstheme="majorHAnsi"/>
          <w:color w:val="000000"/>
          <w:lang w:val="fr-CH"/>
        </w:rPr>
        <w:t>Similitudes et différences des résultats entre les élèves ayant ou non des mesures de soutien</w:t>
      </w:r>
    </w:p>
    <w:p w14:paraId="4B14626C" w14:textId="561A713E" w:rsidR="001114E2" w:rsidRPr="00B56C07" w:rsidRDefault="00BA34B8" w:rsidP="006C2B84">
      <w:pPr>
        <w:pStyle w:val="Author"/>
        <w:rPr>
          <w:rFonts w:cs="Open Sans SemiCondensed"/>
        </w:rPr>
      </w:pPr>
      <w:r w:rsidRPr="00B56C07">
        <w:rPr>
          <w:rFonts w:cs="Open Sans SemiCondensed"/>
        </w:rPr>
        <w:t>Noémie</w:t>
      </w:r>
      <w:r w:rsidR="00DF03FD">
        <w:rPr>
          <w:rFonts w:cs="Open Sans SemiCondensed"/>
        </w:rPr>
        <w:t> </w:t>
      </w:r>
      <w:r w:rsidRPr="00B56C07">
        <w:rPr>
          <w:rFonts w:cs="Open Sans SemiCondensed"/>
        </w:rPr>
        <w:t>Lacombe</w:t>
      </w:r>
      <w:r w:rsidR="007A75E1" w:rsidRPr="00B56C07">
        <w:rPr>
          <w:rFonts w:cs="Open Sans SemiCondensed"/>
        </w:rPr>
        <w:t xml:space="preserve"> et </w:t>
      </w:r>
      <w:r w:rsidRPr="00B56C07">
        <w:rPr>
          <w:rFonts w:cs="Open Sans SemiCondensed"/>
        </w:rPr>
        <w:t>Myriam</w:t>
      </w:r>
      <w:r w:rsidR="00DF03FD">
        <w:rPr>
          <w:rFonts w:cs="Open Sans SemiCondensed"/>
        </w:rPr>
        <w:t> </w:t>
      </w:r>
      <w:proofErr w:type="spellStart"/>
      <w:r w:rsidRPr="00B56C07">
        <w:rPr>
          <w:rFonts w:cs="Open Sans SemiCondensed"/>
        </w:rPr>
        <w:t>Squil</w:t>
      </w:r>
      <w:r w:rsidR="002D7226" w:rsidRPr="00B56C07">
        <w:rPr>
          <w:rFonts w:cs="Open Sans SemiCondensed"/>
        </w:rPr>
        <w:t>laci</w:t>
      </w:r>
      <w:proofErr w:type="spellEnd"/>
      <w:r w:rsidR="00386CFF" w:rsidRPr="00B56C07">
        <w:rPr>
          <w:rFonts w:cs="Open Sans SemiCondensed"/>
        </w:rPr>
        <w:t xml:space="preserve"> </w:t>
      </w:r>
    </w:p>
    <w:p w14:paraId="6810A339" w14:textId="279F030C" w:rsidR="000352CE" w:rsidRPr="00B56C07" w:rsidRDefault="004C13EB" w:rsidP="000352CE">
      <w:pPr>
        <w:pStyle w:val="Abstract"/>
        <w:rPr>
          <w:rFonts w:cs="Open Sans SemiCondensed"/>
          <w:lang w:val="fr-CH"/>
        </w:rPr>
      </w:pPr>
      <w:r w:rsidRPr="00B56C07">
        <w:rPr>
          <w:rFonts w:cs="Open Sans SemiCondensed"/>
          <w:lang w:val="fr-CH"/>
        </w:rPr>
        <w:t>Résumé</w:t>
      </w:r>
      <w:r w:rsidR="000352CE" w:rsidRPr="00B56C07">
        <w:rPr>
          <w:rFonts w:cs="Open Sans SemiCondensed"/>
          <w:lang w:val="fr-CH"/>
        </w:rPr>
        <w:br/>
      </w:r>
      <w:r w:rsidR="00B56C07" w:rsidRPr="00B56C07">
        <w:rPr>
          <w:rFonts w:asciiTheme="majorHAnsi" w:hAnsiTheme="majorHAnsi" w:cstheme="majorHAnsi"/>
          <w:lang w:val="fr-CH"/>
        </w:rPr>
        <w:t>En Suisse, peu d’études ont mesuré la prévalence du burnout plusieurs années de suite dans une même population, alors qu’il touche environ 10 à 15 % des jeunes selon les études internationales. Cet article présente une recherche dont l’objectif est de documenter la santé des élèves de 11 à 13 ans dans le contexte scolaire au travers de plusieurs temps de mesure. L’article s’intéresse également aux facteurs de risque et de protection du burnout scolaire. Les résultats montrent que les élèves au bénéfice de mesures d’aide ont des moyennes de burnout plus élevées que leurs pairs, au même titre que les élèves qui ont de faibles résultats scolaires ou ceux qui ressentent négativement le climat de classe.</w:t>
      </w:r>
    </w:p>
    <w:p w14:paraId="6152A150" w14:textId="2CE611DC" w:rsidR="001114E2" w:rsidRPr="00A0266E" w:rsidRDefault="00985126" w:rsidP="00A0266E">
      <w:pPr>
        <w:pStyle w:val="Abstract"/>
        <w:rPr>
          <w:rFonts w:cs="Open Sans SemiCondensed"/>
        </w:rPr>
      </w:pPr>
      <w:r w:rsidRPr="00A0266E">
        <w:rPr>
          <w:rFonts w:cs="Open Sans SemiCondensed"/>
        </w:rPr>
        <w:t>Zusammenfassung</w:t>
      </w:r>
      <w:r w:rsidR="00E7780E" w:rsidRPr="00A0266E">
        <w:rPr>
          <w:rFonts w:cs="Open Sans SemiCondensed"/>
        </w:rPr>
        <w:br/>
      </w:r>
      <w:r w:rsidR="00F56CE5" w:rsidRPr="4512DDE9">
        <w:rPr>
          <w:rFonts w:cs="Open Sans SemiCondensed"/>
        </w:rPr>
        <w:t xml:space="preserve">In der Schweiz gibt es nur wenige Studien, welche die Prävalenz von Burnout mehrere Jahre hintereinander in der gleichen Population gemessen haben. Laut internationalen Studien sind jedoch etwa 10 bis 15 Prozent der Jugendlichen davon betroffen. In diesem Artikel wird eine Forschungsarbeit vorgestellt, deren Ziel es war, die Gesundheit von 11- bis 13-Jährigen im schulischen Kontext über mehrere Messzeitpunkte hinweg zu dokumentieren. Der Artikel befasst sich zudem mit den Risiko- und Schutzfaktoren für schulisches Burnout. Die Ergebnisse zeigen, dass die folgenden Gruppen erhöhte </w:t>
      </w:r>
      <w:r w:rsidR="00F56CE5" w:rsidRPr="00656B92">
        <w:rPr>
          <w:rFonts w:cs="Open Sans SemiCondensed"/>
        </w:rPr>
        <w:t>Burnout-Durchschnittswerte haben</w:t>
      </w:r>
      <w:r w:rsidR="00F56CE5" w:rsidRPr="4512DDE9">
        <w:rPr>
          <w:rFonts w:cs="Open Sans SemiCondensed"/>
        </w:rPr>
        <w:t xml:space="preserve">: </w:t>
      </w:r>
      <w:proofErr w:type="spellStart"/>
      <w:proofErr w:type="gramStart"/>
      <w:r w:rsidR="00F56CE5" w:rsidRPr="4512DDE9">
        <w:rPr>
          <w:rFonts w:cs="Open Sans SemiCondensed"/>
        </w:rPr>
        <w:t>Schüler:innen</w:t>
      </w:r>
      <w:proofErr w:type="spellEnd"/>
      <w:proofErr w:type="gramEnd"/>
      <w:r w:rsidR="00F56CE5" w:rsidRPr="4512DDE9">
        <w:rPr>
          <w:rFonts w:cs="Open Sans SemiCondensed"/>
        </w:rPr>
        <w:t xml:space="preserve"> mit Fördermassnahmen, mit schwachen schulischen Leistungen oder Jugendliche, die das Klassenklima als negativ wahrnehmen.</w:t>
      </w:r>
    </w:p>
    <w:p w14:paraId="3A037193" w14:textId="1A995580" w:rsidR="00EA4676" w:rsidRPr="00153133" w:rsidRDefault="00EA4676" w:rsidP="00C24833">
      <w:pPr>
        <w:pStyle w:val="Textkrper3"/>
        <w:rPr>
          <w:lang w:val="fr-CH"/>
        </w:rPr>
      </w:pPr>
      <w:proofErr w:type="gramStart"/>
      <w:r w:rsidRPr="00153133">
        <w:rPr>
          <w:rStyle w:val="Fett"/>
          <w:rFonts w:cs="Open Sans SemiCondensed"/>
          <w:lang w:val="fr-CH"/>
        </w:rPr>
        <w:t>Keywords</w:t>
      </w:r>
      <w:r w:rsidRPr="00153133">
        <w:rPr>
          <w:lang w:val="fr-CH"/>
        </w:rPr>
        <w:t>:</w:t>
      </w:r>
      <w:proofErr w:type="gramEnd"/>
      <w:r w:rsidRPr="00153133">
        <w:rPr>
          <w:lang w:val="fr-CH"/>
        </w:rPr>
        <w:t xml:space="preserve"> </w:t>
      </w:r>
      <w:r w:rsidR="00C208F2">
        <w:rPr>
          <w:lang w:val="fr-CH"/>
        </w:rPr>
        <w:t>b</w:t>
      </w:r>
      <w:r w:rsidR="008F4CF9">
        <w:rPr>
          <w:lang w:val="fr-CH"/>
        </w:rPr>
        <w:t>urnout</w:t>
      </w:r>
      <w:r w:rsidR="00E418BD">
        <w:rPr>
          <w:lang w:val="fr-CH"/>
        </w:rPr>
        <w:t xml:space="preserve">, </w:t>
      </w:r>
      <w:r w:rsidR="009B7EB6">
        <w:rPr>
          <w:lang w:val="fr-CH"/>
        </w:rPr>
        <w:t xml:space="preserve">santé mentale, </w:t>
      </w:r>
      <w:r w:rsidR="0072387F">
        <w:rPr>
          <w:lang w:val="fr-CH"/>
        </w:rPr>
        <w:t>élève</w:t>
      </w:r>
      <w:r w:rsidR="009B7EB6">
        <w:rPr>
          <w:lang w:val="fr-CH"/>
        </w:rPr>
        <w:t>, facteur de risque, facteur de protection</w:t>
      </w:r>
      <w:r w:rsidR="00037AE3">
        <w:rPr>
          <w:lang w:val="fr-CH"/>
        </w:rPr>
        <w:t xml:space="preserve"> / </w:t>
      </w:r>
      <w:r w:rsidR="00C208F2">
        <w:rPr>
          <w:lang w:val="fr-CH"/>
        </w:rPr>
        <w:t>B</w:t>
      </w:r>
      <w:r w:rsidR="0072387F">
        <w:rPr>
          <w:lang w:val="fr-CH"/>
        </w:rPr>
        <w:t>urn</w:t>
      </w:r>
      <w:r w:rsidR="00942CCB">
        <w:rPr>
          <w:lang w:val="fr-CH"/>
        </w:rPr>
        <w:t>o</w:t>
      </w:r>
      <w:r w:rsidR="0072387F">
        <w:rPr>
          <w:lang w:val="fr-CH"/>
        </w:rPr>
        <w:t>ut</w:t>
      </w:r>
      <w:r w:rsidR="00641AF6">
        <w:rPr>
          <w:lang w:val="fr-CH"/>
        </w:rPr>
        <w:t xml:space="preserve">, </w:t>
      </w:r>
      <w:proofErr w:type="spellStart"/>
      <w:r w:rsidR="00C208F2">
        <w:rPr>
          <w:lang w:val="fr-CH"/>
        </w:rPr>
        <w:t>p</w:t>
      </w:r>
      <w:r w:rsidR="005A64FB" w:rsidRPr="005A64FB">
        <w:rPr>
          <w:lang w:val="fr-CH"/>
        </w:rPr>
        <w:t>sychische</w:t>
      </w:r>
      <w:proofErr w:type="spellEnd"/>
      <w:r w:rsidR="005A64FB" w:rsidRPr="005A64FB">
        <w:rPr>
          <w:lang w:val="fr-CH"/>
        </w:rPr>
        <w:t xml:space="preserve"> </w:t>
      </w:r>
      <w:proofErr w:type="spellStart"/>
      <w:r w:rsidR="005A64FB" w:rsidRPr="005A64FB">
        <w:rPr>
          <w:lang w:val="fr-CH"/>
        </w:rPr>
        <w:t>Gesundheit</w:t>
      </w:r>
      <w:proofErr w:type="spellEnd"/>
      <w:r w:rsidR="005A64FB">
        <w:rPr>
          <w:lang w:val="fr-CH"/>
        </w:rPr>
        <w:t xml:space="preserve">, </w:t>
      </w:r>
      <w:proofErr w:type="spellStart"/>
      <w:r w:rsidR="00641AF6">
        <w:rPr>
          <w:lang w:val="fr-CH"/>
        </w:rPr>
        <w:t>Schüler</w:t>
      </w:r>
      <w:proofErr w:type="spellEnd"/>
      <w:r w:rsidR="005A64FB">
        <w:rPr>
          <w:lang w:val="fr-CH"/>
        </w:rPr>
        <w:t>,</w:t>
      </w:r>
      <w:r w:rsidR="000011C9">
        <w:rPr>
          <w:lang w:val="fr-CH"/>
        </w:rPr>
        <w:t xml:space="preserve"> </w:t>
      </w:r>
      <w:proofErr w:type="spellStart"/>
      <w:r w:rsidR="000011C9" w:rsidRPr="000011C9">
        <w:rPr>
          <w:lang w:val="fr-CH"/>
        </w:rPr>
        <w:t>Risikofaktor</w:t>
      </w:r>
      <w:proofErr w:type="spellEnd"/>
      <w:r w:rsidR="000011C9" w:rsidRPr="000011C9">
        <w:rPr>
          <w:lang w:val="fr-CH"/>
        </w:rPr>
        <w:t xml:space="preserve">, </w:t>
      </w:r>
      <w:proofErr w:type="spellStart"/>
      <w:r w:rsidR="000011C9" w:rsidRPr="000011C9">
        <w:rPr>
          <w:lang w:val="fr-CH"/>
        </w:rPr>
        <w:t>Schutzfaktor</w:t>
      </w:r>
      <w:proofErr w:type="spellEnd"/>
    </w:p>
    <w:p w14:paraId="3128E361" w14:textId="5E610D7B" w:rsidR="001D3BFB" w:rsidRPr="00664CA2" w:rsidRDefault="00EA4676" w:rsidP="00C24833">
      <w:pPr>
        <w:pStyle w:val="Textkrper3"/>
        <w:rPr>
          <w:rFonts w:cs="Open Sans SemiCondensed"/>
          <w:bCs/>
          <w:iCs/>
          <w:color w:val="CF3649"/>
          <w:lang w:val="fr-CH"/>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735BD1" w:rsidRPr="00927F37">
          <w:rPr>
            <w:rStyle w:val="Hyperlink"/>
            <w:rFonts w:cs="Open Sans SemiCondensed"/>
            <w:lang w:val="fr-CH"/>
          </w:rPr>
          <w:t>https://doi.org/10.57161/r2025-02-04</w:t>
        </w:r>
      </w:hyperlink>
      <w:r w:rsidR="0055561F" w:rsidRPr="00664CA2">
        <w:rPr>
          <w:rStyle w:val="Hyperlink"/>
          <w:rFonts w:cs="Open Sans SemiCondensed"/>
          <w:lang w:val="fr-CH"/>
        </w:rPr>
        <w:t xml:space="preserve"> </w:t>
      </w:r>
    </w:p>
    <w:p w14:paraId="08A7C4F4" w14:textId="79B0DE7B" w:rsidR="00EA4676" w:rsidRPr="00664CA2" w:rsidRDefault="00EA4676" w:rsidP="00C24833">
      <w:pPr>
        <w:pStyle w:val="Textkrper3"/>
        <w:rPr>
          <w:lang w:val="fr-CH"/>
        </w:rPr>
      </w:pPr>
      <w:r w:rsidRPr="00664CA2">
        <w:rPr>
          <w:lang w:val="fr-CH"/>
        </w:rPr>
        <w:t>Revue Suisse de Pédagogie Spécialisée, Vol.</w:t>
      </w:r>
      <w:r w:rsidR="00DF03FD">
        <w:rPr>
          <w:lang w:val="fr-CH"/>
        </w:rPr>
        <w:t> </w:t>
      </w:r>
      <w:r w:rsidR="00037AE3" w:rsidRPr="00664CA2">
        <w:rPr>
          <w:lang w:val="fr-CH"/>
        </w:rPr>
        <w:t>1</w:t>
      </w:r>
      <w:r w:rsidR="0022028B" w:rsidRPr="00664CA2">
        <w:rPr>
          <w:lang w:val="fr-CH"/>
        </w:rPr>
        <w:t>5</w:t>
      </w:r>
      <w:r w:rsidRPr="00664CA2">
        <w:rPr>
          <w:lang w:val="fr-CH"/>
        </w:rPr>
        <w:t xml:space="preserve">, </w:t>
      </w:r>
      <w:r w:rsidR="00037AE3" w:rsidRPr="00664CA2">
        <w:rPr>
          <w:lang w:val="fr-CH"/>
        </w:rPr>
        <w:t>0</w:t>
      </w:r>
      <w:r w:rsidR="000011C9" w:rsidRPr="00664CA2">
        <w:rPr>
          <w:lang w:val="fr-CH"/>
        </w:rPr>
        <w:t>2</w:t>
      </w:r>
      <w:r w:rsidRPr="00664CA2">
        <w:rPr>
          <w:lang w:val="fr-CH"/>
        </w:rPr>
        <w:t>/</w:t>
      </w:r>
      <w:r w:rsidR="00037AE3" w:rsidRPr="00664CA2">
        <w:rPr>
          <w:lang w:val="fr-CH"/>
        </w:rPr>
        <w:t>202</w:t>
      </w:r>
      <w:r w:rsidR="0022028B" w:rsidRPr="00664CA2">
        <w:rPr>
          <w:lang w:val="fr-CH"/>
        </w:rPr>
        <w:t>5</w:t>
      </w:r>
    </w:p>
    <w:p w14:paraId="273B6769" w14:textId="77777777" w:rsidR="000E6A66" w:rsidRPr="00153133" w:rsidRDefault="000E6A66" w:rsidP="00C24833">
      <w:pPr>
        <w:pStyle w:val="Textkrper3"/>
        <w:rPr>
          <w:lang w:val="fr-CH"/>
        </w:rPr>
      </w:pPr>
      <w:r w:rsidRPr="00153133">
        <w:rPr>
          <w:noProof/>
        </w:rPr>
        <w:drawing>
          <wp:inline distT="0" distB="0" distL="0" distR="0" wp14:anchorId="0DE471DD" wp14:editId="0FF0E88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CFAE569" w14:textId="17785AE7" w:rsidR="001114E2" w:rsidRPr="00D34728" w:rsidRDefault="00236B81" w:rsidP="00855097">
      <w:pPr>
        <w:pStyle w:val="berschrift1"/>
        <w:rPr>
          <w:lang w:val="fr-CH"/>
        </w:rPr>
      </w:pPr>
      <w:bookmarkStart w:id="0" w:name="heading-1"/>
      <w:r w:rsidRPr="00D34728">
        <w:rPr>
          <w:lang w:val="fr-CH"/>
        </w:rPr>
        <w:t>Introduction</w:t>
      </w:r>
      <w:bookmarkEnd w:id="0"/>
    </w:p>
    <w:p w14:paraId="303FC4D0" w14:textId="46A17397" w:rsidR="00A543D6" w:rsidRPr="00D34728" w:rsidRDefault="00964AF3" w:rsidP="00855097">
      <w:pPr>
        <w:pStyle w:val="berschrift2"/>
        <w:rPr>
          <w:rFonts w:cstheme="majorHAnsi"/>
          <w:lang w:val="fr-CH"/>
        </w:rPr>
      </w:pPr>
      <w:bookmarkStart w:id="1" w:name="heading-2"/>
      <w:r w:rsidRPr="00D34728">
        <w:rPr>
          <w:rFonts w:cstheme="majorHAnsi"/>
          <w:lang w:val="fr-CH"/>
        </w:rPr>
        <w:t>Le burnout scolaire : prévalence et conséquences</w:t>
      </w:r>
      <w:bookmarkEnd w:id="1"/>
    </w:p>
    <w:p w14:paraId="1E84C33C" w14:textId="66926C3C" w:rsidR="009C2B59" w:rsidRDefault="00A64AF0" w:rsidP="00F31BA7">
      <w:pPr>
        <w:pStyle w:val="Textkrper"/>
        <w:rPr>
          <w:rFonts w:asciiTheme="majorHAnsi" w:hAnsiTheme="majorHAnsi" w:cstheme="majorHAnsi"/>
          <w:lang w:val="fr-CH"/>
        </w:rPr>
      </w:pPr>
      <w:r w:rsidRPr="00D34728">
        <w:rPr>
          <w:rFonts w:asciiTheme="majorHAnsi" w:hAnsiTheme="majorHAnsi" w:cstheme="majorHAnsi"/>
          <w:lang w:val="fr-CH"/>
        </w:rPr>
        <w:t>Initialement étudié dans un cadre professionnel, le burnout a progressivement été analysé dans le cadre universitaire, puis au lycée, avant d’être observé chez les élèves de l’école obligatoire. Le burnout scolaire se définit selon les trois mêmes dimensions du modèle validé dans le contexte professionnel (</w:t>
      </w:r>
      <w:proofErr w:type="spellStart"/>
      <w:r w:rsidRPr="00D34728">
        <w:rPr>
          <w:rFonts w:asciiTheme="majorHAnsi" w:hAnsiTheme="majorHAnsi" w:cstheme="majorHAnsi"/>
          <w:lang w:val="fr-CH"/>
        </w:rPr>
        <w:t>Maslach</w:t>
      </w:r>
      <w:proofErr w:type="spellEnd"/>
      <w:r w:rsidRPr="00D34728">
        <w:rPr>
          <w:rFonts w:asciiTheme="majorHAnsi" w:hAnsiTheme="majorHAnsi" w:cstheme="majorHAnsi"/>
          <w:lang w:val="fr-CH"/>
        </w:rPr>
        <w:t xml:space="preserve"> &amp; Jackson, 1981 ; </w:t>
      </w:r>
      <w:proofErr w:type="spellStart"/>
      <w:r w:rsidRPr="00D34728">
        <w:rPr>
          <w:rFonts w:asciiTheme="majorHAnsi" w:hAnsiTheme="majorHAnsi" w:cstheme="majorHAnsi"/>
          <w:lang w:val="fr-CH"/>
        </w:rPr>
        <w:t>Salmela-Aro</w:t>
      </w:r>
      <w:proofErr w:type="spellEnd"/>
      <w:r w:rsidRPr="00D34728">
        <w:rPr>
          <w:rFonts w:asciiTheme="majorHAnsi" w:hAnsiTheme="majorHAnsi" w:cstheme="majorHAnsi"/>
          <w:lang w:val="fr-CH"/>
        </w:rPr>
        <w:t xml:space="preserve"> et al., 2009) : l’</w:t>
      </w:r>
      <w:r w:rsidRPr="00D34728">
        <w:rPr>
          <w:rStyle w:val="Fett"/>
          <w:rFonts w:asciiTheme="majorHAnsi" w:eastAsiaTheme="majorEastAsia" w:hAnsiTheme="majorHAnsi" w:cstheme="majorHAnsi"/>
          <w:b w:val="0"/>
          <w:lang w:val="fr-CH"/>
        </w:rPr>
        <w:t>épuisement émotionnel</w:t>
      </w:r>
      <w:r w:rsidRPr="00D34728">
        <w:rPr>
          <w:rFonts w:asciiTheme="majorHAnsi" w:hAnsiTheme="majorHAnsi" w:cstheme="majorHAnsi"/>
          <w:lang w:val="fr-CH"/>
        </w:rPr>
        <w:t xml:space="preserve"> qui se traduit par une fatigue intense ; le </w:t>
      </w:r>
      <w:r w:rsidRPr="00D34728">
        <w:rPr>
          <w:rStyle w:val="Fett"/>
          <w:rFonts w:asciiTheme="majorHAnsi" w:eastAsiaTheme="majorEastAsia" w:hAnsiTheme="majorHAnsi" w:cstheme="majorHAnsi"/>
          <w:b w:val="0"/>
          <w:lang w:val="fr-CH"/>
        </w:rPr>
        <w:t>cynisme</w:t>
      </w:r>
      <w:r w:rsidRPr="00D34728">
        <w:rPr>
          <w:rFonts w:asciiTheme="majorHAnsi" w:hAnsiTheme="majorHAnsi" w:cstheme="majorHAnsi"/>
          <w:b/>
          <w:bCs/>
          <w:lang w:val="fr-CH"/>
        </w:rPr>
        <w:t xml:space="preserve"> </w:t>
      </w:r>
      <w:r w:rsidRPr="00D34728">
        <w:rPr>
          <w:rFonts w:asciiTheme="majorHAnsi" w:hAnsiTheme="majorHAnsi" w:cstheme="majorHAnsi"/>
          <w:lang w:val="fr-CH"/>
        </w:rPr>
        <w:t xml:space="preserve">qui correspond à une attitude détachée à l’égard de l’école ; et le </w:t>
      </w:r>
      <w:r w:rsidRPr="00D34728">
        <w:rPr>
          <w:rStyle w:val="Fett"/>
          <w:rFonts w:asciiTheme="majorHAnsi" w:eastAsiaTheme="majorEastAsia" w:hAnsiTheme="majorHAnsi" w:cstheme="majorHAnsi"/>
          <w:b w:val="0"/>
          <w:lang w:val="fr-CH"/>
        </w:rPr>
        <w:t>sentiment d</w:t>
      </w:r>
      <w:r w:rsidR="00A952CF">
        <w:rPr>
          <w:rStyle w:val="Fett"/>
          <w:rFonts w:asciiTheme="majorHAnsi" w:eastAsiaTheme="majorEastAsia" w:hAnsiTheme="majorHAnsi" w:cstheme="majorHAnsi"/>
          <w:b w:val="0"/>
          <w:lang w:val="fr-CH"/>
        </w:rPr>
        <w:t>’</w:t>
      </w:r>
      <w:r w:rsidRPr="00D34728">
        <w:rPr>
          <w:rStyle w:val="Fett"/>
          <w:rFonts w:asciiTheme="majorHAnsi" w:eastAsiaTheme="majorEastAsia" w:hAnsiTheme="majorHAnsi" w:cstheme="majorHAnsi"/>
          <w:b w:val="0"/>
          <w:lang w:val="fr-CH"/>
        </w:rPr>
        <w:t>inadéquation</w:t>
      </w:r>
      <w:r w:rsidRPr="00D34728">
        <w:rPr>
          <w:rFonts w:asciiTheme="majorHAnsi" w:hAnsiTheme="majorHAnsi" w:cstheme="majorHAnsi"/>
          <w:lang w:val="fr-CH"/>
        </w:rPr>
        <w:t xml:space="preserve"> qui se manifeste par une perception réduite de l’efficacité personnelle (</w:t>
      </w:r>
      <w:proofErr w:type="spellStart"/>
      <w:r w:rsidRPr="00D34728">
        <w:rPr>
          <w:rFonts w:asciiTheme="majorHAnsi" w:hAnsiTheme="majorHAnsi" w:cstheme="majorHAnsi"/>
          <w:lang w:val="fr-CH"/>
        </w:rPr>
        <w:t>Lebert</w:t>
      </w:r>
      <w:proofErr w:type="spellEnd"/>
      <w:r w:rsidRPr="00D34728">
        <w:rPr>
          <w:rFonts w:asciiTheme="majorHAnsi" w:hAnsiTheme="majorHAnsi" w:cstheme="majorHAnsi"/>
          <w:lang w:val="fr-CH"/>
        </w:rPr>
        <w:t>-Charron et al., 2021). Le burnout apparait généralement lorsqu’une ou un élève subit un stress scolaire prolongé (</w:t>
      </w:r>
      <w:proofErr w:type="spellStart"/>
      <w:r w:rsidRPr="00D34728">
        <w:rPr>
          <w:rFonts w:asciiTheme="majorHAnsi" w:hAnsiTheme="majorHAnsi" w:cstheme="majorHAnsi"/>
          <w:lang w:val="fr-CH"/>
        </w:rPr>
        <w:t>Parviainen</w:t>
      </w:r>
      <w:proofErr w:type="spellEnd"/>
      <w:r w:rsidRPr="00D34728">
        <w:rPr>
          <w:rFonts w:asciiTheme="majorHAnsi" w:hAnsiTheme="majorHAnsi" w:cstheme="majorHAnsi"/>
          <w:lang w:val="fr-CH"/>
        </w:rPr>
        <w:t xml:space="preserve"> et al., 2021) créant un déséquilibre entre des exigences scolaires élevées et des ressources personnelles jugées insuffisantes (</w:t>
      </w:r>
      <w:proofErr w:type="spellStart"/>
      <w:r w:rsidRPr="00D34728">
        <w:rPr>
          <w:rFonts w:asciiTheme="majorHAnsi" w:hAnsiTheme="majorHAnsi" w:cstheme="majorHAnsi"/>
          <w:lang w:val="fr-CH"/>
        </w:rPr>
        <w:t>Demerouti</w:t>
      </w:r>
      <w:proofErr w:type="spellEnd"/>
      <w:r w:rsidRPr="00D34728">
        <w:rPr>
          <w:rFonts w:asciiTheme="majorHAnsi" w:hAnsiTheme="majorHAnsi" w:cstheme="majorHAnsi"/>
          <w:lang w:val="fr-CH"/>
        </w:rPr>
        <w:t xml:space="preserve"> et al., 2001). </w:t>
      </w:r>
      <w:r w:rsidR="009C2B59">
        <w:rPr>
          <w:rFonts w:asciiTheme="majorHAnsi" w:hAnsiTheme="majorHAnsi" w:cstheme="majorHAnsi"/>
          <w:lang w:val="fr-CH"/>
        </w:rPr>
        <w:br w:type="page"/>
      </w:r>
    </w:p>
    <w:p w14:paraId="3C37CAC8" w14:textId="1B156307" w:rsidR="00A64AF0" w:rsidRPr="00D34728" w:rsidRDefault="00A64AF0" w:rsidP="00A64AF0">
      <w:pPr>
        <w:pStyle w:val="Textkrper"/>
        <w:rPr>
          <w:rFonts w:asciiTheme="majorHAnsi" w:hAnsiTheme="majorHAnsi" w:cstheme="majorHAnsi"/>
          <w:lang w:val="fr-CH"/>
        </w:rPr>
      </w:pPr>
      <w:r w:rsidRPr="00D34728">
        <w:rPr>
          <w:rFonts w:asciiTheme="majorHAnsi" w:hAnsiTheme="majorHAnsi" w:cstheme="majorHAnsi"/>
          <w:lang w:val="fr-CH"/>
        </w:rPr>
        <w:lastRenderedPageBreak/>
        <w:t>La prévalence moyenne du burnout scolaire en Europe se situe entre 10 et 15 % (Lacombe et al., 2023), tandis qu’elle atteint plus de 30 % dans les pays asiatiques (Cheung, 2019). Ce phénomène mérite une attention particulière, car plusieurs recherches ont mis en évidence ses effets importants, notamment sur le décrochage scolaire (</w:t>
      </w:r>
      <w:proofErr w:type="spellStart"/>
      <w:r w:rsidRPr="00D34728">
        <w:rPr>
          <w:rFonts w:asciiTheme="majorHAnsi" w:hAnsiTheme="majorHAnsi" w:cstheme="majorHAnsi"/>
          <w:lang w:val="fr-CH"/>
        </w:rPr>
        <w:t>Bask</w:t>
      </w:r>
      <w:proofErr w:type="spellEnd"/>
      <w:r w:rsidRPr="00D34728">
        <w:rPr>
          <w:rFonts w:asciiTheme="majorHAnsi" w:hAnsiTheme="majorHAnsi" w:cstheme="majorHAnsi"/>
          <w:lang w:val="fr-CH"/>
        </w:rPr>
        <w:t xml:space="preserve"> &amp; </w:t>
      </w:r>
      <w:proofErr w:type="spellStart"/>
      <w:r w:rsidRPr="00D34728">
        <w:rPr>
          <w:rFonts w:asciiTheme="majorHAnsi" w:hAnsiTheme="majorHAnsi" w:cstheme="majorHAnsi"/>
          <w:lang w:val="fr-CH"/>
        </w:rPr>
        <w:t>Salmela-Aro</w:t>
      </w:r>
      <w:proofErr w:type="spellEnd"/>
      <w:r w:rsidRPr="00D34728">
        <w:rPr>
          <w:rFonts w:asciiTheme="majorHAnsi" w:hAnsiTheme="majorHAnsi" w:cstheme="majorHAnsi"/>
          <w:lang w:val="fr-CH"/>
        </w:rPr>
        <w:t>, 2012), l’augmentation des symptômes somatiques (Fischer et al., 2016), la détérioration de la qualité du sommeil (Liu et al., 2021), l’apparition de symptômes dépressifs (</w:t>
      </w:r>
      <w:proofErr w:type="spellStart"/>
      <w:r w:rsidRPr="00D34728">
        <w:rPr>
          <w:rFonts w:asciiTheme="majorHAnsi" w:hAnsiTheme="majorHAnsi" w:cstheme="majorHAnsi"/>
          <w:lang w:val="fr-CH"/>
        </w:rPr>
        <w:t>Fiorilli</w:t>
      </w:r>
      <w:proofErr w:type="spellEnd"/>
      <w:r w:rsidRPr="00D34728">
        <w:rPr>
          <w:rFonts w:asciiTheme="majorHAnsi" w:hAnsiTheme="majorHAnsi" w:cstheme="majorHAnsi"/>
          <w:lang w:val="fr-CH"/>
        </w:rPr>
        <w:t xml:space="preserve"> et al., 2017) ou encore l’augmentation du risque suicidaire (</w:t>
      </w:r>
      <w:proofErr w:type="spellStart"/>
      <w:r w:rsidRPr="00D34728">
        <w:rPr>
          <w:rFonts w:asciiTheme="majorHAnsi" w:hAnsiTheme="majorHAnsi" w:cstheme="majorHAnsi"/>
          <w:lang w:val="fr-CH"/>
        </w:rPr>
        <w:t>Walburg</w:t>
      </w:r>
      <w:proofErr w:type="spellEnd"/>
      <w:r w:rsidRPr="00D34728">
        <w:rPr>
          <w:rFonts w:asciiTheme="majorHAnsi" w:hAnsiTheme="majorHAnsi" w:cstheme="majorHAnsi"/>
          <w:lang w:val="fr-CH"/>
        </w:rPr>
        <w:t>, 2014).</w:t>
      </w:r>
    </w:p>
    <w:p w14:paraId="49B3E0E3" w14:textId="63362E8A" w:rsidR="00A64AF0" w:rsidRPr="00D34728" w:rsidRDefault="00E173ED" w:rsidP="00E173ED">
      <w:pPr>
        <w:pStyle w:val="berschrift2"/>
        <w:rPr>
          <w:lang w:val="fr-CH"/>
        </w:rPr>
      </w:pPr>
      <w:r w:rsidRPr="00D34728">
        <w:rPr>
          <w:lang w:val="fr-CH"/>
        </w:rPr>
        <w:t>Le burnout scolaire : facteurs de risque et de protection</w:t>
      </w:r>
    </w:p>
    <w:p w14:paraId="18AF89BD" w14:textId="724839A9" w:rsidR="00E173ED" w:rsidRPr="00D34728" w:rsidRDefault="00AD1AC0" w:rsidP="00E173ED">
      <w:pPr>
        <w:pStyle w:val="Textkrper"/>
        <w:rPr>
          <w:rFonts w:asciiTheme="majorHAnsi" w:hAnsiTheme="majorHAnsi" w:cstheme="majorHAnsi"/>
          <w:lang w:val="fr-CH"/>
        </w:rPr>
      </w:pPr>
      <w:r w:rsidRPr="00D34728">
        <w:rPr>
          <w:rFonts w:asciiTheme="majorHAnsi" w:hAnsiTheme="majorHAnsi" w:cstheme="majorHAnsi"/>
          <w:lang w:val="fr-CH"/>
        </w:rPr>
        <w:t>Les études ont identifié plusieurs facteurs associés au burnout scolaire. Sur le plan individuel, des facteurs comme l’engagement cognitif (Engels et al., 2019), les performances scolaires (Engels et al., 2019, Virtanen, 2020) </w:t>
      </w:r>
      <w:r w:rsidR="008C6B1E">
        <w:rPr>
          <w:rFonts w:asciiTheme="majorHAnsi" w:hAnsiTheme="majorHAnsi" w:cstheme="majorHAnsi"/>
          <w:lang w:val="fr-CH"/>
        </w:rPr>
        <w:t>–</w:t>
      </w:r>
      <w:r w:rsidRPr="00D34728">
        <w:rPr>
          <w:rFonts w:asciiTheme="majorHAnsi" w:hAnsiTheme="majorHAnsi" w:cstheme="majorHAnsi"/>
          <w:lang w:val="fr-CH"/>
        </w:rPr>
        <w:t xml:space="preserve"> en particulier en mathématiques (</w:t>
      </w:r>
      <w:proofErr w:type="spellStart"/>
      <w:r w:rsidRPr="00D34728">
        <w:rPr>
          <w:rFonts w:asciiTheme="majorHAnsi" w:hAnsiTheme="majorHAnsi" w:cstheme="majorHAnsi"/>
          <w:lang w:val="fr-CH"/>
        </w:rPr>
        <w:t>Parviainen</w:t>
      </w:r>
      <w:proofErr w:type="spellEnd"/>
      <w:r w:rsidRPr="00D34728">
        <w:rPr>
          <w:rFonts w:asciiTheme="majorHAnsi" w:hAnsiTheme="majorHAnsi" w:cstheme="majorHAnsi"/>
          <w:lang w:val="fr-CH"/>
        </w:rPr>
        <w:t xml:space="preserve"> et al., 2021, Lacombe et al., 2023)</w:t>
      </w:r>
      <w:r w:rsidR="00A952CF">
        <w:rPr>
          <w:rFonts w:asciiTheme="majorHAnsi" w:hAnsiTheme="majorHAnsi" w:cstheme="majorHAnsi"/>
          <w:lang w:val="fr-CH"/>
        </w:rPr>
        <w:t xml:space="preserve"> </w:t>
      </w:r>
      <w:r w:rsidR="008C6B1E">
        <w:rPr>
          <w:rFonts w:asciiTheme="majorHAnsi" w:hAnsiTheme="majorHAnsi" w:cstheme="majorHAnsi"/>
          <w:lang w:val="fr-CH"/>
        </w:rPr>
        <w:t>–</w:t>
      </w:r>
      <w:r w:rsidRPr="00D34728">
        <w:rPr>
          <w:rFonts w:asciiTheme="majorHAnsi" w:hAnsiTheme="majorHAnsi" w:cstheme="majorHAnsi"/>
          <w:lang w:val="fr-CH"/>
        </w:rPr>
        <w:t>, l’estime de soi (</w:t>
      </w:r>
      <w:proofErr w:type="spellStart"/>
      <w:r w:rsidRPr="00D34728">
        <w:rPr>
          <w:rFonts w:asciiTheme="majorHAnsi" w:hAnsiTheme="majorHAnsi" w:cstheme="majorHAnsi"/>
          <w:lang w:val="fr-CH"/>
        </w:rPr>
        <w:t>Parviainen</w:t>
      </w:r>
      <w:proofErr w:type="spellEnd"/>
      <w:r w:rsidRPr="00D34728">
        <w:rPr>
          <w:rFonts w:asciiTheme="majorHAnsi" w:hAnsiTheme="majorHAnsi" w:cstheme="majorHAnsi"/>
          <w:lang w:val="fr-CH"/>
        </w:rPr>
        <w:t xml:space="preserve"> et al., 2021) et la confiance en l’avenir (Lacombe et al., 2023) jouent un rôle déterminant. Sur le plan interpersonnel, le soutien des pairs, du personnel enseignant et de la famille </w:t>
      </w:r>
      <w:r w:rsidR="00520B68">
        <w:rPr>
          <w:rFonts w:asciiTheme="majorHAnsi" w:hAnsiTheme="majorHAnsi" w:cstheme="majorHAnsi"/>
          <w:lang w:val="fr-CH"/>
        </w:rPr>
        <w:t>es</w:t>
      </w:r>
      <w:r w:rsidRPr="00D34728">
        <w:rPr>
          <w:rFonts w:asciiTheme="majorHAnsi" w:hAnsiTheme="majorHAnsi" w:cstheme="majorHAnsi"/>
          <w:lang w:val="fr-CH"/>
        </w:rPr>
        <w:t xml:space="preserve">t des facteurs qui préservent le bienêtre à l’école (Virtanen et al., 2020, </w:t>
      </w:r>
      <w:proofErr w:type="spellStart"/>
      <w:r w:rsidRPr="00D34728">
        <w:rPr>
          <w:rFonts w:asciiTheme="majorHAnsi" w:hAnsiTheme="majorHAnsi" w:cstheme="majorHAnsi"/>
          <w:lang w:val="fr-CH"/>
        </w:rPr>
        <w:t>Vansoeterstede</w:t>
      </w:r>
      <w:proofErr w:type="spellEnd"/>
      <w:r w:rsidRPr="00D34728">
        <w:rPr>
          <w:rFonts w:asciiTheme="majorHAnsi" w:hAnsiTheme="majorHAnsi" w:cstheme="majorHAnsi"/>
          <w:lang w:val="fr-CH"/>
        </w:rPr>
        <w:t xml:space="preserve"> et al., 2023). Enfin, au niveau organisationnel, la charge de travail perçue (devoirs, préparation d’évaluations), le climat de classe négatif (Lacombe et al., 2023), les transitions scolaires (Engels et al., 2019, </w:t>
      </w:r>
      <w:proofErr w:type="spellStart"/>
      <w:r w:rsidRPr="00D34728">
        <w:rPr>
          <w:rFonts w:asciiTheme="majorHAnsi" w:hAnsiTheme="majorHAnsi" w:cstheme="majorHAnsi"/>
          <w:lang w:val="fr-CH"/>
        </w:rPr>
        <w:t>Parviainen</w:t>
      </w:r>
      <w:proofErr w:type="spellEnd"/>
      <w:r w:rsidRPr="00D34728">
        <w:rPr>
          <w:rFonts w:asciiTheme="majorHAnsi" w:hAnsiTheme="majorHAnsi" w:cstheme="majorHAnsi"/>
          <w:lang w:val="fr-CH"/>
        </w:rPr>
        <w:t xml:space="preserve"> et al., 2021) et l’usage excessif d’internet (</w:t>
      </w:r>
      <w:proofErr w:type="spellStart"/>
      <w:r w:rsidRPr="00D34728">
        <w:rPr>
          <w:rFonts w:asciiTheme="majorHAnsi" w:hAnsiTheme="majorHAnsi" w:cstheme="majorHAnsi"/>
          <w:lang w:val="fr-CH"/>
        </w:rPr>
        <w:t>Salmela-Aro</w:t>
      </w:r>
      <w:proofErr w:type="spellEnd"/>
      <w:r w:rsidRPr="00D34728">
        <w:rPr>
          <w:rFonts w:asciiTheme="majorHAnsi" w:hAnsiTheme="majorHAnsi" w:cstheme="majorHAnsi"/>
          <w:lang w:val="fr-CH"/>
        </w:rPr>
        <w:t xml:space="preserve"> et al., 2017) sont des facteurs contribuant au burnout.</w:t>
      </w:r>
    </w:p>
    <w:p w14:paraId="7BBAD4A8" w14:textId="21053190" w:rsidR="00AD1AC0" w:rsidRPr="00D34728" w:rsidRDefault="00B67FBD" w:rsidP="00B67FBD">
      <w:pPr>
        <w:pStyle w:val="berschrift2"/>
        <w:rPr>
          <w:lang w:val="fr-CH"/>
        </w:rPr>
      </w:pPr>
      <w:r w:rsidRPr="00D34728">
        <w:rPr>
          <w:lang w:val="fr-CH"/>
        </w:rPr>
        <w:t>Les dispositifs de soutien</w:t>
      </w:r>
    </w:p>
    <w:p w14:paraId="0485F501" w14:textId="35121192" w:rsidR="00574A99" w:rsidRPr="00D34728" w:rsidRDefault="00574A99" w:rsidP="00574A99">
      <w:pPr>
        <w:pStyle w:val="Textkrper"/>
        <w:rPr>
          <w:rFonts w:asciiTheme="majorHAnsi" w:hAnsiTheme="majorHAnsi" w:cstheme="majorHAnsi"/>
          <w:b/>
          <w:bCs/>
          <w:i/>
          <w:iCs/>
          <w:lang w:val="fr-CH"/>
        </w:rPr>
      </w:pPr>
      <w:r w:rsidRPr="00D34728">
        <w:rPr>
          <w:rFonts w:asciiTheme="majorHAnsi" w:hAnsiTheme="majorHAnsi" w:cstheme="majorHAnsi"/>
          <w:lang w:val="fr-CH"/>
        </w:rPr>
        <w:t xml:space="preserve">Les enjeux liés à la visibilité des dispositifs de soutien font l’objet de recherches, aussi bien en termes de bénéfices que de risques. </w:t>
      </w:r>
      <w:r w:rsidR="00596844">
        <w:rPr>
          <w:rFonts w:asciiTheme="majorHAnsi" w:hAnsiTheme="majorHAnsi" w:cstheme="majorHAnsi"/>
          <w:lang w:val="fr-CH"/>
        </w:rPr>
        <w:t>É</w:t>
      </w:r>
      <w:r w:rsidRPr="00D34728">
        <w:rPr>
          <w:rFonts w:asciiTheme="majorHAnsi" w:hAnsiTheme="majorHAnsi" w:cstheme="majorHAnsi"/>
          <w:lang w:val="fr-CH"/>
        </w:rPr>
        <w:t xml:space="preserve">voquant le </w:t>
      </w:r>
      <w:proofErr w:type="spellStart"/>
      <w:r w:rsidRPr="00D34728">
        <w:rPr>
          <w:rFonts w:asciiTheme="majorHAnsi" w:hAnsiTheme="majorHAnsi" w:cstheme="majorHAnsi"/>
          <w:lang w:val="fr-CH"/>
        </w:rPr>
        <w:t>co</w:t>
      </w:r>
      <w:proofErr w:type="spellEnd"/>
      <w:r w:rsidRPr="00D34728">
        <w:rPr>
          <w:rFonts w:asciiTheme="majorHAnsi" w:hAnsiTheme="majorHAnsi" w:cstheme="majorHAnsi"/>
          <w:lang w:val="fr-CH"/>
        </w:rPr>
        <w:t xml:space="preserve">-enseignement, </w:t>
      </w:r>
      <w:proofErr w:type="spellStart"/>
      <w:r w:rsidRPr="00D34728">
        <w:rPr>
          <w:rFonts w:asciiTheme="majorHAnsi" w:hAnsiTheme="majorHAnsi" w:cstheme="majorHAnsi"/>
          <w:lang w:val="fr-CH"/>
        </w:rPr>
        <w:t>Friend</w:t>
      </w:r>
      <w:proofErr w:type="spellEnd"/>
      <w:r w:rsidRPr="00D34728">
        <w:rPr>
          <w:rFonts w:asciiTheme="majorHAnsi" w:hAnsiTheme="majorHAnsi" w:cstheme="majorHAnsi"/>
          <w:lang w:val="fr-CH"/>
        </w:rPr>
        <w:t xml:space="preserve"> et Cook (2020) relèvent qu’il permet aux élèves de rester en classe ordinaire, et qu’en cela, le dispositif est positif. Ils soulignent aussi que certaines modalités du </w:t>
      </w:r>
      <w:proofErr w:type="spellStart"/>
      <w:r w:rsidRPr="00D34728">
        <w:rPr>
          <w:rFonts w:asciiTheme="majorHAnsi" w:hAnsiTheme="majorHAnsi" w:cstheme="majorHAnsi"/>
          <w:lang w:val="fr-CH"/>
        </w:rPr>
        <w:t>co</w:t>
      </w:r>
      <w:proofErr w:type="spellEnd"/>
      <w:r w:rsidRPr="00D34728">
        <w:rPr>
          <w:rFonts w:asciiTheme="majorHAnsi" w:hAnsiTheme="majorHAnsi" w:cstheme="majorHAnsi"/>
          <w:lang w:val="fr-CH"/>
        </w:rPr>
        <w:t>-enseignement peuvent, si elles ne sont pas mises en place avec soin, accentuer la perception des difficultés académiques et la stigmatisation sociale des élèves avec des besoins éducatifs particuliers. Les études mentionnent également le rôle du climat de classe et du soutien social dans la prévention du burnout scolaire (</w:t>
      </w:r>
      <w:proofErr w:type="spellStart"/>
      <w:r w:rsidRPr="00D34728">
        <w:rPr>
          <w:rFonts w:asciiTheme="majorHAnsi" w:hAnsiTheme="majorHAnsi" w:cstheme="majorHAnsi"/>
          <w:lang w:val="fr-CH"/>
        </w:rPr>
        <w:t>Vansoeterstede</w:t>
      </w:r>
      <w:proofErr w:type="spellEnd"/>
      <w:r w:rsidRPr="00D34728">
        <w:rPr>
          <w:rFonts w:asciiTheme="majorHAnsi" w:hAnsiTheme="majorHAnsi" w:cstheme="majorHAnsi"/>
          <w:lang w:val="fr-CH"/>
        </w:rPr>
        <w:t xml:space="preserve"> et al., 2023) : la visibilité des soutiens peut exposer les élèves à une perception accrue de leurs difficultés et impacter leur sentiment de compétence et leur bienêtre (</w:t>
      </w:r>
      <w:proofErr w:type="spellStart"/>
      <w:r w:rsidRPr="00D34728">
        <w:rPr>
          <w:rFonts w:asciiTheme="majorHAnsi" w:hAnsiTheme="majorHAnsi" w:cstheme="majorHAnsi"/>
          <w:lang w:val="fr-CH"/>
        </w:rPr>
        <w:t>Hornby</w:t>
      </w:r>
      <w:proofErr w:type="spellEnd"/>
      <w:r w:rsidRPr="00D34728">
        <w:rPr>
          <w:rFonts w:asciiTheme="majorHAnsi" w:hAnsiTheme="majorHAnsi" w:cstheme="majorHAnsi"/>
          <w:lang w:val="fr-CH"/>
        </w:rPr>
        <w:t xml:space="preserve">, 2011). </w:t>
      </w:r>
      <w:r w:rsidR="001460D8">
        <w:rPr>
          <w:rFonts w:asciiTheme="majorHAnsi" w:hAnsiTheme="majorHAnsi" w:cstheme="majorHAnsi"/>
          <w:lang w:val="fr-CH"/>
        </w:rPr>
        <w:t>À</w:t>
      </w:r>
      <w:r w:rsidRPr="00D34728">
        <w:rPr>
          <w:rFonts w:asciiTheme="majorHAnsi" w:hAnsiTheme="majorHAnsi" w:cstheme="majorHAnsi"/>
          <w:lang w:val="fr-CH"/>
        </w:rPr>
        <w:t xml:space="preserve"> ce titre, </w:t>
      </w:r>
      <w:proofErr w:type="spellStart"/>
      <w:r w:rsidRPr="00D34728">
        <w:rPr>
          <w:rFonts w:asciiTheme="majorHAnsi" w:hAnsiTheme="majorHAnsi" w:cstheme="majorHAnsi"/>
          <w:lang w:val="fr-CH"/>
        </w:rPr>
        <w:t>Warnock</w:t>
      </w:r>
      <w:proofErr w:type="spellEnd"/>
      <w:r w:rsidRPr="00D34728">
        <w:rPr>
          <w:rFonts w:asciiTheme="majorHAnsi" w:hAnsiTheme="majorHAnsi" w:cstheme="majorHAnsi"/>
          <w:lang w:val="fr-CH"/>
        </w:rPr>
        <w:t xml:space="preserve"> et al. (2010)</w:t>
      </w:r>
      <w:r w:rsidR="00B74700">
        <w:rPr>
          <w:rFonts w:asciiTheme="majorHAnsi" w:hAnsiTheme="majorHAnsi" w:cstheme="majorHAnsi"/>
          <w:lang w:val="fr-CH"/>
        </w:rPr>
        <w:t xml:space="preserve"> et </w:t>
      </w:r>
      <w:proofErr w:type="spellStart"/>
      <w:r w:rsidR="00B74700" w:rsidRPr="00D34728">
        <w:rPr>
          <w:rFonts w:asciiTheme="majorHAnsi" w:hAnsiTheme="majorHAnsi" w:cstheme="majorHAnsi"/>
          <w:lang w:val="fr-CH"/>
        </w:rPr>
        <w:t>Hornby</w:t>
      </w:r>
      <w:proofErr w:type="spellEnd"/>
      <w:r w:rsidR="00B74700" w:rsidRPr="00D34728">
        <w:rPr>
          <w:rFonts w:asciiTheme="majorHAnsi" w:hAnsiTheme="majorHAnsi" w:cstheme="majorHAnsi"/>
          <w:lang w:val="fr-CH"/>
        </w:rPr>
        <w:t xml:space="preserve"> (201</w:t>
      </w:r>
      <w:r w:rsidR="00B74700">
        <w:rPr>
          <w:rFonts w:asciiTheme="majorHAnsi" w:hAnsiTheme="majorHAnsi" w:cstheme="majorHAnsi"/>
          <w:lang w:val="fr-CH"/>
        </w:rPr>
        <w:t>4</w:t>
      </w:r>
      <w:r w:rsidR="00B74700" w:rsidRPr="00D34728">
        <w:rPr>
          <w:rFonts w:asciiTheme="majorHAnsi" w:hAnsiTheme="majorHAnsi" w:cstheme="majorHAnsi"/>
          <w:lang w:val="fr-CH"/>
        </w:rPr>
        <w:t>)</w:t>
      </w:r>
      <w:r w:rsidRPr="00D34728">
        <w:rPr>
          <w:rFonts w:asciiTheme="majorHAnsi" w:hAnsiTheme="majorHAnsi" w:cstheme="majorHAnsi"/>
          <w:lang w:val="fr-CH"/>
        </w:rPr>
        <w:t xml:space="preserve"> plaident pour une « inclusion responsable » </w:t>
      </w:r>
      <w:r w:rsidR="00B74700">
        <w:rPr>
          <w:rFonts w:asciiTheme="majorHAnsi" w:hAnsiTheme="majorHAnsi" w:cstheme="majorHAnsi"/>
          <w:lang w:val="fr-CH"/>
        </w:rPr>
        <w:t>(p.</w:t>
      </w:r>
      <w:r w:rsidR="00633ABD">
        <w:rPr>
          <w:rFonts w:asciiTheme="majorHAnsi" w:hAnsiTheme="majorHAnsi" w:cstheme="majorHAnsi"/>
          <w:lang w:val="fr-CH"/>
        </w:rPr>
        <w:t> </w:t>
      </w:r>
      <w:r w:rsidR="00B74700">
        <w:rPr>
          <w:rFonts w:asciiTheme="majorHAnsi" w:hAnsiTheme="majorHAnsi" w:cstheme="majorHAnsi"/>
          <w:lang w:val="fr-CH"/>
        </w:rPr>
        <w:t xml:space="preserve">20) </w:t>
      </w:r>
      <w:r w:rsidRPr="00D34728">
        <w:rPr>
          <w:rFonts w:asciiTheme="majorHAnsi" w:hAnsiTheme="majorHAnsi" w:cstheme="majorHAnsi"/>
          <w:lang w:val="fr-CH"/>
        </w:rPr>
        <w:t xml:space="preserve">qui ne dépend pas uniquement du lieu géographique où l’élève est scolarisé, mais également de l’endroit où il se sent véritablement à sa place. Selon </w:t>
      </w:r>
      <w:r w:rsidR="002413DA">
        <w:rPr>
          <w:rFonts w:asciiTheme="majorHAnsi" w:hAnsiTheme="majorHAnsi" w:cstheme="majorHAnsi"/>
          <w:lang w:val="fr-CH"/>
        </w:rPr>
        <w:t>ces autrices et auteurs</w:t>
      </w:r>
      <w:r w:rsidRPr="00D34728">
        <w:rPr>
          <w:rFonts w:asciiTheme="majorHAnsi" w:hAnsiTheme="majorHAnsi" w:cstheme="majorHAnsi"/>
          <w:lang w:val="fr-CH"/>
        </w:rPr>
        <w:t xml:space="preserve">, cette place peut être aussi bien en classe ordinaire, en classe spéciale ou encore en école spécialisée. Bien que les mesures de soutien soient reconnues pour favoriser la réussite scolaire, leurs effets sur le bienêtre psychologique et social des élèves peuvent dépendre de la modalité de </w:t>
      </w:r>
      <w:proofErr w:type="spellStart"/>
      <w:r w:rsidRPr="00D34728">
        <w:rPr>
          <w:rFonts w:asciiTheme="majorHAnsi" w:hAnsiTheme="majorHAnsi" w:cstheme="majorHAnsi"/>
          <w:lang w:val="fr-CH"/>
        </w:rPr>
        <w:t>co</w:t>
      </w:r>
      <w:proofErr w:type="spellEnd"/>
      <w:r w:rsidRPr="00D34728">
        <w:rPr>
          <w:rFonts w:asciiTheme="majorHAnsi" w:hAnsiTheme="majorHAnsi" w:cstheme="majorHAnsi"/>
          <w:lang w:val="fr-CH"/>
        </w:rPr>
        <w:t xml:space="preserve">-enseignement adoptée. En effet, la présence en classe d’une enseignante </w:t>
      </w:r>
      <w:r w:rsidR="007471BF">
        <w:rPr>
          <w:rFonts w:asciiTheme="majorHAnsi" w:hAnsiTheme="majorHAnsi" w:cstheme="majorHAnsi"/>
          <w:lang w:val="fr-CH"/>
        </w:rPr>
        <w:t xml:space="preserve">spécialisée </w:t>
      </w:r>
      <w:r w:rsidRPr="00D34728">
        <w:rPr>
          <w:rFonts w:asciiTheme="majorHAnsi" w:hAnsiTheme="majorHAnsi" w:cstheme="majorHAnsi"/>
          <w:lang w:val="fr-CH"/>
        </w:rPr>
        <w:t>ou d’un enseignant spécialisé peut engendrer un sentiment de stigmatisation chez certaines et certains élèves (</w:t>
      </w:r>
      <w:proofErr w:type="spellStart"/>
      <w:r w:rsidRPr="00D34728">
        <w:rPr>
          <w:rFonts w:asciiTheme="majorHAnsi" w:hAnsiTheme="majorHAnsi" w:cstheme="majorHAnsi"/>
          <w:lang w:val="fr-CH"/>
        </w:rPr>
        <w:t>Friend</w:t>
      </w:r>
      <w:proofErr w:type="spellEnd"/>
      <w:r w:rsidRPr="00D34728">
        <w:rPr>
          <w:rFonts w:asciiTheme="majorHAnsi" w:hAnsiTheme="majorHAnsi" w:cstheme="majorHAnsi"/>
          <w:lang w:val="fr-CH"/>
        </w:rPr>
        <w:t xml:space="preserve"> &amp; Cook, 2020). </w:t>
      </w:r>
    </w:p>
    <w:p w14:paraId="6B2C4189" w14:textId="71785B0F" w:rsidR="00B67FBD" w:rsidRPr="00D34728" w:rsidRDefault="00574A99" w:rsidP="00F74EB9">
      <w:pPr>
        <w:pStyle w:val="Textkrper"/>
        <w:rPr>
          <w:lang w:val="fr-CH"/>
        </w:rPr>
      </w:pPr>
      <w:r w:rsidRPr="00D34728">
        <w:rPr>
          <w:lang w:val="fr-CH"/>
        </w:rPr>
        <w:t xml:space="preserve">Dans ce contexte, notre étude mesure, sur une période de quatre années consécutives, le burnout scolaire chez des élèves suisses de 8H qui sont âgés de 11 à 13 ans. Comme le premier temps de </w:t>
      </w:r>
      <w:r w:rsidRPr="00F74EB9">
        <w:rPr>
          <w:lang w:val="fr-CH"/>
        </w:rPr>
        <w:t>mesure</w:t>
      </w:r>
      <w:r w:rsidRPr="00D34728">
        <w:rPr>
          <w:lang w:val="fr-CH"/>
        </w:rPr>
        <w:t xml:space="preserve"> (2022) a montré que les élèves au bénéfice d’une mesure de soutien présentaient des moyennes de burnout plus élevées, cet article répond aux questions suivantes : </w:t>
      </w:r>
      <w:r w:rsidR="007441B5">
        <w:rPr>
          <w:lang w:val="fr-CH"/>
        </w:rPr>
        <w:t>Q</w:t>
      </w:r>
      <w:r w:rsidRPr="00D34728">
        <w:rPr>
          <w:lang w:val="fr-CH"/>
        </w:rPr>
        <w:t>uelle est la prévalence du burnout scolaire entre les élèves avec soutien et ceux sans soutien</w:t>
      </w:r>
      <w:r w:rsidR="008C6B1E">
        <w:rPr>
          <w:lang w:val="fr-CH"/>
        </w:rPr>
        <w:t> </w:t>
      </w:r>
      <w:r w:rsidRPr="00D34728">
        <w:rPr>
          <w:lang w:val="fr-CH"/>
        </w:rPr>
        <w:t>? Quels sont les facteurs de risque du burnout scolaire dans l’échantillon</w:t>
      </w:r>
      <w:r w:rsidR="008C6B1E">
        <w:rPr>
          <w:lang w:val="fr-CH"/>
        </w:rPr>
        <w:t> </w:t>
      </w:r>
      <w:r w:rsidRPr="00D34728">
        <w:rPr>
          <w:lang w:val="fr-CH"/>
        </w:rPr>
        <w:t>?</w:t>
      </w:r>
    </w:p>
    <w:p w14:paraId="3C397ADA" w14:textId="77777777" w:rsidR="004F72ED" w:rsidRPr="00D34728" w:rsidRDefault="004F72ED" w:rsidP="004F72ED">
      <w:pPr>
        <w:pStyle w:val="berschrift1"/>
        <w:rPr>
          <w:lang w:val="fr-CH"/>
        </w:rPr>
      </w:pPr>
      <w:r w:rsidRPr="00D34728">
        <w:rPr>
          <w:lang w:val="fr-CH"/>
        </w:rPr>
        <w:t xml:space="preserve">Méthode </w:t>
      </w:r>
    </w:p>
    <w:p w14:paraId="042ADCF5" w14:textId="09DDB83F" w:rsidR="004F72ED" w:rsidRPr="00D34728" w:rsidRDefault="004F72ED" w:rsidP="004F72ED">
      <w:pPr>
        <w:pStyle w:val="berschrift2"/>
        <w:rPr>
          <w:lang w:val="fr-CH"/>
        </w:rPr>
      </w:pPr>
      <w:r w:rsidRPr="00D34728">
        <w:rPr>
          <w:lang w:val="fr-CH"/>
        </w:rPr>
        <w:t xml:space="preserve">Procédure et </w:t>
      </w:r>
      <w:r w:rsidR="007441B5">
        <w:rPr>
          <w:lang w:val="fr-CH"/>
        </w:rPr>
        <w:t>p</w:t>
      </w:r>
      <w:r w:rsidRPr="00D34728">
        <w:rPr>
          <w:lang w:val="fr-CH"/>
        </w:rPr>
        <w:t>ersonnes participantes</w:t>
      </w:r>
    </w:p>
    <w:p w14:paraId="55A160D3" w14:textId="6AB1283D" w:rsidR="009C2B59" w:rsidRDefault="004F72ED" w:rsidP="00E72087">
      <w:pPr>
        <w:pStyle w:val="Textkrper"/>
        <w:rPr>
          <w:color w:val="000000" w:themeColor="text1"/>
          <w:lang w:val="fr-CH"/>
        </w:rPr>
      </w:pPr>
      <w:r w:rsidRPr="00D34728">
        <w:rPr>
          <w:lang w:val="fr-CH"/>
        </w:rPr>
        <w:t xml:space="preserve">La recherche a été autorisée par le Département de la formation et des affaires culturelles (DFAC) du canton de Fribourg qui a indiqué les cercles scolaires dans lesquels la recherche peut être conduite. </w:t>
      </w:r>
      <w:r w:rsidRPr="00D34728">
        <w:rPr>
          <w:color w:val="000000" w:themeColor="text1"/>
          <w:lang w:val="fr-CH"/>
        </w:rPr>
        <w:t xml:space="preserve">La recherche comporte quatre temps de mesure : mai 2022 (T1), mai 2023 (T2), mai 2024 (T3), et un dernier agendé en mai 2025 (T4). </w:t>
      </w:r>
      <w:r w:rsidR="009C2B59">
        <w:rPr>
          <w:color w:val="000000" w:themeColor="text1"/>
          <w:lang w:val="fr-CH"/>
        </w:rPr>
        <w:br w:type="page"/>
      </w:r>
    </w:p>
    <w:p w14:paraId="7B6B5BB9" w14:textId="6F5A8BC6" w:rsidR="004F72ED" w:rsidRPr="00D34728" w:rsidRDefault="004F72ED" w:rsidP="004F72ED">
      <w:pPr>
        <w:pStyle w:val="Textkrper"/>
        <w:rPr>
          <w:color w:val="000000" w:themeColor="text1"/>
          <w:lang w:val="fr-CH"/>
        </w:rPr>
      </w:pPr>
      <w:r w:rsidRPr="00D34728">
        <w:rPr>
          <w:color w:val="000000" w:themeColor="text1"/>
          <w:lang w:val="fr-CH"/>
        </w:rPr>
        <w:lastRenderedPageBreak/>
        <w:t>Les élèves participants ont complété un questionnaire sur des tablettes mises à disposition par l’équipe de recherche en présence de leur enseignante ou de leur enseignant et d’un membre de l’équipe de recherche. Ce</w:t>
      </w:r>
      <w:r w:rsidR="00792D51">
        <w:rPr>
          <w:color w:val="000000" w:themeColor="text1"/>
          <w:lang w:val="fr-CH"/>
        </w:rPr>
        <w:t xml:space="preserve"> </w:t>
      </w:r>
      <w:r w:rsidRPr="00D34728">
        <w:rPr>
          <w:color w:val="000000" w:themeColor="text1"/>
          <w:lang w:val="fr-CH"/>
        </w:rPr>
        <w:t>derni</w:t>
      </w:r>
      <w:r w:rsidR="00792D51">
        <w:rPr>
          <w:color w:val="000000" w:themeColor="text1"/>
          <w:lang w:val="fr-CH"/>
        </w:rPr>
        <w:t>er</w:t>
      </w:r>
      <w:r w:rsidRPr="00D34728">
        <w:rPr>
          <w:color w:val="000000" w:themeColor="text1"/>
          <w:lang w:val="fr-CH"/>
        </w:rPr>
        <w:t xml:space="preserve"> a expliqué le but de la recherche, donné les instructions requises, veillé à garantir l</w:t>
      </w:r>
      <w:r w:rsidR="00A952CF">
        <w:rPr>
          <w:color w:val="000000" w:themeColor="text1"/>
          <w:lang w:val="fr-CH"/>
        </w:rPr>
        <w:t>’</w:t>
      </w:r>
      <w:r w:rsidRPr="00D34728">
        <w:rPr>
          <w:color w:val="000000" w:themeColor="text1"/>
          <w:lang w:val="fr-CH"/>
        </w:rPr>
        <w:t>anonymat, la liberté de participation et la possibilité d’interrompre l</w:t>
      </w:r>
      <w:r w:rsidR="00A952CF">
        <w:rPr>
          <w:color w:val="000000" w:themeColor="text1"/>
          <w:lang w:val="fr-CH"/>
        </w:rPr>
        <w:t>’</w:t>
      </w:r>
      <w:r w:rsidRPr="00D34728">
        <w:rPr>
          <w:color w:val="000000" w:themeColor="text1"/>
          <w:lang w:val="fr-CH"/>
        </w:rPr>
        <w:t xml:space="preserve">étude à tout moment. </w:t>
      </w:r>
    </w:p>
    <w:p w14:paraId="60AAB54D" w14:textId="5AF74734" w:rsidR="004F72ED" w:rsidRPr="00F160C2" w:rsidRDefault="004F72ED" w:rsidP="00F74EB9">
      <w:pPr>
        <w:pStyle w:val="Textkrper"/>
        <w:rPr>
          <w:lang w:val="fr-CH"/>
        </w:rPr>
      </w:pPr>
      <w:r w:rsidRPr="00582627">
        <w:rPr>
          <w:lang w:val="fr-CH"/>
        </w:rPr>
        <w:t>La recherche a inclus au total 551</w:t>
      </w:r>
      <w:r w:rsidR="00582627" w:rsidRPr="00582627">
        <w:rPr>
          <w:lang w:val="fr-CH"/>
        </w:rPr>
        <w:t> </w:t>
      </w:r>
      <w:r w:rsidRPr="00582627">
        <w:rPr>
          <w:lang w:val="fr-CH"/>
        </w:rPr>
        <w:t>élèves du T1 au T3 : en 2022, 184</w:t>
      </w:r>
      <w:r w:rsidR="00582627" w:rsidRPr="00582627">
        <w:rPr>
          <w:lang w:val="fr-CH"/>
        </w:rPr>
        <w:t> </w:t>
      </w:r>
      <w:r w:rsidRPr="00582627">
        <w:rPr>
          <w:lang w:val="fr-CH"/>
        </w:rPr>
        <w:t>élèves (98 garçons et 86 filles) de 8H entre 11 et 13 ans (</w:t>
      </w:r>
      <w:r w:rsidRPr="00C92B30">
        <w:rPr>
          <w:i/>
          <w:iCs/>
          <w:lang w:val="fr-CH"/>
        </w:rPr>
        <w:t>M</w:t>
      </w:r>
      <w:r w:rsidRPr="00582627">
        <w:rPr>
          <w:lang w:val="fr-CH"/>
        </w:rPr>
        <w:t xml:space="preserve"> = 12.38, </w:t>
      </w:r>
      <w:r w:rsidR="00792D51" w:rsidRPr="00C92B30">
        <w:rPr>
          <w:i/>
          <w:iCs/>
          <w:lang w:val="fr-CH"/>
        </w:rPr>
        <w:t>SD</w:t>
      </w:r>
      <w:r w:rsidRPr="00582627">
        <w:rPr>
          <w:lang w:val="fr-CH"/>
        </w:rPr>
        <w:t> = 0.48) issus de 10 classes ; en 2023, 190 élèves (98 garçons et 91 filles) de 8H entre 11 et 13 ans (</w:t>
      </w:r>
      <w:r w:rsidRPr="00C92B30">
        <w:rPr>
          <w:i/>
          <w:iCs/>
          <w:lang w:val="fr-CH"/>
        </w:rPr>
        <w:t>M</w:t>
      </w:r>
      <w:r w:rsidRPr="00582627">
        <w:rPr>
          <w:lang w:val="fr-CH"/>
        </w:rPr>
        <w:t xml:space="preserve"> = 12.00, </w:t>
      </w:r>
      <w:r w:rsidR="00792D51" w:rsidRPr="00C92B30">
        <w:rPr>
          <w:i/>
          <w:iCs/>
          <w:lang w:val="fr-CH"/>
        </w:rPr>
        <w:t>SD</w:t>
      </w:r>
      <w:r w:rsidRPr="00582627">
        <w:rPr>
          <w:lang w:val="fr-CH"/>
        </w:rPr>
        <w:t> = 0.45) issus de 13 classes ; en 2024, 177 élèves (84 garçons et 93 filles) de 8H entre 10 et 13 ans (</w:t>
      </w:r>
      <w:r w:rsidRPr="00C92B30">
        <w:rPr>
          <w:i/>
          <w:iCs/>
          <w:lang w:val="fr-CH"/>
        </w:rPr>
        <w:t>M</w:t>
      </w:r>
      <w:r w:rsidRPr="00582627">
        <w:rPr>
          <w:lang w:val="fr-CH"/>
        </w:rPr>
        <w:t xml:space="preserve"> = 11.98, </w:t>
      </w:r>
      <w:r w:rsidR="00792D51" w:rsidRPr="00C92B30">
        <w:rPr>
          <w:i/>
          <w:iCs/>
          <w:lang w:val="fr-CH"/>
        </w:rPr>
        <w:t>SD</w:t>
      </w:r>
      <w:r w:rsidR="00792D51" w:rsidRPr="00582627">
        <w:rPr>
          <w:lang w:val="fr-CH"/>
        </w:rPr>
        <w:t> </w:t>
      </w:r>
      <w:r w:rsidRPr="00582627">
        <w:rPr>
          <w:lang w:val="fr-CH"/>
        </w:rPr>
        <w:t xml:space="preserve">= 0.52). </w:t>
      </w:r>
      <w:r w:rsidRPr="00F160C2">
        <w:rPr>
          <w:lang w:val="fr-CH"/>
        </w:rPr>
        <w:t>Le Tableau 1 montre que les mesures de soutien les plus fréquemment dispensées en 8H sont assurées par les enseignantes spécialisées et les enseignants spécialisés ainsi que les psychologues.</w:t>
      </w:r>
    </w:p>
    <w:p w14:paraId="1A71D4DE" w14:textId="75617E9A" w:rsidR="00BF274C" w:rsidRPr="00D34728" w:rsidRDefault="004F72ED" w:rsidP="00BF274C">
      <w:pPr>
        <w:pStyle w:val="LegendeTabelle"/>
        <w:rPr>
          <w:lang w:val="fr-CH"/>
        </w:rPr>
      </w:pPr>
      <w:r w:rsidRPr="00D34728">
        <w:rPr>
          <w:lang w:val="fr-CH"/>
        </w:rPr>
        <w:t>Tableau 1 : Caractéristiques des participants</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63"/>
        <w:gridCol w:w="1910"/>
        <w:gridCol w:w="1910"/>
        <w:gridCol w:w="1910"/>
      </w:tblGrid>
      <w:tr w:rsidR="007703F2" w:rsidRPr="00D34728" w14:paraId="26D443A4" w14:textId="77777777" w:rsidTr="00E80C6E">
        <w:trPr>
          <w:trHeight w:val="485"/>
        </w:trPr>
        <w:tc>
          <w:tcPr>
            <w:tcW w:w="0" w:type="auto"/>
            <w:tcBorders>
              <w:bottom w:val="single" w:sz="4" w:space="0" w:color="auto"/>
            </w:tcBorders>
            <w:shd w:val="clear" w:color="auto" w:fill="51A66D" w:themeFill="accent4"/>
          </w:tcPr>
          <w:p w14:paraId="0E6EBD2D" w14:textId="77777777" w:rsidR="007703F2" w:rsidRPr="00D34728" w:rsidRDefault="007703F2" w:rsidP="001A2590">
            <w:pPr>
              <w:pStyle w:val="Textkrper"/>
              <w:rPr>
                <w:rFonts w:asciiTheme="majorHAnsi" w:hAnsiTheme="majorHAnsi" w:cstheme="majorHAnsi"/>
                <w:b/>
                <w:bCs/>
                <w:lang w:val="fr-CH"/>
              </w:rPr>
            </w:pPr>
            <w:r w:rsidRPr="00D34728">
              <w:rPr>
                <w:rFonts w:asciiTheme="majorHAnsi" w:hAnsiTheme="majorHAnsi" w:cstheme="majorHAnsi"/>
                <w:b/>
                <w:bCs/>
                <w:lang w:val="fr-CH"/>
              </w:rPr>
              <w:t>Caractéristique</w:t>
            </w:r>
          </w:p>
        </w:tc>
        <w:tc>
          <w:tcPr>
            <w:tcW w:w="0" w:type="auto"/>
            <w:tcBorders>
              <w:bottom w:val="single" w:sz="4" w:space="0" w:color="auto"/>
            </w:tcBorders>
            <w:shd w:val="clear" w:color="auto" w:fill="51A66D" w:themeFill="accent4"/>
          </w:tcPr>
          <w:p w14:paraId="495C2D4B" w14:textId="77777777" w:rsidR="007703F2" w:rsidRPr="00D34728" w:rsidRDefault="007703F2" w:rsidP="001A2590">
            <w:pPr>
              <w:pStyle w:val="Textkrper"/>
              <w:jc w:val="center"/>
              <w:rPr>
                <w:rFonts w:asciiTheme="majorHAnsi" w:hAnsiTheme="majorHAnsi" w:cstheme="majorHAnsi"/>
                <w:b/>
                <w:bCs/>
                <w:lang w:val="fr-CH"/>
              </w:rPr>
            </w:pPr>
            <w:r w:rsidRPr="00D34728">
              <w:rPr>
                <w:rFonts w:asciiTheme="majorHAnsi" w:hAnsiTheme="majorHAnsi" w:cstheme="majorHAnsi"/>
                <w:b/>
                <w:bCs/>
                <w:lang w:val="fr-CH"/>
              </w:rPr>
              <w:t>T1 (2022)</w:t>
            </w:r>
            <w:r w:rsidRPr="00D34728">
              <w:rPr>
                <w:rFonts w:asciiTheme="majorHAnsi" w:hAnsiTheme="majorHAnsi" w:cstheme="majorHAnsi"/>
                <w:b/>
                <w:bCs/>
                <w:i/>
                <w:iCs/>
                <w:lang w:val="fr-CH"/>
              </w:rPr>
              <w:br/>
              <w:t xml:space="preserve">N </w:t>
            </w:r>
            <w:r w:rsidRPr="00D34728">
              <w:rPr>
                <w:rFonts w:asciiTheme="majorHAnsi" w:hAnsiTheme="majorHAnsi" w:cstheme="majorHAnsi"/>
                <w:b/>
                <w:bCs/>
                <w:lang w:val="fr-CH"/>
              </w:rPr>
              <w:t>= 184</w:t>
            </w:r>
          </w:p>
        </w:tc>
        <w:tc>
          <w:tcPr>
            <w:tcW w:w="0" w:type="auto"/>
            <w:tcBorders>
              <w:bottom w:val="single" w:sz="4" w:space="0" w:color="auto"/>
            </w:tcBorders>
            <w:shd w:val="clear" w:color="auto" w:fill="51A66D" w:themeFill="accent4"/>
          </w:tcPr>
          <w:p w14:paraId="70427271" w14:textId="77777777" w:rsidR="007703F2" w:rsidRPr="00D34728" w:rsidRDefault="007703F2" w:rsidP="001A2590">
            <w:pPr>
              <w:pStyle w:val="Textkrper"/>
              <w:jc w:val="center"/>
              <w:rPr>
                <w:rFonts w:asciiTheme="majorHAnsi" w:hAnsiTheme="majorHAnsi" w:cstheme="majorHAnsi"/>
                <w:b/>
                <w:bCs/>
                <w:lang w:val="fr-CH"/>
              </w:rPr>
            </w:pPr>
            <w:r w:rsidRPr="00D34728">
              <w:rPr>
                <w:rFonts w:asciiTheme="majorHAnsi" w:hAnsiTheme="majorHAnsi" w:cstheme="majorHAnsi"/>
                <w:b/>
                <w:bCs/>
                <w:lang w:val="fr-CH"/>
              </w:rPr>
              <w:t>T2 (2023)</w:t>
            </w:r>
            <w:r w:rsidRPr="00D34728">
              <w:rPr>
                <w:rFonts w:asciiTheme="majorHAnsi" w:hAnsiTheme="majorHAnsi" w:cstheme="majorHAnsi"/>
                <w:b/>
                <w:bCs/>
                <w:i/>
                <w:iCs/>
                <w:lang w:val="fr-CH"/>
              </w:rPr>
              <w:br/>
              <w:t xml:space="preserve">N </w:t>
            </w:r>
            <w:r w:rsidRPr="00D34728">
              <w:rPr>
                <w:rFonts w:asciiTheme="majorHAnsi" w:hAnsiTheme="majorHAnsi" w:cstheme="majorHAnsi"/>
                <w:b/>
                <w:bCs/>
                <w:lang w:val="fr-CH"/>
              </w:rPr>
              <w:t>= 190</w:t>
            </w:r>
          </w:p>
        </w:tc>
        <w:tc>
          <w:tcPr>
            <w:tcW w:w="0" w:type="auto"/>
            <w:tcBorders>
              <w:bottom w:val="single" w:sz="4" w:space="0" w:color="auto"/>
            </w:tcBorders>
            <w:shd w:val="clear" w:color="auto" w:fill="51A66D" w:themeFill="accent4"/>
          </w:tcPr>
          <w:p w14:paraId="402D59A1" w14:textId="77777777" w:rsidR="007703F2" w:rsidRPr="00D34728" w:rsidRDefault="007703F2" w:rsidP="001A2590">
            <w:pPr>
              <w:pStyle w:val="Textkrper"/>
              <w:jc w:val="center"/>
              <w:rPr>
                <w:rFonts w:asciiTheme="majorHAnsi" w:hAnsiTheme="majorHAnsi" w:cstheme="majorHAnsi"/>
                <w:b/>
                <w:bCs/>
                <w:lang w:val="fr-CH"/>
              </w:rPr>
            </w:pPr>
            <w:r w:rsidRPr="00D34728">
              <w:rPr>
                <w:rFonts w:asciiTheme="majorHAnsi" w:hAnsiTheme="majorHAnsi" w:cstheme="majorHAnsi"/>
                <w:b/>
                <w:bCs/>
                <w:lang w:val="fr-CH"/>
              </w:rPr>
              <w:t>T3 (2024)</w:t>
            </w:r>
            <w:r w:rsidRPr="00D34728">
              <w:rPr>
                <w:rFonts w:asciiTheme="majorHAnsi" w:hAnsiTheme="majorHAnsi" w:cstheme="majorHAnsi"/>
                <w:b/>
                <w:bCs/>
                <w:i/>
                <w:iCs/>
                <w:lang w:val="fr-CH"/>
              </w:rPr>
              <w:br/>
              <w:t xml:space="preserve">N </w:t>
            </w:r>
            <w:r w:rsidRPr="00D34728">
              <w:rPr>
                <w:rFonts w:asciiTheme="majorHAnsi" w:hAnsiTheme="majorHAnsi" w:cstheme="majorHAnsi"/>
                <w:b/>
                <w:bCs/>
                <w:lang w:val="fr-CH"/>
              </w:rPr>
              <w:t>= 177</w:t>
            </w:r>
          </w:p>
        </w:tc>
      </w:tr>
      <w:tr w:rsidR="007703F2" w:rsidRPr="00D34728" w14:paraId="31DB52E2" w14:textId="77777777" w:rsidTr="000F7957">
        <w:trPr>
          <w:trHeight w:val="403"/>
        </w:trPr>
        <w:tc>
          <w:tcPr>
            <w:tcW w:w="0" w:type="auto"/>
            <w:gridSpan w:val="4"/>
            <w:tcBorders>
              <w:bottom w:val="nil"/>
            </w:tcBorders>
          </w:tcPr>
          <w:p w14:paraId="3833AF5D"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Nombres d’élèves par classe</w:t>
            </w:r>
          </w:p>
        </w:tc>
      </w:tr>
      <w:tr w:rsidR="007703F2" w:rsidRPr="00D34728" w14:paraId="6E483B4A" w14:textId="77777777" w:rsidTr="000F7957">
        <w:trPr>
          <w:trHeight w:val="403"/>
        </w:trPr>
        <w:tc>
          <w:tcPr>
            <w:tcW w:w="0" w:type="auto"/>
            <w:tcBorders>
              <w:top w:val="nil"/>
              <w:bottom w:val="nil"/>
            </w:tcBorders>
          </w:tcPr>
          <w:p w14:paraId="4607889C" w14:textId="76784BC4"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Moins de 17</w:t>
            </w:r>
            <w:r w:rsidR="00582627">
              <w:rPr>
                <w:rFonts w:asciiTheme="majorHAnsi" w:hAnsiTheme="majorHAnsi" w:cstheme="majorHAnsi"/>
                <w:lang w:val="fr-CH"/>
              </w:rPr>
              <w:t> </w:t>
            </w:r>
            <w:r w:rsidRPr="00D34728">
              <w:rPr>
                <w:rFonts w:asciiTheme="majorHAnsi" w:hAnsiTheme="majorHAnsi" w:cstheme="majorHAnsi"/>
                <w:lang w:val="fr-CH"/>
              </w:rPr>
              <w:t>élèves par classe</w:t>
            </w:r>
          </w:p>
        </w:tc>
        <w:tc>
          <w:tcPr>
            <w:tcW w:w="0" w:type="auto"/>
            <w:tcBorders>
              <w:top w:val="nil"/>
              <w:bottom w:val="nil"/>
            </w:tcBorders>
          </w:tcPr>
          <w:p w14:paraId="2A10A0B7"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43 (23.3 %)</w:t>
            </w:r>
          </w:p>
        </w:tc>
        <w:tc>
          <w:tcPr>
            <w:tcW w:w="0" w:type="auto"/>
            <w:tcBorders>
              <w:top w:val="nil"/>
              <w:bottom w:val="nil"/>
            </w:tcBorders>
          </w:tcPr>
          <w:p w14:paraId="5AF2505D"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40 (23.6 %)</w:t>
            </w:r>
          </w:p>
        </w:tc>
        <w:tc>
          <w:tcPr>
            <w:tcW w:w="0" w:type="auto"/>
            <w:tcBorders>
              <w:top w:val="nil"/>
              <w:bottom w:val="nil"/>
            </w:tcBorders>
          </w:tcPr>
          <w:p w14:paraId="1D01EF5B"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26 (14.7 %)</w:t>
            </w:r>
          </w:p>
        </w:tc>
      </w:tr>
      <w:tr w:rsidR="007703F2" w:rsidRPr="00D34728" w14:paraId="02C7059C" w14:textId="77777777" w:rsidTr="000F7957">
        <w:trPr>
          <w:trHeight w:val="403"/>
        </w:trPr>
        <w:tc>
          <w:tcPr>
            <w:tcW w:w="0" w:type="auto"/>
            <w:tcBorders>
              <w:top w:val="nil"/>
              <w:bottom w:val="nil"/>
            </w:tcBorders>
          </w:tcPr>
          <w:p w14:paraId="64177FCA" w14:textId="0C2AB06E"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Entre 18 et 21</w:t>
            </w:r>
            <w:r w:rsidR="00582627">
              <w:rPr>
                <w:rFonts w:asciiTheme="majorHAnsi" w:hAnsiTheme="majorHAnsi" w:cstheme="majorHAnsi"/>
                <w:lang w:val="fr-CH"/>
              </w:rPr>
              <w:t> </w:t>
            </w:r>
            <w:r w:rsidRPr="00D34728">
              <w:rPr>
                <w:rFonts w:asciiTheme="majorHAnsi" w:hAnsiTheme="majorHAnsi" w:cstheme="majorHAnsi"/>
                <w:lang w:val="fr-CH"/>
              </w:rPr>
              <w:t>élèves par classe</w:t>
            </w:r>
          </w:p>
        </w:tc>
        <w:tc>
          <w:tcPr>
            <w:tcW w:w="0" w:type="auto"/>
            <w:tcBorders>
              <w:top w:val="nil"/>
              <w:bottom w:val="nil"/>
            </w:tcBorders>
          </w:tcPr>
          <w:p w14:paraId="748E5699"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97 (52.7 %)</w:t>
            </w:r>
          </w:p>
        </w:tc>
        <w:tc>
          <w:tcPr>
            <w:tcW w:w="0" w:type="auto"/>
            <w:tcBorders>
              <w:top w:val="nil"/>
              <w:bottom w:val="nil"/>
            </w:tcBorders>
          </w:tcPr>
          <w:p w14:paraId="139D3335"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73 (38.4 %)</w:t>
            </w:r>
          </w:p>
        </w:tc>
        <w:tc>
          <w:tcPr>
            <w:tcW w:w="0" w:type="auto"/>
            <w:tcBorders>
              <w:top w:val="nil"/>
              <w:bottom w:val="nil"/>
            </w:tcBorders>
          </w:tcPr>
          <w:p w14:paraId="10C2230B"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56 (31.6 %)</w:t>
            </w:r>
          </w:p>
        </w:tc>
      </w:tr>
      <w:tr w:rsidR="007703F2" w:rsidRPr="00D34728" w14:paraId="47822806" w14:textId="77777777" w:rsidTr="000F7957">
        <w:trPr>
          <w:trHeight w:val="403"/>
        </w:trPr>
        <w:tc>
          <w:tcPr>
            <w:tcW w:w="0" w:type="auto"/>
            <w:tcBorders>
              <w:top w:val="nil"/>
            </w:tcBorders>
          </w:tcPr>
          <w:p w14:paraId="282EF662" w14:textId="2DCC3ED7" w:rsidR="007703F2" w:rsidRPr="00D34728" w:rsidRDefault="007703F2" w:rsidP="001A2590">
            <w:pPr>
              <w:pStyle w:val="Textkrper"/>
              <w:rPr>
                <w:rFonts w:asciiTheme="majorHAnsi" w:hAnsiTheme="majorHAnsi" w:cstheme="majorHAnsi"/>
                <w:b/>
                <w:bCs/>
                <w:lang w:val="fr-CH"/>
              </w:rPr>
            </w:pPr>
            <w:r w:rsidRPr="00D34728">
              <w:rPr>
                <w:rFonts w:asciiTheme="majorHAnsi" w:hAnsiTheme="majorHAnsi" w:cstheme="majorHAnsi"/>
                <w:lang w:val="fr-CH"/>
              </w:rPr>
              <w:t>Entre 22 et 25</w:t>
            </w:r>
            <w:r w:rsidR="00582627">
              <w:rPr>
                <w:rFonts w:asciiTheme="majorHAnsi" w:hAnsiTheme="majorHAnsi" w:cstheme="majorHAnsi"/>
                <w:lang w:val="fr-CH"/>
              </w:rPr>
              <w:t> </w:t>
            </w:r>
            <w:r w:rsidRPr="00D34728">
              <w:rPr>
                <w:rFonts w:asciiTheme="majorHAnsi" w:hAnsiTheme="majorHAnsi" w:cstheme="majorHAnsi"/>
                <w:lang w:val="fr-CH"/>
              </w:rPr>
              <w:t>élèves par classe</w:t>
            </w:r>
          </w:p>
        </w:tc>
        <w:tc>
          <w:tcPr>
            <w:tcW w:w="0" w:type="auto"/>
            <w:tcBorders>
              <w:top w:val="nil"/>
            </w:tcBorders>
          </w:tcPr>
          <w:p w14:paraId="2CAED6BC"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44 (24 %)</w:t>
            </w:r>
          </w:p>
        </w:tc>
        <w:tc>
          <w:tcPr>
            <w:tcW w:w="0" w:type="auto"/>
            <w:tcBorders>
              <w:top w:val="nil"/>
            </w:tcBorders>
          </w:tcPr>
          <w:p w14:paraId="4A70BF91"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72 (27.9 %)</w:t>
            </w:r>
          </w:p>
        </w:tc>
        <w:tc>
          <w:tcPr>
            <w:tcW w:w="0" w:type="auto"/>
            <w:tcBorders>
              <w:top w:val="nil"/>
            </w:tcBorders>
          </w:tcPr>
          <w:p w14:paraId="6271EC46"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95 (53.7 %)</w:t>
            </w:r>
          </w:p>
        </w:tc>
      </w:tr>
      <w:tr w:rsidR="007703F2" w:rsidRPr="00D34728" w14:paraId="0B7ADCF9" w14:textId="77777777" w:rsidTr="000F7957">
        <w:trPr>
          <w:trHeight w:val="401"/>
        </w:trPr>
        <w:tc>
          <w:tcPr>
            <w:tcW w:w="0" w:type="auto"/>
          </w:tcPr>
          <w:p w14:paraId="67464BEA"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Redoublement</w:t>
            </w:r>
          </w:p>
        </w:tc>
        <w:tc>
          <w:tcPr>
            <w:tcW w:w="0" w:type="auto"/>
          </w:tcPr>
          <w:p w14:paraId="0EDB32C4"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11 (6 %)</w:t>
            </w:r>
          </w:p>
        </w:tc>
        <w:tc>
          <w:tcPr>
            <w:tcW w:w="0" w:type="auto"/>
          </w:tcPr>
          <w:p w14:paraId="0A374C1E"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18 (9.5 %)</w:t>
            </w:r>
          </w:p>
        </w:tc>
        <w:tc>
          <w:tcPr>
            <w:tcW w:w="0" w:type="auto"/>
          </w:tcPr>
          <w:p w14:paraId="066FD63F"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20 (11.3 %)</w:t>
            </w:r>
          </w:p>
        </w:tc>
      </w:tr>
      <w:tr w:rsidR="007703F2" w:rsidRPr="00D34728" w14:paraId="7085F777" w14:textId="77777777" w:rsidTr="000F7957">
        <w:trPr>
          <w:trHeight w:val="784"/>
        </w:trPr>
        <w:tc>
          <w:tcPr>
            <w:tcW w:w="0" w:type="auto"/>
          </w:tcPr>
          <w:p w14:paraId="037BE4C6"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Mesure de soutien</w:t>
            </w:r>
          </w:p>
        </w:tc>
        <w:tc>
          <w:tcPr>
            <w:tcW w:w="0" w:type="auto"/>
          </w:tcPr>
          <w:p w14:paraId="430428C4"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Oui</w:t>
            </w:r>
            <w:r w:rsidRPr="00D34728">
              <w:rPr>
                <w:rFonts w:asciiTheme="majorHAnsi" w:hAnsiTheme="majorHAnsi" w:cstheme="majorHAnsi"/>
                <w:i/>
                <w:iCs/>
                <w:lang w:val="fr-CH"/>
              </w:rPr>
              <w:t xml:space="preserve"> </w:t>
            </w:r>
            <w:r w:rsidRPr="00D34728">
              <w:rPr>
                <w:rFonts w:asciiTheme="majorHAnsi" w:hAnsiTheme="majorHAnsi" w:cstheme="majorHAnsi"/>
                <w:lang w:val="fr-CH"/>
              </w:rPr>
              <w:t>(</w:t>
            </w:r>
            <w:r w:rsidRPr="00D34728">
              <w:rPr>
                <w:rFonts w:asciiTheme="majorHAnsi" w:hAnsiTheme="majorHAnsi" w:cstheme="majorHAnsi"/>
                <w:i/>
                <w:iCs/>
                <w:lang w:val="fr-CH"/>
              </w:rPr>
              <w:t>n </w:t>
            </w:r>
            <w:r w:rsidRPr="00D34728">
              <w:rPr>
                <w:rFonts w:asciiTheme="majorHAnsi" w:hAnsiTheme="majorHAnsi" w:cstheme="majorHAnsi"/>
                <w:lang w:val="fr-CH"/>
              </w:rPr>
              <w:t>= 30 ; 16.3 %)</w:t>
            </w:r>
          </w:p>
          <w:p w14:paraId="119CC0D2"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Non (</w:t>
            </w:r>
            <w:r w:rsidRPr="00D34728">
              <w:rPr>
                <w:rFonts w:asciiTheme="majorHAnsi" w:hAnsiTheme="majorHAnsi" w:cstheme="majorHAnsi"/>
                <w:i/>
                <w:iCs/>
                <w:lang w:val="fr-CH"/>
              </w:rPr>
              <w:t>n </w:t>
            </w:r>
            <w:r w:rsidRPr="00D34728">
              <w:rPr>
                <w:rFonts w:asciiTheme="majorHAnsi" w:hAnsiTheme="majorHAnsi" w:cstheme="majorHAnsi"/>
                <w:lang w:val="fr-CH"/>
              </w:rPr>
              <w:t>= 154)</w:t>
            </w:r>
          </w:p>
        </w:tc>
        <w:tc>
          <w:tcPr>
            <w:tcW w:w="0" w:type="auto"/>
          </w:tcPr>
          <w:p w14:paraId="459DF50E"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Oui</w:t>
            </w:r>
            <w:r w:rsidRPr="00D34728">
              <w:rPr>
                <w:rFonts w:asciiTheme="majorHAnsi" w:hAnsiTheme="majorHAnsi" w:cstheme="majorHAnsi"/>
                <w:i/>
                <w:iCs/>
                <w:lang w:val="fr-CH"/>
              </w:rPr>
              <w:t xml:space="preserve"> </w:t>
            </w:r>
            <w:r w:rsidRPr="00D34728">
              <w:rPr>
                <w:rFonts w:asciiTheme="majorHAnsi" w:hAnsiTheme="majorHAnsi" w:cstheme="majorHAnsi"/>
                <w:lang w:val="fr-CH"/>
              </w:rPr>
              <w:t>(</w:t>
            </w:r>
            <w:r w:rsidRPr="00D34728">
              <w:rPr>
                <w:rFonts w:asciiTheme="majorHAnsi" w:hAnsiTheme="majorHAnsi" w:cstheme="majorHAnsi"/>
                <w:i/>
                <w:iCs/>
                <w:lang w:val="fr-CH"/>
              </w:rPr>
              <w:t>n </w:t>
            </w:r>
            <w:r w:rsidRPr="00D34728">
              <w:rPr>
                <w:rFonts w:asciiTheme="majorHAnsi" w:hAnsiTheme="majorHAnsi" w:cstheme="majorHAnsi"/>
                <w:lang w:val="fr-CH"/>
              </w:rPr>
              <w:t>= 31 ; 16.3 %)</w:t>
            </w:r>
          </w:p>
          <w:p w14:paraId="57CEFFD6"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Non (</w:t>
            </w:r>
            <w:r w:rsidRPr="00D34728">
              <w:rPr>
                <w:rFonts w:asciiTheme="majorHAnsi" w:hAnsiTheme="majorHAnsi" w:cstheme="majorHAnsi"/>
                <w:i/>
                <w:iCs/>
                <w:lang w:val="fr-CH"/>
              </w:rPr>
              <w:t>n </w:t>
            </w:r>
            <w:r w:rsidRPr="00D34728">
              <w:rPr>
                <w:rFonts w:asciiTheme="majorHAnsi" w:hAnsiTheme="majorHAnsi" w:cstheme="majorHAnsi"/>
                <w:lang w:val="fr-CH"/>
              </w:rPr>
              <w:t>= 160)</w:t>
            </w:r>
          </w:p>
        </w:tc>
        <w:tc>
          <w:tcPr>
            <w:tcW w:w="0" w:type="auto"/>
          </w:tcPr>
          <w:p w14:paraId="3B39A835"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Oui</w:t>
            </w:r>
            <w:r w:rsidRPr="00D34728">
              <w:rPr>
                <w:rFonts w:asciiTheme="majorHAnsi" w:hAnsiTheme="majorHAnsi" w:cstheme="majorHAnsi"/>
                <w:i/>
                <w:iCs/>
                <w:lang w:val="fr-CH"/>
              </w:rPr>
              <w:t xml:space="preserve"> </w:t>
            </w:r>
            <w:r w:rsidRPr="00D34728">
              <w:rPr>
                <w:rFonts w:asciiTheme="majorHAnsi" w:hAnsiTheme="majorHAnsi" w:cstheme="majorHAnsi"/>
                <w:lang w:val="fr-CH"/>
              </w:rPr>
              <w:t>(</w:t>
            </w:r>
            <w:r w:rsidRPr="00D34728">
              <w:rPr>
                <w:rFonts w:asciiTheme="majorHAnsi" w:hAnsiTheme="majorHAnsi" w:cstheme="majorHAnsi"/>
                <w:i/>
                <w:iCs/>
                <w:lang w:val="fr-CH"/>
              </w:rPr>
              <w:t>n </w:t>
            </w:r>
            <w:r w:rsidRPr="00D34728">
              <w:rPr>
                <w:rFonts w:asciiTheme="majorHAnsi" w:hAnsiTheme="majorHAnsi" w:cstheme="majorHAnsi"/>
                <w:lang w:val="fr-CH"/>
              </w:rPr>
              <w:t>= 36 ; 20.3 %)</w:t>
            </w:r>
          </w:p>
          <w:p w14:paraId="2DF6CF93"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Non (</w:t>
            </w:r>
            <w:r w:rsidRPr="00D34728">
              <w:rPr>
                <w:rFonts w:asciiTheme="majorHAnsi" w:hAnsiTheme="majorHAnsi" w:cstheme="majorHAnsi"/>
                <w:i/>
                <w:iCs/>
                <w:lang w:val="fr-CH"/>
              </w:rPr>
              <w:t>n </w:t>
            </w:r>
            <w:r w:rsidRPr="00D34728">
              <w:rPr>
                <w:rFonts w:asciiTheme="majorHAnsi" w:hAnsiTheme="majorHAnsi" w:cstheme="majorHAnsi"/>
                <w:lang w:val="fr-CH"/>
              </w:rPr>
              <w:t>= 138)</w:t>
            </w:r>
          </w:p>
        </w:tc>
      </w:tr>
      <w:tr w:rsidR="007703F2" w:rsidRPr="00D34728" w14:paraId="6DB27ECF" w14:textId="77777777" w:rsidTr="000F7957">
        <w:trPr>
          <w:trHeight w:val="403"/>
        </w:trPr>
        <w:tc>
          <w:tcPr>
            <w:tcW w:w="0" w:type="auto"/>
          </w:tcPr>
          <w:p w14:paraId="5E7391DB"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Enseignant spécialisé</w:t>
            </w:r>
          </w:p>
        </w:tc>
        <w:tc>
          <w:tcPr>
            <w:tcW w:w="0" w:type="auto"/>
          </w:tcPr>
          <w:p w14:paraId="12AF61B1"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10</w:t>
            </w:r>
          </w:p>
        </w:tc>
        <w:tc>
          <w:tcPr>
            <w:tcW w:w="0" w:type="auto"/>
          </w:tcPr>
          <w:p w14:paraId="6D4382B0"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8</w:t>
            </w:r>
          </w:p>
        </w:tc>
        <w:tc>
          <w:tcPr>
            <w:tcW w:w="0" w:type="auto"/>
          </w:tcPr>
          <w:p w14:paraId="51F98D67"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16</w:t>
            </w:r>
          </w:p>
        </w:tc>
      </w:tr>
      <w:tr w:rsidR="007703F2" w:rsidRPr="00D34728" w14:paraId="3A09684D" w14:textId="77777777" w:rsidTr="000F7957">
        <w:trPr>
          <w:trHeight w:val="403"/>
        </w:trPr>
        <w:tc>
          <w:tcPr>
            <w:tcW w:w="0" w:type="auto"/>
          </w:tcPr>
          <w:p w14:paraId="73B7B598"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Psychologue ou pédopsychiatre</w:t>
            </w:r>
          </w:p>
        </w:tc>
        <w:tc>
          <w:tcPr>
            <w:tcW w:w="0" w:type="auto"/>
          </w:tcPr>
          <w:p w14:paraId="69BE85B9"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7</w:t>
            </w:r>
          </w:p>
        </w:tc>
        <w:tc>
          <w:tcPr>
            <w:tcW w:w="0" w:type="auto"/>
          </w:tcPr>
          <w:p w14:paraId="4D1CEDA3"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9</w:t>
            </w:r>
          </w:p>
        </w:tc>
        <w:tc>
          <w:tcPr>
            <w:tcW w:w="0" w:type="auto"/>
          </w:tcPr>
          <w:p w14:paraId="69D5617A"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12</w:t>
            </w:r>
          </w:p>
        </w:tc>
      </w:tr>
      <w:tr w:rsidR="007703F2" w:rsidRPr="00D34728" w14:paraId="11850C8D" w14:textId="77777777" w:rsidTr="000F7957">
        <w:trPr>
          <w:trHeight w:val="403"/>
        </w:trPr>
        <w:tc>
          <w:tcPr>
            <w:tcW w:w="0" w:type="auto"/>
          </w:tcPr>
          <w:p w14:paraId="15F329CB"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Logopédiste</w:t>
            </w:r>
          </w:p>
        </w:tc>
        <w:tc>
          <w:tcPr>
            <w:tcW w:w="0" w:type="auto"/>
          </w:tcPr>
          <w:p w14:paraId="2C96FFBA"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4</w:t>
            </w:r>
          </w:p>
        </w:tc>
        <w:tc>
          <w:tcPr>
            <w:tcW w:w="0" w:type="auto"/>
          </w:tcPr>
          <w:p w14:paraId="37DD5824"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7</w:t>
            </w:r>
          </w:p>
        </w:tc>
        <w:tc>
          <w:tcPr>
            <w:tcW w:w="0" w:type="auto"/>
          </w:tcPr>
          <w:p w14:paraId="418B2130"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3</w:t>
            </w:r>
          </w:p>
        </w:tc>
      </w:tr>
      <w:tr w:rsidR="007703F2" w:rsidRPr="00D34728" w14:paraId="0DA2885A" w14:textId="77777777" w:rsidTr="000F7957">
        <w:trPr>
          <w:trHeight w:val="403"/>
        </w:trPr>
        <w:tc>
          <w:tcPr>
            <w:tcW w:w="0" w:type="auto"/>
          </w:tcPr>
          <w:p w14:paraId="383F3618"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Ergothérapeute, psychomotricien</w:t>
            </w:r>
          </w:p>
        </w:tc>
        <w:tc>
          <w:tcPr>
            <w:tcW w:w="0" w:type="auto"/>
          </w:tcPr>
          <w:p w14:paraId="6C0B0B63"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w:t>
            </w:r>
          </w:p>
        </w:tc>
        <w:tc>
          <w:tcPr>
            <w:tcW w:w="0" w:type="auto"/>
          </w:tcPr>
          <w:p w14:paraId="7EC0B88B"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w:t>
            </w:r>
          </w:p>
        </w:tc>
        <w:tc>
          <w:tcPr>
            <w:tcW w:w="0" w:type="auto"/>
          </w:tcPr>
          <w:p w14:paraId="427495C5"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0</w:t>
            </w:r>
          </w:p>
        </w:tc>
      </w:tr>
      <w:tr w:rsidR="007703F2" w:rsidRPr="00D34728" w14:paraId="7C21005E" w14:textId="77777777" w:rsidTr="000F7957">
        <w:trPr>
          <w:trHeight w:val="403"/>
        </w:trPr>
        <w:tc>
          <w:tcPr>
            <w:tcW w:w="0" w:type="auto"/>
          </w:tcPr>
          <w:p w14:paraId="2F5599BF"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Double suivi</w:t>
            </w:r>
          </w:p>
        </w:tc>
        <w:tc>
          <w:tcPr>
            <w:tcW w:w="0" w:type="auto"/>
          </w:tcPr>
          <w:p w14:paraId="01F7FEF2"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6</w:t>
            </w:r>
          </w:p>
        </w:tc>
        <w:tc>
          <w:tcPr>
            <w:tcW w:w="0" w:type="auto"/>
          </w:tcPr>
          <w:p w14:paraId="21FC3320"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3</w:t>
            </w:r>
          </w:p>
        </w:tc>
        <w:tc>
          <w:tcPr>
            <w:tcW w:w="0" w:type="auto"/>
          </w:tcPr>
          <w:p w14:paraId="634228B8"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4</w:t>
            </w:r>
          </w:p>
        </w:tc>
      </w:tr>
      <w:tr w:rsidR="007703F2" w:rsidRPr="00D34728" w14:paraId="5E6A64D3" w14:textId="77777777" w:rsidTr="000F7957">
        <w:trPr>
          <w:trHeight w:val="403"/>
        </w:trPr>
        <w:tc>
          <w:tcPr>
            <w:tcW w:w="0" w:type="auto"/>
          </w:tcPr>
          <w:p w14:paraId="19181B13" w14:textId="77777777" w:rsidR="007703F2" w:rsidRPr="00D34728" w:rsidRDefault="007703F2" w:rsidP="001A2590">
            <w:pPr>
              <w:pStyle w:val="Textkrper"/>
              <w:rPr>
                <w:rFonts w:asciiTheme="majorHAnsi" w:hAnsiTheme="majorHAnsi" w:cstheme="majorHAnsi"/>
                <w:lang w:val="fr-CH"/>
              </w:rPr>
            </w:pPr>
            <w:r w:rsidRPr="00D34728">
              <w:rPr>
                <w:rFonts w:asciiTheme="majorHAnsi" w:hAnsiTheme="majorHAnsi" w:cstheme="majorHAnsi"/>
                <w:lang w:val="fr-CH"/>
              </w:rPr>
              <w:t>Autre (FLS, éducateur social)</w:t>
            </w:r>
          </w:p>
        </w:tc>
        <w:tc>
          <w:tcPr>
            <w:tcW w:w="0" w:type="auto"/>
          </w:tcPr>
          <w:p w14:paraId="4CD3645E"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2</w:t>
            </w:r>
          </w:p>
        </w:tc>
        <w:tc>
          <w:tcPr>
            <w:tcW w:w="0" w:type="auto"/>
          </w:tcPr>
          <w:p w14:paraId="64BE5A64"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3</w:t>
            </w:r>
          </w:p>
        </w:tc>
        <w:tc>
          <w:tcPr>
            <w:tcW w:w="0" w:type="auto"/>
          </w:tcPr>
          <w:p w14:paraId="759E8BE9" w14:textId="77777777" w:rsidR="007703F2" w:rsidRPr="00D34728" w:rsidRDefault="007703F2" w:rsidP="001A2590">
            <w:pPr>
              <w:pStyle w:val="Textkrper"/>
              <w:jc w:val="center"/>
              <w:rPr>
                <w:rFonts w:asciiTheme="majorHAnsi" w:hAnsiTheme="majorHAnsi" w:cstheme="majorHAnsi"/>
                <w:lang w:val="fr-CH"/>
              </w:rPr>
            </w:pPr>
            <w:r w:rsidRPr="00D34728">
              <w:rPr>
                <w:rFonts w:asciiTheme="majorHAnsi" w:hAnsiTheme="majorHAnsi" w:cstheme="majorHAnsi"/>
                <w:lang w:val="fr-CH"/>
              </w:rPr>
              <w:t>1</w:t>
            </w:r>
          </w:p>
        </w:tc>
      </w:tr>
    </w:tbl>
    <w:p w14:paraId="77EBE87C" w14:textId="251E5C09" w:rsidR="0018320F" w:rsidRPr="00D34728" w:rsidRDefault="0018320F" w:rsidP="0018320F">
      <w:pPr>
        <w:pStyle w:val="NotizTabelle"/>
        <w:rPr>
          <w:i/>
          <w:lang w:val="fr-CH"/>
        </w:rPr>
      </w:pPr>
      <w:r w:rsidRPr="00D34728">
        <w:rPr>
          <w:i/>
          <w:lang w:val="fr-CH"/>
        </w:rPr>
        <w:t xml:space="preserve">Note. </w:t>
      </w:r>
      <w:r w:rsidRPr="00D34728">
        <w:rPr>
          <w:lang w:val="fr-CH"/>
        </w:rPr>
        <w:t>FLS = Français Langue Seconde (soutien en français)</w:t>
      </w:r>
      <w:r w:rsidR="00792D51">
        <w:rPr>
          <w:lang w:val="fr-CH"/>
        </w:rPr>
        <w:t> ; T1 = Premier temps de mesure ; T2 = Deuxième temps de mesure ; T3 = Troisième temps de mesure</w:t>
      </w:r>
    </w:p>
    <w:p w14:paraId="4529316E" w14:textId="77777777" w:rsidR="00787A36" w:rsidRPr="00D34728" w:rsidRDefault="00787A36" w:rsidP="00787A36">
      <w:pPr>
        <w:pStyle w:val="berschrift2"/>
        <w:rPr>
          <w:lang w:val="fr-CH"/>
        </w:rPr>
      </w:pPr>
      <w:r w:rsidRPr="00D34728">
        <w:rPr>
          <w:lang w:val="fr-CH"/>
        </w:rPr>
        <w:t>Outils de mesure</w:t>
      </w:r>
    </w:p>
    <w:p w14:paraId="73E94151" w14:textId="52E493DC" w:rsidR="00667E88" w:rsidRPr="00D34728" w:rsidRDefault="00940D7D" w:rsidP="00667E88">
      <w:pPr>
        <w:pStyle w:val="Textkrper"/>
        <w:rPr>
          <w:rFonts w:asciiTheme="majorHAnsi" w:hAnsiTheme="majorHAnsi" w:cstheme="majorHAnsi"/>
          <w:color w:val="000000" w:themeColor="text1"/>
          <w:lang w:val="fr-CH"/>
        </w:rPr>
      </w:pPr>
      <w:r w:rsidRPr="00D34728">
        <w:rPr>
          <w:rFonts w:asciiTheme="majorHAnsi" w:hAnsiTheme="majorHAnsi" w:cstheme="majorHAnsi"/>
          <w:color w:val="000000" w:themeColor="text1"/>
          <w:lang w:val="fr-CH"/>
        </w:rPr>
        <w:t xml:space="preserve">Le questionnaire </w:t>
      </w:r>
      <w:proofErr w:type="spellStart"/>
      <w:r w:rsidRPr="00D34728">
        <w:rPr>
          <w:rFonts w:asciiTheme="majorHAnsi" w:hAnsiTheme="majorHAnsi" w:cstheme="majorHAnsi"/>
          <w:color w:val="000000" w:themeColor="text1"/>
          <w:lang w:val="fr-CH"/>
        </w:rPr>
        <w:t>autoreporté</w:t>
      </w:r>
      <w:proofErr w:type="spellEnd"/>
      <w:r w:rsidRPr="00D34728">
        <w:rPr>
          <w:rFonts w:asciiTheme="majorHAnsi" w:hAnsiTheme="majorHAnsi" w:cstheme="majorHAnsi"/>
          <w:color w:val="000000" w:themeColor="text1"/>
          <w:lang w:val="fr-CH"/>
        </w:rPr>
        <w:t xml:space="preserve"> se compose de quatre parties. La partie 1 recueille des informations sociodémographiques, les facteurs de risque personnels (confiance, symptômes somatiques, moyennes en mathématiques et en français) et les soutiens scolaires existants (enseignants spécialisés, psychologie, logopédie, etc.). La partie 2 documente les facteurs interpersonnels, en examinant la perception qu</w:t>
      </w:r>
      <w:r w:rsidR="00F76938">
        <w:rPr>
          <w:rFonts w:asciiTheme="majorHAnsi" w:hAnsiTheme="majorHAnsi" w:cstheme="majorHAnsi"/>
          <w:color w:val="000000" w:themeColor="text1"/>
          <w:lang w:val="fr-CH"/>
        </w:rPr>
        <w:t>’</w:t>
      </w:r>
      <w:r w:rsidRPr="00D34728">
        <w:rPr>
          <w:rFonts w:asciiTheme="majorHAnsi" w:hAnsiTheme="majorHAnsi" w:cstheme="majorHAnsi"/>
          <w:color w:val="000000" w:themeColor="text1"/>
          <w:lang w:val="fr-CH"/>
        </w:rPr>
        <w:t>ont les élèves du soutien reçu de la part de leurs parents, de leurs enseignants et de leurs camarades de classe. La partie 3 mesure le burnout scolaire à l</w:t>
      </w:r>
      <w:r w:rsidR="00F76938">
        <w:rPr>
          <w:rFonts w:asciiTheme="majorHAnsi" w:hAnsiTheme="majorHAnsi" w:cstheme="majorHAnsi"/>
          <w:color w:val="000000" w:themeColor="text1"/>
          <w:lang w:val="fr-CH"/>
        </w:rPr>
        <w:t>’</w:t>
      </w:r>
      <w:r w:rsidRPr="00D34728">
        <w:rPr>
          <w:rFonts w:asciiTheme="majorHAnsi" w:hAnsiTheme="majorHAnsi" w:cstheme="majorHAnsi"/>
          <w:color w:val="000000" w:themeColor="text1"/>
          <w:lang w:val="fr-CH"/>
        </w:rPr>
        <w:t xml:space="preserve">aide du </w:t>
      </w:r>
      <w:proofErr w:type="spellStart"/>
      <w:r w:rsidRPr="00D34728">
        <w:rPr>
          <w:rFonts w:asciiTheme="majorHAnsi" w:hAnsiTheme="majorHAnsi" w:cstheme="majorHAnsi"/>
          <w:i/>
          <w:iCs/>
          <w:color w:val="000000" w:themeColor="text1"/>
          <w:lang w:val="fr-CH"/>
        </w:rPr>
        <w:t>School</w:t>
      </w:r>
      <w:proofErr w:type="spellEnd"/>
      <w:r w:rsidRPr="00D34728">
        <w:rPr>
          <w:rFonts w:asciiTheme="majorHAnsi" w:hAnsiTheme="majorHAnsi" w:cstheme="majorHAnsi"/>
          <w:i/>
          <w:iCs/>
          <w:color w:val="000000" w:themeColor="text1"/>
          <w:lang w:val="fr-CH"/>
        </w:rPr>
        <w:t xml:space="preserve"> Burnout Inventory</w:t>
      </w:r>
      <w:r w:rsidRPr="00D34728">
        <w:rPr>
          <w:rFonts w:asciiTheme="majorHAnsi" w:hAnsiTheme="majorHAnsi" w:cstheme="majorHAnsi"/>
          <w:color w:val="000000" w:themeColor="text1"/>
          <w:lang w:val="fr-CH"/>
        </w:rPr>
        <w:t xml:space="preserve"> (SBI) de </w:t>
      </w:r>
      <w:proofErr w:type="spellStart"/>
      <w:r w:rsidRPr="00D34728">
        <w:rPr>
          <w:rFonts w:asciiTheme="majorHAnsi" w:hAnsiTheme="majorHAnsi" w:cstheme="majorHAnsi"/>
          <w:color w:val="000000" w:themeColor="text1"/>
          <w:lang w:val="fr-CH"/>
        </w:rPr>
        <w:t>Salmela-Aro</w:t>
      </w:r>
      <w:proofErr w:type="spellEnd"/>
      <w:r w:rsidRPr="00D34728">
        <w:rPr>
          <w:rFonts w:asciiTheme="majorHAnsi" w:hAnsiTheme="majorHAnsi" w:cstheme="majorHAnsi"/>
          <w:color w:val="000000" w:themeColor="text1"/>
          <w:lang w:val="fr-CH"/>
        </w:rPr>
        <w:t xml:space="preserve"> et al. (2009), traduit et validé en français par Meylan et al. (2015). Dans cette étude, l</w:t>
      </w:r>
      <w:r w:rsidR="00F76938">
        <w:rPr>
          <w:rFonts w:asciiTheme="majorHAnsi" w:hAnsiTheme="majorHAnsi" w:cstheme="majorHAnsi"/>
          <w:color w:val="000000" w:themeColor="text1"/>
          <w:lang w:val="fr-CH"/>
        </w:rPr>
        <w:t>’</w:t>
      </w:r>
      <w:r w:rsidRPr="00D34728">
        <w:rPr>
          <w:rFonts w:asciiTheme="majorHAnsi" w:hAnsiTheme="majorHAnsi" w:cstheme="majorHAnsi"/>
          <w:color w:val="000000" w:themeColor="text1"/>
          <w:lang w:val="fr-CH"/>
        </w:rPr>
        <w:t>échelle SBI a obtenu un alpha de Cronbach de 0.89, indiquant une forte cohérence interne. La partie 4 mesure les facteurs de risque interpersonnels et environnementaux à l</w:t>
      </w:r>
      <w:r w:rsidR="00F76938">
        <w:rPr>
          <w:rFonts w:asciiTheme="majorHAnsi" w:hAnsiTheme="majorHAnsi" w:cstheme="majorHAnsi"/>
          <w:color w:val="000000" w:themeColor="text1"/>
          <w:lang w:val="fr-CH"/>
        </w:rPr>
        <w:t>’</w:t>
      </w:r>
      <w:r w:rsidRPr="00D34728">
        <w:rPr>
          <w:rFonts w:asciiTheme="majorHAnsi" w:hAnsiTheme="majorHAnsi" w:cstheme="majorHAnsi"/>
          <w:color w:val="000000" w:themeColor="text1"/>
          <w:lang w:val="fr-CH"/>
        </w:rPr>
        <w:t>aide de l</w:t>
      </w:r>
      <w:r w:rsidR="00F76938">
        <w:rPr>
          <w:rFonts w:asciiTheme="majorHAnsi" w:hAnsiTheme="majorHAnsi" w:cstheme="majorHAnsi"/>
          <w:color w:val="000000" w:themeColor="text1"/>
          <w:lang w:val="fr-CH"/>
        </w:rPr>
        <w:t>’</w:t>
      </w:r>
      <w:r w:rsidR="001460D8">
        <w:rPr>
          <w:rFonts w:asciiTheme="majorHAnsi" w:hAnsiTheme="majorHAnsi" w:cstheme="majorHAnsi"/>
          <w:color w:val="000000" w:themeColor="text1"/>
          <w:lang w:val="fr-CH"/>
        </w:rPr>
        <w:t>É</w:t>
      </w:r>
      <w:r w:rsidRPr="00D34728">
        <w:rPr>
          <w:rFonts w:asciiTheme="majorHAnsi" w:hAnsiTheme="majorHAnsi" w:cstheme="majorHAnsi"/>
          <w:color w:val="000000" w:themeColor="text1"/>
          <w:lang w:val="fr-CH"/>
        </w:rPr>
        <w:t>chelle des tracas quotidiens, validée en français par Plancherel et al. (1997), qui affiche dans l’étude, un bon niveau de cohérence interne (alpha de Cronbach = 0.89).</w:t>
      </w:r>
    </w:p>
    <w:p w14:paraId="320F5743" w14:textId="77777777" w:rsidR="00900C97" w:rsidRPr="00D34728" w:rsidRDefault="00900C97" w:rsidP="00900C97">
      <w:pPr>
        <w:pStyle w:val="berschrift1"/>
        <w:rPr>
          <w:lang w:val="fr-CH"/>
        </w:rPr>
      </w:pPr>
      <w:r w:rsidRPr="00D34728">
        <w:rPr>
          <w:lang w:val="fr-CH"/>
        </w:rPr>
        <w:lastRenderedPageBreak/>
        <w:t>Résultats</w:t>
      </w:r>
    </w:p>
    <w:p w14:paraId="1193828E" w14:textId="77777777" w:rsidR="00900C97" w:rsidRPr="00D34728" w:rsidRDefault="00900C97" w:rsidP="00900C97">
      <w:pPr>
        <w:pStyle w:val="berschrift2"/>
        <w:rPr>
          <w:lang w:val="fr-CH"/>
        </w:rPr>
      </w:pPr>
      <w:r w:rsidRPr="00D34728">
        <w:rPr>
          <w:lang w:val="fr-CH"/>
        </w:rPr>
        <w:t>Différence et similitude entre les élèves ayant ou non des mesures de soutien : prévalence</w:t>
      </w:r>
    </w:p>
    <w:p w14:paraId="63043390" w14:textId="276479E2" w:rsidR="00900C97" w:rsidRPr="00D34728" w:rsidRDefault="00900C97" w:rsidP="00900C97">
      <w:pPr>
        <w:pStyle w:val="Textkrper"/>
        <w:rPr>
          <w:lang w:val="fr-CH"/>
        </w:rPr>
      </w:pPr>
      <w:r w:rsidRPr="00D34728">
        <w:rPr>
          <w:lang w:val="fr-CH"/>
        </w:rPr>
        <w:t>Tous</w:t>
      </w:r>
      <w:r w:rsidR="00644BAD">
        <w:rPr>
          <w:lang w:val="fr-CH"/>
        </w:rPr>
        <w:t xml:space="preserve"> groupes d’</w:t>
      </w:r>
      <w:r w:rsidRPr="00D34728">
        <w:rPr>
          <w:lang w:val="fr-CH"/>
        </w:rPr>
        <w:t xml:space="preserve">élèves confondus, les résultats indiquent que la proportion d’élèves de 8H en situation de burnout scolaire est de 12.3 % en 2022, </w:t>
      </w:r>
      <w:r w:rsidR="00792D51">
        <w:rPr>
          <w:lang w:val="fr-CH"/>
        </w:rPr>
        <w:t xml:space="preserve">de </w:t>
      </w:r>
      <w:r w:rsidRPr="00D34728">
        <w:rPr>
          <w:lang w:val="fr-CH"/>
        </w:rPr>
        <w:t xml:space="preserve">8.4 % en 2023 et </w:t>
      </w:r>
      <w:r w:rsidR="00B933C8">
        <w:rPr>
          <w:lang w:val="fr-CH"/>
        </w:rPr>
        <w:t xml:space="preserve">de </w:t>
      </w:r>
      <w:r w:rsidRPr="00D34728">
        <w:rPr>
          <w:lang w:val="fr-CH"/>
        </w:rPr>
        <w:t>12.4 % en 2024</w:t>
      </w:r>
      <w:r w:rsidR="00B933C8">
        <w:rPr>
          <w:lang w:val="fr-CH"/>
        </w:rPr>
        <w:t xml:space="preserve">. En ce qui concerne le </w:t>
      </w:r>
      <w:r w:rsidRPr="00D34728">
        <w:rPr>
          <w:lang w:val="fr-CH"/>
        </w:rPr>
        <w:t>score moyen du burnout, mesuré à l’aide de l’échelle SBI (Meylan et al., 2015</w:t>
      </w:r>
      <w:r w:rsidRPr="008F10B6">
        <w:rPr>
          <w:lang w:val="fr-CH"/>
        </w:rPr>
        <w:t xml:space="preserve">), </w:t>
      </w:r>
      <w:r w:rsidR="00B933C8">
        <w:rPr>
          <w:lang w:val="fr-CH"/>
        </w:rPr>
        <w:t>il se situe à</w:t>
      </w:r>
      <w:r w:rsidRPr="008F10B6">
        <w:rPr>
          <w:lang w:val="fr-CH"/>
        </w:rPr>
        <w:t> 2.32 (</w:t>
      </w:r>
      <w:r w:rsidR="00792D51" w:rsidRPr="00692EF2">
        <w:rPr>
          <w:i/>
          <w:iCs/>
          <w:lang w:val="fr-CH"/>
        </w:rPr>
        <w:t>SD</w:t>
      </w:r>
      <w:r w:rsidR="00792D51" w:rsidRPr="008F10B6">
        <w:rPr>
          <w:lang w:val="fr-CH"/>
        </w:rPr>
        <w:t> </w:t>
      </w:r>
      <w:r w:rsidRPr="008F10B6">
        <w:rPr>
          <w:lang w:val="fr-CH"/>
        </w:rPr>
        <w:t>= 1.04) en 2022, </w:t>
      </w:r>
      <w:r w:rsidR="00B933C8">
        <w:rPr>
          <w:lang w:val="fr-CH"/>
        </w:rPr>
        <w:t xml:space="preserve">à </w:t>
      </w:r>
      <w:r w:rsidRPr="008F10B6">
        <w:rPr>
          <w:lang w:val="fr-CH"/>
        </w:rPr>
        <w:t>2.38 (</w:t>
      </w:r>
      <w:r w:rsidR="00792D51" w:rsidRPr="00692EF2">
        <w:rPr>
          <w:i/>
          <w:iCs/>
          <w:lang w:val="fr-CH"/>
        </w:rPr>
        <w:t>SD</w:t>
      </w:r>
      <w:r w:rsidRPr="008F10B6">
        <w:rPr>
          <w:lang w:val="fr-CH"/>
        </w:rPr>
        <w:t xml:space="preserve"> = 1.02) </w:t>
      </w:r>
      <w:r w:rsidR="00792D51">
        <w:rPr>
          <w:lang w:val="fr-CH"/>
        </w:rPr>
        <w:t>en</w:t>
      </w:r>
      <w:r w:rsidR="00B933C8" w:rsidRPr="008F10B6">
        <w:rPr>
          <w:lang w:val="fr-CH"/>
        </w:rPr>
        <w:t> </w:t>
      </w:r>
      <w:r w:rsidRPr="008F10B6">
        <w:rPr>
          <w:lang w:val="fr-CH"/>
        </w:rPr>
        <w:t xml:space="preserve">2023 et </w:t>
      </w:r>
      <w:r w:rsidR="00B933C8">
        <w:rPr>
          <w:lang w:val="fr-CH"/>
        </w:rPr>
        <w:t>à</w:t>
      </w:r>
      <w:r w:rsidR="00B933C8" w:rsidRPr="008F10B6">
        <w:rPr>
          <w:lang w:val="fr-CH"/>
        </w:rPr>
        <w:t> </w:t>
      </w:r>
      <w:r w:rsidRPr="008F10B6">
        <w:rPr>
          <w:lang w:val="fr-CH"/>
        </w:rPr>
        <w:t>2.48 (</w:t>
      </w:r>
      <w:r w:rsidR="00792D51" w:rsidRPr="00692EF2">
        <w:rPr>
          <w:i/>
          <w:iCs/>
          <w:lang w:val="fr-CH"/>
        </w:rPr>
        <w:t>SD</w:t>
      </w:r>
      <w:r w:rsidRPr="008F10B6">
        <w:rPr>
          <w:lang w:val="fr-CH"/>
        </w:rPr>
        <w:t xml:space="preserve"> = 1.04) en 2024. Ces scores </w:t>
      </w:r>
      <w:r w:rsidR="00B933C8">
        <w:rPr>
          <w:lang w:val="fr-CH"/>
        </w:rPr>
        <w:t>restent</w:t>
      </w:r>
      <w:r w:rsidR="00B933C8" w:rsidRPr="008F10B6">
        <w:rPr>
          <w:lang w:val="fr-CH"/>
        </w:rPr>
        <w:t xml:space="preserve"> </w:t>
      </w:r>
      <w:r w:rsidRPr="008F10B6">
        <w:rPr>
          <w:lang w:val="fr-CH"/>
        </w:rPr>
        <w:t>stables au cours des trois ans, les analyses ne révélant aucune différence statistiquement significative</w:t>
      </w:r>
      <w:r w:rsidRPr="00D34728">
        <w:rPr>
          <w:lang w:val="fr-CH"/>
        </w:rPr>
        <w:t>. Toutefois, il est à noter que le score moyen du burnout chez les élèves bénéficiant d’un soutien scolaire (enseignant spécialisé, logopédiste, psychologue, psychomotricien) est significativement plus élevé que chez leurs pairs sans soutien (Tableau 2).</w:t>
      </w:r>
    </w:p>
    <w:p w14:paraId="4E7DD240" w14:textId="333AFB12" w:rsidR="00940D7D" w:rsidRPr="00D34728" w:rsidRDefault="00900C97" w:rsidP="00900C97">
      <w:pPr>
        <w:pStyle w:val="LegendeTabelle"/>
        <w:rPr>
          <w:lang w:val="fr-CH"/>
        </w:rPr>
      </w:pPr>
      <w:r w:rsidRPr="00D34728">
        <w:rPr>
          <w:lang w:val="fr-CH"/>
        </w:rPr>
        <w:t>Tableau 2 : Moyennes de burnout dans les deux groupes d’élèves</w:t>
      </w:r>
    </w:p>
    <w:tbl>
      <w:tblPr>
        <w:tblW w:w="9797" w:type="dxa"/>
        <w:tblInd w:w="-144" w:type="dxa"/>
        <w:tblCellMar>
          <w:left w:w="0" w:type="dxa"/>
          <w:right w:w="0" w:type="dxa"/>
        </w:tblCellMar>
        <w:tblLook w:val="0420" w:firstRow="1" w:lastRow="0" w:firstColumn="0" w:lastColumn="0" w:noHBand="0" w:noVBand="1"/>
      </w:tblPr>
      <w:tblGrid>
        <w:gridCol w:w="2694"/>
        <w:gridCol w:w="2551"/>
        <w:gridCol w:w="2187"/>
        <w:gridCol w:w="2365"/>
      </w:tblGrid>
      <w:tr w:rsidR="00B54BA9" w:rsidRPr="00D34728" w14:paraId="6AAD4F7D" w14:textId="77777777" w:rsidTr="00692EF2">
        <w:trPr>
          <w:trHeight w:hRule="exact" w:val="737"/>
        </w:trPr>
        <w:tc>
          <w:tcPr>
            <w:tcW w:w="2694" w:type="dxa"/>
            <w:tcBorders>
              <w:top w:val="single" w:sz="8" w:space="0" w:color="000000"/>
              <w:left w:val="nil"/>
              <w:bottom w:val="single" w:sz="8" w:space="0" w:color="000000"/>
              <w:right w:val="nil"/>
            </w:tcBorders>
            <w:shd w:val="clear" w:color="auto" w:fill="51A66D" w:themeFill="accent4"/>
            <w:tcMar>
              <w:top w:w="72" w:type="dxa"/>
              <w:left w:w="144" w:type="dxa"/>
              <w:bottom w:w="72" w:type="dxa"/>
              <w:right w:w="144" w:type="dxa"/>
            </w:tcMar>
            <w:hideMark/>
          </w:tcPr>
          <w:p w14:paraId="1D9ED15E" w14:textId="77777777" w:rsidR="00B54BA9" w:rsidRPr="00D34728" w:rsidRDefault="00B54BA9" w:rsidP="001A2590">
            <w:pPr>
              <w:pStyle w:val="Textkrper"/>
              <w:rPr>
                <w:rFonts w:asciiTheme="majorHAnsi" w:hAnsiTheme="majorHAnsi" w:cstheme="majorHAnsi"/>
                <w:szCs w:val="22"/>
                <w:lang w:val="fr-CH"/>
              </w:rPr>
            </w:pPr>
          </w:p>
        </w:tc>
        <w:tc>
          <w:tcPr>
            <w:tcW w:w="2551" w:type="dxa"/>
            <w:tcBorders>
              <w:top w:val="single" w:sz="8" w:space="0" w:color="000000"/>
              <w:left w:val="nil"/>
              <w:bottom w:val="single" w:sz="8" w:space="0" w:color="000000"/>
              <w:right w:val="nil"/>
            </w:tcBorders>
            <w:shd w:val="clear" w:color="auto" w:fill="51A66D" w:themeFill="accent4"/>
            <w:tcMar>
              <w:top w:w="72" w:type="dxa"/>
              <w:left w:w="144" w:type="dxa"/>
              <w:bottom w:w="72" w:type="dxa"/>
              <w:right w:w="144" w:type="dxa"/>
            </w:tcMar>
            <w:hideMark/>
          </w:tcPr>
          <w:p w14:paraId="70D2C96E" w14:textId="512C1FBB" w:rsidR="00B54BA9" w:rsidRPr="008B6755" w:rsidRDefault="00B54BA9" w:rsidP="00692EF2">
            <w:pPr>
              <w:pStyle w:val="Textkrper"/>
              <w:ind w:firstLine="0"/>
              <w:jc w:val="left"/>
              <w:rPr>
                <w:rFonts w:asciiTheme="majorHAnsi" w:hAnsiTheme="majorHAnsi" w:cstheme="majorHAnsi"/>
                <w:b/>
                <w:bCs/>
                <w:szCs w:val="22"/>
                <w:lang w:val="fr-CH"/>
              </w:rPr>
            </w:pPr>
            <w:r w:rsidRPr="008B6755">
              <w:rPr>
                <w:rFonts w:asciiTheme="majorHAnsi" w:hAnsiTheme="majorHAnsi" w:cstheme="majorHAnsi"/>
                <w:b/>
                <w:bCs/>
                <w:szCs w:val="22"/>
                <w:lang w:val="fr-CH"/>
              </w:rPr>
              <w:t>2022</w:t>
            </w:r>
            <w:bookmarkStart w:id="2" w:name="OLE_LINK1"/>
            <w:r w:rsidRPr="008B6755">
              <w:rPr>
                <w:rFonts w:asciiTheme="majorHAnsi" w:hAnsiTheme="majorHAnsi" w:cstheme="majorHAnsi"/>
                <w:b/>
                <w:bCs/>
                <w:szCs w:val="22"/>
                <w:lang w:val="fr-CH"/>
              </w:rPr>
              <w:br/>
            </w:r>
            <w:r w:rsidRPr="00DB5232">
              <w:rPr>
                <w:rFonts w:asciiTheme="majorHAnsi" w:hAnsiTheme="majorHAnsi" w:cstheme="majorHAnsi"/>
                <w:b/>
                <w:bCs/>
                <w:i/>
                <w:iCs/>
                <w:szCs w:val="22"/>
                <w:lang w:val="fr-CH"/>
              </w:rPr>
              <w:t>M (</w:t>
            </w:r>
            <w:r w:rsidR="00792D51" w:rsidRPr="00DB5232">
              <w:rPr>
                <w:rFonts w:asciiTheme="majorHAnsi" w:hAnsiTheme="majorHAnsi" w:cstheme="majorHAnsi"/>
                <w:b/>
                <w:bCs/>
                <w:i/>
                <w:iCs/>
                <w:szCs w:val="22"/>
                <w:lang w:val="fr-CH"/>
              </w:rPr>
              <w:t>SD</w:t>
            </w:r>
            <w:bookmarkEnd w:id="2"/>
            <w:r w:rsidRPr="00DB5232">
              <w:rPr>
                <w:rFonts w:asciiTheme="majorHAnsi" w:hAnsiTheme="majorHAnsi" w:cstheme="majorHAnsi"/>
                <w:b/>
                <w:bCs/>
                <w:i/>
                <w:iCs/>
                <w:szCs w:val="22"/>
                <w:lang w:val="fr-CH"/>
              </w:rPr>
              <w:t>)</w:t>
            </w:r>
          </w:p>
        </w:tc>
        <w:tc>
          <w:tcPr>
            <w:tcW w:w="2187" w:type="dxa"/>
            <w:tcBorders>
              <w:top w:val="single" w:sz="8" w:space="0" w:color="000000"/>
              <w:left w:val="nil"/>
              <w:bottom w:val="single" w:sz="8" w:space="0" w:color="000000"/>
              <w:right w:val="nil"/>
            </w:tcBorders>
            <w:shd w:val="clear" w:color="auto" w:fill="51A66D" w:themeFill="accent4"/>
            <w:tcMar>
              <w:top w:w="72" w:type="dxa"/>
              <w:left w:w="144" w:type="dxa"/>
              <w:bottom w:w="72" w:type="dxa"/>
              <w:right w:w="144" w:type="dxa"/>
            </w:tcMar>
            <w:hideMark/>
          </w:tcPr>
          <w:p w14:paraId="61866956" w14:textId="62F9091E" w:rsidR="00B54BA9" w:rsidRPr="008B6755" w:rsidRDefault="00B54BA9" w:rsidP="00692EF2">
            <w:pPr>
              <w:pStyle w:val="Textkrper"/>
              <w:ind w:firstLine="0"/>
              <w:jc w:val="left"/>
              <w:rPr>
                <w:rFonts w:asciiTheme="majorHAnsi" w:hAnsiTheme="majorHAnsi" w:cstheme="majorHAnsi"/>
                <w:b/>
                <w:bCs/>
                <w:szCs w:val="22"/>
                <w:lang w:val="fr-CH"/>
              </w:rPr>
            </w:pPr>
            <w:r w:rsidRPr="008B6755">
              <w:rPr>
                <w:rFonts w:asciiTheme="majorHAnsi" w:hAnsiTheme="majorHAnsi" w:cstheme="majorHAnsi"/>
                <w:b/>
                <w:bCs/>
                <w:szCs w:val="22"/>
                <w:lang w:val="fr-CH"/>
              </w:rPr>
              <w:t>2023</w:t>
            </w:r>
            <w:r w:rsidRPr="008B6755">
              <w:rPr>
                <w:rFonts w:asciiTheme="majorHAnsi" w:hAnsiTheme="majorHAnsi" w:cstheme="majorHAnsi"/>
                <w:b/>
                <w:bCs/>
                <w:szCs w:val="22"/>
                <w:lang w:val="fr-CH"/>
              </w:rPr>
              <w:br/>
            </w:r>
            <w:r w:rsidRPr="00DB5232">
              <w:rPr>
                <w:rFonts w:asciiTheme="majorHAnsi" w:hAnsiTheme="majorHAnsi" w:cstheme="majorHAnsi"/>
                <w:b/>
                <w:bCs/>
                <w:i/>
                <w:iCs/>
                <w:szCs w:val="22"/>
                <w:lang w:val="fr-CH"/>
              </w:rPr>
              <w:t>M (</w:t>
            </w:r>
            <w:r w:rsidR="00792D51" w:rsidRPr="00DB5232">
              <w:rPr>
                <w:rFonts w:asciiTheme="majorHAnsi" w:hAnsiTheme="majorHAnsi" w:cstheme="majorHAnsi"/>
                <w:b/>
                <w:bCs/>
                <w:i/>
                <w:iCs/>
                <w:szCs w:val="22"/>
                <w:lang w:val="fr-CH"/>
              </w:rPr>
              <w:t>SD</w:t>
            </w:r>
            <w:r w:rsidRPr="00DB5232">
              <w:rPr>
                <w:rFonts w:asciiTheme="majorHAnsi" w:hAnsiTheme="majorHAnsi" w:cstheme="majorHAnsi"/>
                <w:b/>
                <w:bCs/>
                <w:i/>
                <w:iCs/>
                <w:szCs w:val="22"/>
                <w:lang w:val="fr-CH"/>
              </w:rPr>
              <w:t>)</w:t>
            </w:r>
            <w:r w:rsidRPr="008B6755">
              <w:rPr>
                <w:rFonts w:asciiTheme="majorHAnsi" w:hAnsiTheme="majorHAnsi" w:cstheme="majorHAnsi"/>
                <w:b/>
                <w:bCs/>
                <w:szCs w:val="22"/>
                <w:lang w:val="fr-CH"/>
              </w:rPr>
              <w:t xml:space="preserve"> </w:t>
            </w:r>
          </w:p>
        </w:tc>
        <w:tc>
          <w:tcPr>
            <w:tcW w:w="2365" w:type="dxa"/>
            <w:tcBorders>
              <w:top w:val="single" w:sz="8" w:space="0" w:color="000000"/>
              <w:left w:val="nil"/>
              <w:bottom w:val="single" w:sz="8" w:space="0" w:color="000000"/>
              <w:right w:val="nil"/>
            </w:tcBorders>
            <w:shd w:val="clear" w:color="auto" w:fill="51A66D" w:themeFill="accent4"/>
            <w:tcMar>
              <w:top w:w="72" w:type="dxa"/>
              <w:left w:w="144" w:type="dxa"/>
              <w:bottom w:w="72" w:type="dxa"/>
              <w:right w:w="144" w:type="dxa"/>
            </w:tcMar>
            <w:hideMark/>
          </w:tcPr>
          <w:p w14:paraId="7C83E320" w14:textId="28EE3B9A" w:rsidR="00B54BA9" w:rsidRPr="008B6755" w:rsidRDefault="00B54BA9" w:rsidP="00692EF2">
            <w:pPr>
              <w:pStyle w:val="Textkrper"/>
              <w:ind w:firstLine="0"/>
              <w:jc w:val="left"/>
              <w:rPr>
                <w:rFonts w:asciiTheme="majorHAnsi" w:hAnsiTheme="majorHAnsi" w:cstheme="majorHAnsi"/>
                <w:b/>
                <w:bCs/>
                <w:szCs w:val="22"/>
                <w:lang w:val="fr-CH"/>
              </w:rPr>
            </w:pPr>
            <w:r w:rsidRPr="008B6755">
              <w:rPr>
                <w:rFonts w:asciiTheme="majorHAnsi" w:hAnsiTheme="majorHAnsi" w:cstheme="majorHAnsi"/>
                <w:b/>
                <w:bCs/>
                <w:szCs w:val="22"/>
                <w:lang w:val="fr-CH"/>
              </w:rPr>
              <w:t>2024</w:t>
            </w:r>
            <w:r w:rsidRPr="008B6755">
              <w:rPr>
                <w:rFonts w:asciiTheme="majorHAnsi" w:hAnsiTheme="majorHAnsi" w:cstheme="majorHAnsi"/>
                <w:b/>
                <w:bCs/>
                <w:szCs w:val="22"/>
                <w:lang w:val="fr-CH"/>
              </w:rPr>
              <w:br/>
            </w:r>
            <w:r w:rsidRPr="00DB5232">
              <w:rPr>
                <w:rFonts w:asciiTheme="majorHAnsi" w:hAnsiTheme="majorHAnsi" w:cstheme="majorHAnsi"/>
                <w:b/>
                <w:bCs/>
                <w:i/>
                <w:iCs/>
                <w:szCs w:val="22"/>
                <w:lang w:val="fr-CH"/>
              </w:rPr>
              <w:t>M (</w:t>
            </w:r>
            <w:r w:rsidR="00792D51" w:rsidRPr="00DB5232">
              <w:rPr>
                <w:rFonts w:asciiTheme="majorHAnsi" w:hAnsiTheme="majorHAnsi" w:cstheme="majorHAnsi"/>
                <w:b/>
                <w:bCs/>
                <w:i/>
                <w:iCs/>
                <w:szCs w:val="22"/>
                <w:lang w:val="fr-CH"/>
              </w:rPr>
              <w:t>SD</w:t>
            </w:r>
            <w:r w:rsidRPr="00DB5232">
              <w:rPr>
                <w:rFonts w:asciiTheme="majorHAnsi" w:hAnsiTheme="majorHAnsi" w:cstheme="majorHAnsi"/>
                <w:b/>
                <w:bCs/>
                <w:i/>
                <w:iCs/>
                <w:szCs w:val="22"/>
                <w:lang w:val="fr-CH"/>
              </w:rPr>
              <w:t>)</w:t>
            </w:r>
          </w:p>
        </w:tc>
      </w:tr>
      <w:tr w:rsidR="00B54BA9" w:rsidRPr="00D34728" w14:paraId="6870AE75" w14:textId="77777777" w:rsidTr="00692EF2">
        <w:trPr>
          <w:trHeight w:hRule="exact" w:val="737"/>
        </w:trPr>
        <w:tc>
          <w:tcPr>
            <w:tcW w:w="269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5CF5AD6" w14:textId="77777777" w:rsidR="00B54BA9" w:rsidRPr="00D34728" w:rsidRDefault="00B54BA9" w:rsidP="00692EF2">
            <w:pPr>
              <w:pStyle w:val="Textkrper"/>
              <w:ind w:firstLine="0"/>
              <w:rPr>
                <w:rFonts w:asciiTheme="majorHAnsi" w:hAnsiTheme="majorHAnsi" w:cstheme="majorHAnsi"/>
                <w:szCs w:val="22"/>
                <w:lang w:val="fr-CH"/>
              </w:rPr>
            </w:pPr>
            <w:r w:rsidRPr="00D34728">
              <w:rPr>
                <w:rFonts w:asciiTheme="majorHAnsi" w:hAnsiTheme="majorHAnsi" w:cstheme="majorHAnsi"/>
                <w:szCs w:val="22"/>
                <w:lang w:val="fr-CH"/>
              </w:rPr>
              <w:t>Avec au moins une mesure de soutien</w:t>
            </w:r>
          </w:p>
        </w:tc>
        <w:tc>
          <w:tcPr>
            <w:tcW w:w="25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EDC70D9"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i/>
                <w:iCs/>
                <w:lang w:val="fr-CH"/>
              </w:rPr>
              <w:t> </w:t>
            </w:r>
            <w:r w:rsidRPr="00D34728">
              <w:rPr>
                <w:rFonts w:asciiTheme="majorHAnsi" w:hAnsiTheme="majorHAnsi" w:cstheme="majorHAnsi"/>
                <w:szCs w:val="22"/>
                <w:lang w:val="fr-CH"/>
              </w:rPr>
              <w:t>=</w:t>
            </w:r>
            <w:r w:rsidRPr="00D34728">
              <w:rPr>
                <w:rFonts w:asciiTheme="majorHAnsi" w:hAnsiTheme="majorHAnsi" w:cstheme="majorHAnsi"/>
                <w:lang w:val="fr-CH"/>
              </w:rPr>
              <w:t> </w:t>
            </w:r>
            <w:r w:rsidRPr="00D34728">
              <w:rPr>
                <w:rFonts w:asciiTheme="majorHAnsi" w:hAnsiTheme="majorHAnsi" w:cstheme="majorHAnsi"/>
                <w:szCs w:val="22"/>
                <w:lang w:val="fr-CH"/>
              </w:rPr>
              <w:t>30</w:t>
            </w:r>
            <w:r w:rsidRPr="00D34728">
              <w:rPr>
                <w:rFonts w:asciiTheme="majorHAnsi" w:hAnsiTheme="majorHAnsi" w:cstheme="majorHAnsi"/>
                <w:szCs w:val="22"/>
                <w:lang w:val="fr-CH"/>
              </w:rPr>
              <w:br/>
              <w:t>2.97 (</w:t>
            </w:r>
            <w:proofErr w:type="gramStart"/>
            <w:r w:rsidRPr="00D34728">
              <w:rPr>
                <w:rFonts w:asciiTheme="majorHAnsi" w:hAnsiTheme="majorHAnsi" w:cstheme="majorHAnsi"/>
                <w:szCs w:val="22"/>
                <w:lang w:val="fr-CH"/>
              </w:rPr>
              <w:t>1.02)*</w:t>
            </w:r>
            <w:proofErr w:type="gramEnd"/>
            <w:r w:rsidRPr="00D34728">
              <w:rPr>
                <w:rFonts w:asciiTheme="majorHAnsi" w:hAnsiTheme="majorHAnsi" w:cstheme="majorHAnsi"/>
                <w:szCs w:val="22"/>
                <w:lang w:val="fr-CH"/>
              </w:rPr>
              <w:t>**</w:t>
            </w:r>
          </w:p>
        </w:tc>
        <w:tc>
          <w:tcPr>
            <w:tcW w:w="21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9E21C01"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szCs w:val="22"/>
                <w:lang w:val="fr-CH"/>
              </w:rPr>
              <w:t> = 31</w:t>
            </w:r>
            <w:r w:rsidRPr="00D34728">
              <w:rPr>
                <w:rFonts w:asciiTheme="majorHAnsi" w:hAnsiTheme="majorHAnsi" w:cstheme="majorHAnsi"/>
                <w:szCs w:val="22"/>
                <w:lang w:val="fr-CH"/>
              </w:rPr>
              <w:br/>
              <w:t>2.83 (</w:t>
            </w:r>
            <w:proofErr w:type="gramStart"/>
            <w:r w:rsidRPr="00D34728">
              <w:rPr>
                <w:rFonts w:asciiTheme="majorHAnsi" w:hAnsiTheme="majorHAnsi" w:cstheme="majorHAnsi"/>
                <w:szCs w:val="22"/>
                <w:lang w:val="fr-CH"/>
              </w:rPr>
              <w:t>1.15)*</w:t>
            </w:r>
            <w:proofErr w:type="gramEnd"/>
          </w:p>
        </w:tc>
        <w:tc>
          <w:tcPr>
            <w:tcW w:w="236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2595722"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lang w:val="fr-CH"/>
              </w:rPr>
              <w:t> </w:t>
            </w:r>
            <w:r w:rsidRPr="00D34728">
              <w:rPr>
                <w:rFonts w:asciiTheme="majorHAnsi" w:hAnsiTheme="majorHAnsi" w:cstheme="majorHAnsi"/>
                <w:szCs w:val="22"/>
                <w:lang w:val="fr-CH"/>
              </w:rPr>
              <w:t>=</w:t>
            </w:r>
            <w:r w:rsidRPr="00D34728">
              <w:rPr>
                <w:rFonts w:asciiTheme="majorHAnsi" w:hAnsiTheme="majorHAnsi" w:cstheme="majorHAnsi"/>
                <w:lang w:val="fr-CH"/>
              </w:rPr>
              <w:t> </w:t>
            </w:r>
            <w:r w:rsidRPr="00D34728">
              <w:rPr>
                <w:rFonts w:asciiTheme="majorHAnsi" w:hAnsiTheme="majorHAnsi" w:cstheme="majorHAnsi"/>
                <w:szCs w:val="22"/>
                <w:lang w:val="fr-CH"/>
              </w:rPr>
              <w:t>36</w:t>
            </w:r>
            <w:r w:rsidRPr="00D34728">
              <w:rPr>
                <w:rFonts w:asciiTheme="majorHAnsi" w:hAnsiTheme="majorHAnsi" w:cstheme="majorHAnsi"/>
                <w:szCs w:val="22"/>
                <w:lang w:val="fr-CH"/>
              </w:rPr>
              <w:br/>
              <w:t>2.91 (</w:t>
            </w:r>
            <w:proofErr w:type="gramStart"/>
            <w:r w:rsidRPr="00D34728">
              <w:rPr>
                <w:rFonts w:asciiTheme="majorHAnsi" w:hAnsiTheme="majorHAnsi" w:cstheme="majorHAnsi"/>
                <w:szCs w:val="22"/>
                <w:lang w:val="fr-CH"/>
              </w:rPr>
              <w:t>0.98)*</w:t>
            </w:r>
            <w:proofErr w:type="gramEnd"/>
            <w:r w:rsidRPr="00D34728">
              <w:rPr>
                <w:rFonts w:asciiTheme="majorHAnsi" w:hAnsiTheme="majorHAnsi" w:cstheme="majorHAnsi"/>
                <w:szCs w:val="22"/>
                <w:lang w:val="fr-CH"/>
              </w:rPr>
              <w:t>*</w:t>
            </w:r>
          </w:p>
        </w:tc>
      </w:tr>
      <w:tr w:rsidR="00B54BA9" w:rsidRPr="00D34728" w14:paraId="358C6911" w14:textId="77777777" w:rsidTr="00692EF2">
        <w:trPr>
          <w:trHeight w:hRule="exact" w:val="737"/>
        </w:trPr>
        <w:tc>
          <w:tcPr>
            <w:tcW w:w="269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5E1A920" w14:textId="77777777" w:rsidR="00B54BA9" w:rsidRPr="00D34728" w:rsidRDefault="00B54BA9" w:rsidP="00692EF2">
            <w:pPr>
              <w:pStyle w:val="Textkrper"/>
              <w:ind w:firstLine="0"/>
              <w:rPr>
                <w:rFonts w:asciiTheme="majorHAnsi" w:hAnsiTheme="majorHAnsi" w:cstheme="majorHAnsi"/>
                <w:szCs w:val="22"/>
                <w:lang w:val="fr-CH"/>
              </w:rPr>
            </w:pPr>
            <w:r w:rsidRPr="00D34728">
              <w:rPr>
                <w:rFonts w:asciiTheme="majorHAnsi" w:hAnsiTheme="majorHAnsi" w:cstheme="majorHAnsi"/>
                <w:szCs w:val="22"/>
                <w:lang w:val="fr-CH"/>
              </w:rPr>
              <w:t>Sans mesure de soutien</w:t>
            </w:r>
          </w:p>
        </w:tc>
        <w:tc>
          <w:tcPr>
            <w:tcW w:w="255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D221CAB"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i/>
                <w:iCs/>
                <w:lang w:val="fr-CH"/>
              </w:rPr>
              <w:t> </w:t>
            </w:r>
            <w:r w:rsidRPr="00D34728">
              <w:rPr>
                <w:rFonts w:asciiTheme="majorHAnsi" w:hAnsiTheme="majorHAnsi" w:cstheme="majorHAnsi"/>
                <w:szCs w:val="22"/>
                <w:lang w:val="fr-CH"/>
              </w:rPr>
              <w:t>=</w:t>
            </w:r>
            <w:r w:rsidRPr="00D34728">
              <w:rPr>
                <w:rFonts w:asciiTheme="majorHAnsi" w:hAnsiTheme="majorHAnsi" w:cstheme="majorHAnsi"/>
                <w:lang w:val="fr-CH"/>
              </w:rPr>
              <w:t> </w:t>
            </w:r>
            <w:r w:rsidRPr="00D34728">
              <w:rPr>
                <w:rFonts w:asciiTheme="majorHAnsi" w:hAnsiTheme="majorHAnsi" w:cstheme="majorHAnsi"/>
                <w:szCs w:val="22"/>
                <w:lang w:val="fr-CH"/>
              </w:rPr>
              <w:t>154</w:t>
            </w:r>
            <w:r w:rsidRPr="00D34728">
              <w:rPr>
                <w:rFonts w:asciiTheme="majorHAnsi" w:hAnsiTheme="majorHAnsi" w:cstheme="majorHAnsi"/>
                <w:szCs w:val="22"/>
                <w:lang w:val="fr-CH"/>
              </w:rPr>
              <w:br/>
              <w:t>2.20 (</w:t>
            </w:r>
            <w:proofErr w:type="gramStart"/>
            <w:r w:rsidRPr="00D34728">
              <w:rPr>
                <w:rFonts w:asciiTheme="majorHAnsi" w:hAnsiTheme="majorHAnsi" w:cstheme="majorHAnsi"/>
                <w:szCs w:val="22"/>
                <w:lang w:val="fr-CH"/>
              </w:rPr>
              <w:t>1.00)*</w:t>
            </w:r>
            <w:proofErr w:type="gramEnd"/>
            <w:r w:rsidRPr="00D34728">
              <w:rPr>
                <w:rFonts w:asciiTheme="majorHAnsi" w:hAnsiTheme="majorHAnsi" w:cstheme="majorHAnsi"/>
                <w:szCs w:val="22"/>
                <w:lang w:val="fr-CH"/>
              </w:rPr>
              <w:t>**</w:t>
            </w:r>
          </w:p>
        </w:tc>
        <w:tc>
          <w:tcPr>
            <w:tcW w:w="21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0B2C97A"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szCs w:val="22"/>
                <w:lang w:val="fr-CH"/>
              </w:rPr>
              <w:t> = 159</w:t>
            </w:r>
            <w:r w:rsidRPr="00D34728">
              <w:rPr>
                <w:rFonts w:asciiTheme="majorHAnsi" w:hAnsiTheme="majorHAnsi" w:cstheme="majorHAnsi"/>
                <w:szCs w:val="22"/>
                <w:lang w:val="fr-CH"/>
              </w:rPr>
              <w:br/>
              <w:t>2.29 (</w:t>
            </w:r>
            <w:proofErr w:type="gramStart"/>
            <w:r w:rsidRPr="00D34728">
              <w:rPr>
                <w:rFonts w:asciiTheme="majorHAnsi" w:hAnsiTheme="majorHAnsi" w:cstheme="majorHAnsi"/>
                <w:szCs w:val="22"/>
                <w:lang w:val="fr-CH"/>
              </w:rPr>
              <w:t>0.97)*</w:t>
            </w:r>
            <w:proofErr w:type="gramEnd"/>
          </w:p>
        </w:tc>
        <w:tc>
          <w:tcPr>
            <w:tcW w:w="236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5E822D1" w14:textId="77777777" w:rsidR="00B54BA9" w:rsidRPr="00D34728" w:rsidRDefault="00B54BA9" w:rsidP="00692EF2">
            <w:pPr>
              <w:pStyle w:val="Textkrper"/>
              <w:ind w:firstLine="0"/>
              <w:jc w:val="left"/>
              <w:rPr>
                <w:rFonts w:asciiTheme="majorHAnsi" w:hAnsiTheme="majorHAnsi" w:cstheme="majorHAnsi"/>
                <w:szCs w:val="22"/>
                <w:lang w:val="fr-CH"/>
              </w:rPr>
            </w:pPr>
            <w:proofErr w:type="gramStart"/>
            <w:r w:rsidRPr="00D34728">
              <w:rPr>
                <w:rFonts w:asciiTheme="majorHAnsi" w:hAnsiTheme="majorHAnsi" w:cstheme="majorHAnsi"/>
                <w:i/>
                <w:iCs/>
                <w:lang w:val="fr-CH"/>
              </w:rPr>
              <w:t>n</w:t>
            </w:r>
            <w:proofErr w:type="gramEnd"/>
            <w:r w:rsidRPr="00D34728">
              <w:rPr>
                <w:rFonts w:asciiTheme="majorHAnsi" w:hAnsiTheme="majorHAnsi" w:cstheme="majorHAnsi"/>
                <w:lang w:val="fr-CH"/>
              </w:rPr>
              <w:t> </w:t>
            </w:r>
            <w:r w:rsidRPr="00D34728">
              <w:rPr>
                <w:rFonts w:asciiTheme="majorHAnsi" w:hAnsiTheme="majorHAnsi" w:cstheme="majorHAnsi"/>
                <w:szCs w:val="22"/>
                <w:lang w:val="fr-CH"/>
              </w:rPr>
              <w:t>=</w:t>
            </w:r>
            <w:r w:rsidRPr="00D34728">
              <w:rPr>
                <w:rFonts w:asciiTheme="majorHAnsi" w:hAnsiTheme="majorHAnsi" w:cstheme="majorHAnsi"/>
                <w:lang w:val="fr-CH"/>
              </w:rPr>
              <w:t> </w:t>
            </w:r>
            <w:r w:rsidRPr="00D34728">
              <w:rPr>
                <w:rFonts w:asciiTheme="majorHAnsi" w:hAnsiTheme="majorHAnsi" w:cstheme="majorHAnsi"/>
                <w:szCs w:val="22"/>
                <w:lang w:val="fr-CH"/>
              </w:rPr>
              <w:t>141</w:t>
            </w:r>
            <w:r w:rsidRPr="00D34728">
              <w:rPr>
                <w:rFonts w:asciiTheme="majorHAnsi" w:hAnsiTheme="majorHAnsi" w:cstheme="majorHAnsi"/>
                <w:szCs w:val="22"/>
                <w:lang w:val="fr-CH"/>
              </w:rPr>
              <w:br/>
              <w:t>2.38 (</w:t>
            </w:r>
            <w:proofErr w:type="gramStart"/>
            <w:r w:rsidRPr="00D34728">
              <w:rPr>
                <w:rFonts w:asciiTheme="majorHAnsi" w:hAnsiTheme="majorHAnsi" w:cstheme="majorHAnsi"/>
                <w:szCs w:val="22"/>
                <w:lang w:val="fr-CH"/>
              </w:rPr>
              <w:t>2.38)*</w:t>
            </w:r>
            <w:proofErr w:type="gramEnd"/>
            <w:r w:rsidRPr="00D34728">
              <w:rPr>
                <w:rFonts w:asciiTheme="majorHAnsi" w:hAnsiTheme="majorHAnsi" w:cstheme="majorHAnsi"/>
                <w:szCs w:val="22"/>
                <w:lang w:val="fr-CH"/>
              </w:rPr>
              <w:t>*</w:t>
            </w:r>
          </w:p>
        </w:tc>
      </w:tr>
    </w:tbl>
    <w:p w14:paraId="43784495" w14:textId="31617C66" w:rsidR="0018320F" w:rsidRPr="00D34728" w:rsidRDefault="00F65C65" w:rsidP="00F65C65">
      <w:pPr>
        <w:pStyle w:val="NotizTabelle"/>
        <w:rPr>
          <w:lang w:val="fr-CH"/>
        </w:rPr>
      </w:pPr>
      <w:r w:rsidRPr="00D34728">
        <w:rPr>
          <w:i/>
          <w:lang w:val="fr-CH"/>
        </w:rPr>
        <w:t>Note</w:t>
      </w:r>
      <w:r w:rsidRPr="00D34728">
        <w:rPr>
          <w:lang w:val="fr-CH"/>
        </w:rPr>
        <w:t xml:space="preserve">. </w:t>
      </w:r>
      <w:r w:rsidRPr="00692EF2">
        <w:rPr>
          <w:i/>
          <w:iCs w:val="0"/>
          <w:lang w:val="fr-CH"/>
        </w:rPr>
        <w:t>n</w:t>
      </w:r>
      <w:r w:rsidRPr="00D34728">
        <w:rPr>
          <w:lang w:val="fr-CH"/>
        </w:rPr>
        <w:t xml:space="preserve"> = nombre d’élèves ; </w:t>
      </w:r>
      <w:r w:rsidRPr="00692EF2">
        <w:rPr>
          <w:i/>
          <w:iCs w:val="0"/>
          <w:lang w:val="fr-CH"/>
        </w:rPr>
        <w:t>M</w:t>
      </w:r>
      <w:r w:rsidRPr="00D34728">
        <w:rPr>
          <w:lang w:val="fr-CH"/>
        </w:rPr>
        <w:t xml:space="preserve"> = Moyenne de burnout ; </w:t>
      </w:r>
      <w:r w:rsidR="00792D51" w:rsidRPr="00692EF2">
        <w:rPr>
          <w:i/>
          <w:iCs w:val="0"/>
          <w:lang w:val="fr-CH"/>
        </w:rPr>
        <w:t>SD</w:t>
      </w:r>
      <w:r w:rsidRPr="00D34728">
        <w:rPr>
          <w:lang w:val="fr-CH"/>
        </w:rPr>
        <w:t> = écart type ; * = différence significative p &lt; .05 ; ** = différence significative p &lt; .01 ; *** = différence significative p &lt; .001</w:t>
      </w:r>
    </w:p>
    <w:p w14:paraId="26821839" w14:textId="698CCCB3" w:rsidR="001B775A" w:rsidRPr="00D34728" w:rsidRDefault="001B775A" w:rsidP="001B775A">
      <w:pPr>
        <w:pStyle w:val="Textkrper"/>
        <w:rPr>
          <w:lang w:val="fr-CH"/>
        </w:rPr>
      </w:pPr>
      <w:r w:rsidRPr="00D34728">
        <w:rPr>
          <w:lang w:val="fr-CH"/>
        </w:rPr>
        <w:t>La Figure 1 montre que la proportion d’élèves en burnout est plus élevée parmi ceux qui bénéficient d’au moins une mesure de soutien que parmi ceux qui n’en bénéficient d’aucune</w:t>
      </w:r>
      <w:r w:rsidR="009F16F2">
        <w:rPr>
          <w:lang w:val="fr-CH"/>
        </w:rPr>
        <w:t>s</w:t>
      </w:r>
      <w:r w:rsidRPr="00D34728">
        <w:rPr>
          <w:lang w:val="fr-CH"/>
        </w:rPr>
        <w:t xml:space="preserve">. </w:t>
      </w:r>
    </w:p>
    <w:p w14:paraId="10736199" w14:textId="1A51405B" w:rsidR="00C16195" w:rsidRDefault="001B775A" w:rsidP="00706F7B">
      <w:pPr>
        <w:pStyle w:val="LegendeAbbildung"/>
      </w:pPr>
      <w:r w:rsidRPr="00D34728">
        <w:t>Figure 1 : Prévalence du burnout dans les deux groupes d’élèves</w:t>
      </w:r>
    </w:p>
    <w:p w14:paraId="4572F58F" w14:textId="5F338107" w:rsidR="00706F7B" w:rsidRPr="00706F7B" w:rsidRDefault="00C56DD7" w:rsidP="00706F7B">
      <w:pPr>
        <w:pStyle w:val="LegendeAbbildung"/>
      </w:pPr>
      <w:r>
        <w:rPr>
          <w:noProof/>
        </w:rPr>
        <w:drawing>
          <wp:inline distT="0" distB="0" distL="0" distR="0" wp14:anchorId="55E9C016" wp14:editId="0006D4E8">
            <wp:extent cx="5759591" cy="3239770"/>
            <wp:effectExtent l="0" t="0" r="0" b="0"/>
            <wp:docPr id="1304116361" name="Graphique 3" descr="Prévalence du burnout 2022 : 10% pour les élèves sans mesure de soutien; 20% pour les élèves avec mesure de soutien.&#10;Prévalence du burnout 2023 : 7% pour les élèves sans mesure de soutien; 16% pour les élèves avec mesure de soutien.&#10;Prévalence du burnout 2024 : 10% pour les élèves sans mesure de soutien; 22% pour les élèves avec mesure de sou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16361" name="Graphique 3" descr="Prévalence du burnout 2022 : 10% pour les élèves sans mesure de soutien; 20% pour les élèves avec mesure de soutien.&#10;Prévalence du burnout 2023 : 7% pour les élèves sans mesure de soutien; 16% pour les élèves avec mesure de soutien.&#10;Prévalence du burnout 2024 : 10% pour les élèves sans mesure de soutien; 22% pour les élèves avec mesure de soutien."/>
                    <pic:cNvPicPr/>
                  </pic:nvPicPr>
                  <pic:blipFill>
                    <a:blip r:embed="rId14">
                      <a:extLst>
                        <a:ext uri="{96DAC541-7B7A-43D3-8B79-37D633B846F1}">
                          <asvg:svgBlip xmlns:asvg="http://schemas.microsoft.com/office/drawing/2016/SVG/main" r:embed="rId15"/>
                        </a:ext>
                      </a:extLst>
                    </a:blip>
                    <a:stretch>
                      <a:fillRect/>
                    </a:stretch>
                  </pic:blipFill>
                  <pic:spPr>
                    <a:xfrm>
                      <a:off x="0" y="0"/>
                      <a:ext cx="5759591" cy="3239770"/>
                    </a:xfrm>
                    <a:prstGeom prst="rect">
                      <a:avLst/>
                    </a:prstGeom>
                  </pic:spPr>
                </pic:pic>
              </a:graphicData>
            </a:graphic>
          </wp:inline>
        </w:drawing>
      </w:r>
    </w:p>
    <w:p w14:paraId="21F28B36" w14:textId="77777777" w:rsidR="00FB1835" w:rsidRDefault="00FB1835">
      <w:pPr>
        <w:spacing w:after="200" w:line="240" w:lineRule="auto"/>
        <w:rPr>
          <w:lang w:val="fr-CH"/>
        </w:rPr>
      </w:pPr>
      <w:r>
        <w:rPr>
          <w:lang w:val="fr-CH"/>
        </w:rPr>
        <w:br w:type="page"/>
      </w:r>
    </w:p>
    <w:p w14:paraId="563CBB0B" w14:textId="6883C391" w:rsidR="0052495B" w:rsidRPr="00D34728" w:rsidRDefault="0052495B" w:rsidP="00416C8A">
      <w:pPr>
        <w:pStyle w:val="Textkrper"/>
        <w:spacing w:before="240"/>
        <w:rPr>
          <w:lang w:val="fr-CH"/>
        </w:rPr>
      </w:pPr>
      <w:r w:rsidRPr="00D34728">
        <w:rPr>
          <w:lang w:val="fr-CH"/>
        </w:rPr>
        <w:lastRenderedPageBreak/>
        <w:t xml:space="preserve">La comparaison selon les différents types de soutien (Tableau 3) montre que, sur l’ensemble des trois années étudiées, les élèves bénéficiant d’un soutien dispensé par </w:t>
      </w:r>
      <w:r w:rsidR="00601F10">
        <w:rPr>
          <w:lang w:val="fr-CH"/>
        </w:rPr>
        <w:t xml:space="preserve">une enseignante spécialisée ou </w:t>
      </w:r>
      <w:r w:rsidRPr="00D34728">
        <w:rPr>
          <w:lang w:val="fr-CH"/>
        </w:rPr>
        <w:t>un enseignant spécialisé présentent un taux de burnout scolaire plus élevé que leurs pairs sans soutien. Pour les élèves bénéficiant d’un soutien psychologique, les différences de moyennes sont significatives en 2022, mais ne le sont plus en 2023 et en 2024. Quant aux élèves bénéficiant d’un soutien logopédique, aucune différence significative n’a été observée par rapport au groupe sans soutien.</w:t>
      </w:r>
    </w:p>
    <w:p w14:paraId="5A91BE2B" w14:textId="72E06A90" w:rsidR="001B775A" w:rsidRPr="00D34728" w:rsidRDefault="0052495B" w:rsidP="0052495B">
      <w:pPr>
        <w:pStyle w:val="LegendeTabelle"/>
        <w:rPr>
          <w:lang w:val="fr-CH"/>
        </w:rPr>
      </w:pPr>
      <w:r w:rsidRPr="00D34728">
        <w:rPr>
          <w:lang w:val="fr-CH"/>
        </w:rPr>
        <w:t>Tableau 3 : Différence de moyenne du burnout des élèves suivis ou non par un ou un professionnel de la pédagogie spécialisée</w:t>
      </w:r>
    </w:p>
    <w:tbl>
      <w:tblPr>
        <w:tblStyle w:val="Gitternetztabelle4Akzent4"/>
        <w:tblW w:w="9213" w:type="dxa"/>
        <w:tblLook w:val="0420" w:firstRow="1" w:lastRow="0" w:firstColumn="0" w:lastColumn="0" w:noHBand="0" w:noVBand="1"/>
      </w:tblPr>
      <w:tblGrid>
        <w:gridCol w:w="3843"/>
        <w:gridCol w:w="1790"/>
        <w:gridCol w:w="1790"/>
        <w:gridCol w:w="1790"/>
      </w:tblGrid>
      <w:tr w:rsidR="00792D51" w:rsidRPr="00D34728" w14:paraId="16F266D0" w14:textId="77777777" w:rsidTr="00B3082A">
        <w:trPr>
          <w:cnfStyle w:val="100000000000" w:firstRow="1" w:lastRow="0" w:firstColumn="0" w:lastColumn="0" w:oddVBand="0" w:evenVBand="0" w:oddHBand="0" w:evenHBand="0" w:firstRowFirstColumn="0" w:firstRowLastColumn="0" w:lastRowFirstColumn="0" w:lastRowLastColumn="0"/>
          <w:trHeight w:hRule="exact" w:val="397"/>
        </w:trPr>
        <w:tc>
          <w:tcPr>
            <w:tcW w:w="3345" w:type="dxa"/>
            <w:tcBorders>
              <w:bottom w:val="nil"/>
            </w:tcBorders>
            <w:vAlign w:val="center"/>
            <w:hideMark/>
          </w:tcPr>
          <w:p w14:paraId="3AFCFB83" w14:textId="77777777" w:rsidR="00792D51" w:rsidRPr="005A11D0" w:rsidRDefault="00792D51" w:rsidP="00B3082A">
            <w:pPr>
              <w:pStyle w:val="Textkrper"/>
              <w:spacing w:before="0" w:after="0" w:line="240" w:lineRule="auto"/>
              <w:jc w:val="left"/>
              <w:rPr>
                <w:rFonts w:asciiTheme="majorHAnsi" w:hAnsiTheme="majorHAnsi" w:cstheme="majorHAnsi"/>
                <w:b w:val="0"/>
                <w:bCs w:val="0"/>
                <w:color w:val="auto"/>
                <w:lang w:val="fr-CH"/>
              </w:rPr>
            </w:pPr>
            <w:r w:rsidRPr="005A11D0">
              <w:rPr>
                <w:rFonts w:asciiTheme="majorHAnsi" w:hAnsiTheme="majorHAnsi" w:cstheme="majorHAnsi"/>
                <w:color w:val="auto"/>
                <w:lang w:val="fr-CH"/>
              </w:rPr>
              <w:t>Mesures de pédagogie spécialisée</w:t>
            </w:r>
          </w:p>
        </w:tc>
        <w:tc>
          <w:tcPr>
            <w:tcW w:w="1559" w:type="dxa"/>
            <w:tcBorders>
              <w:bottom w:val="nil"/>
            </w:tcBorders>
            <w:vAlign w:val="center"/>
            <w:hideMark/>
          </w:tcPr>
          <w:p w14:paraId="16499FB8" w14:textId="5756C9D3" w:rsidR="00792D51" w:rsidRPr="005A11D0" w:rsidRDefault="00792D51" w:rsidP="00B3082A">
            <w:pPr>
              <w:pStyle w:val="Textkrper"/>
              <w:spacing w:before="0" w:after="0" w:line="240" w:lineRule="auto"/>
              <w:jc w:val="left"/>
              <w:rPr>
                <w:rFonts w:asciiTheme="majorHAnsi" w:hAnsiTheme="majorHAnsi" w:cstheme="majorHAnsi"/>
                <w:color w:val="auto"/>
                <w:lang w:val="fr-CH"/>
              </w:rPr>
            </w:pPr>
            <w:r w:rsidRPr="005A11D0">
              <w:rPr>
                <w:rFonts w:asciiTheme="majorHAnsi" w:hAnsiTheme="majorHAnsi" w:cstheme="majorHAnsi"/>
                <w:color w:val="auto"/>
                <w:lang w:val="fr-CH"/>
              </w:rPr>
              <w:t xml:space="preserve">2022 </w:t>
            </w:r>
            <w:r w:rsidRPr="00E263AD">
              <w:rPr>
                <w:rFonts w:asciiTheme="majorHAnsi" w:hAnsiTheme="majorHAnsi" w:cstheme="majorHAnsi"/>
                <w:i/>
                <w:iCs/>
                <w:color w:val="auto"/>
                <w:lang w:val="fr-CH"/>
              </w:rPr>
              <w:t>M (SD)</w:t>
            </w:r>
          </w:p>
        </w:tc>
        <w:tc>
          <w:tcPr>
            <w:tcW w:w="1559" w:type="dxa"/>
            <w:tcBorders>
              <w:bottom w:val="nil"/>
            </w:tcBorders>
            <w:vAlign w:val="center"/>
            <w:hideMark/>
          </w:tcPr>
          <w:p w14:paraId="21810221" w14:textId="2A2248A4" w:rsidR="00792D51" w:rsidRPr="005A11D0" w:rsidRDefault="00792D51" w:rsidP="00B3082A">
            <w:pPr>
              <w:pStyle w:val="Textkrper"/>
              <w:spacing w:before="0" w:after="0" w:line="240" w:lineRule="auto"/>
              <w:jc w:val="left"/>
              <w:rPr>
                <w:rFonts w:asciiTheme="majorHAnsi" w:hAnsiTheme="majorHAnsi" w:cstheme="majorHAnsi"/>
                <w:color w:val="auto"/>
                <w:lang w:val="fr-CH"/>
              </w:rPr>
            </w:pPr>
            <w:r w:rsidRPr="005A11D0">
              <w:rPr>
                <w:rFonts w:asciiTheme="majorHAnsi" w:hAnsiTheme="majorHAnsi" w:cstheme="majorHAnsi"/>
                <w:color w:val="auto"/>
                <w:lang w:val="fr-CH"/>
              </w:rPr>
              <w:t>2023</w:t>
            </w:r>
            <w:r w:rsidR="00582627">
              <w:rPr>
                <w:rFonts w:asciiTheme="majorHAnsi" w:hAnsiTheme="majorHAnsi" w:cstheme="majorHAnsi"/>
                <w:color w:val="auto"/>
                <w:lang w:val="fr-CH"/>
              </w:rPr>
              <w:t> </w:t>
            </w:r>
            <w:r w:rsidRPr="00E263AD">
              <w:rPr>
                <w:rFonts w:asciiTheme="majorHAnsi" w:hAnsiTheme="majorHAnsi" w:cstheme="majorHAnsi"/>
                <w:i/>
                <w:iCs/>
                <w:color w:val="auto"/>
                <w:lang w:val="fr-CH"/>
              </w:rPr>
              <w:t>M (SD)</w:t>
            </w:r>
          </w:p>
        </w:tc>
        <w:tc>
          <w:tcPr>
            <w:tcW w:w="1559" w:type="dxa"/>
            <w:tcBorders>
              <w:bottom w:val="nil"/>
            </w:tcBorders>
            <w:vAlign w:val="center"/>
            <w:hideMark/>
          </w:tcPr>
          <w:p w14:paraId="6D3B6CE0" w14:textId="21C7FD9D" w:rsidR="00792D51" w:rsidRPr="005A11D0" w:rsidRDefault="00792D51" w:rsidP="00B3082A">
            <w:pPr>
              <w:pStyle w:val="Textkrper"/>
              <w:spacing w:before="0" w:after="0" w:line="240" w:lineRule="auto"/>
              <w:jc w:val="left"/>
              <w:rPr>
                <w:rFonts w:asciiTheme="majorHAnsi" w:hAnsiTheme="majorHAnsi" w:cstheme="majorHAnsi"/>
                <w:color w:val="auto"/>
                <w:lang w:val="fr-CH"/>
              </w:rPr>
            </w:pPr>
            <w:r w:rsidRPr="005A11D0">
              <w:rPr>
                <w:rFonts w:asciiTheme="majorHAnsi" w:hAnsiTheme="majorHAnsi" w:cstheme="majorHAnsi"/>
                <w:color w:val="auto"/>
                <w:lang w:val="fr-CH"/>
              </w:rPr>
              <w:t>2024</w:t>
            </w:r>
            <w:r w:rsidR="00582627">
              <w:rPr>
                <w:rFonts w:asciiTheme="majorHAnsi" w:hAnsiTheme="majorHAnsi" w:cstheme="majorHAnsi"/>
                <w:color w:val="auto"/>
                <w:lang w:val="fr-CH"/>
              </w:rPr>
              <w:t> </w:t>
            </w:r>
            <w:r w:rsidRPr="00E263AD">
              <w:rPr>
                <w:rFonts w:asciiTheme="majorHAnsi" w:hAnsiTheme="majorHAnsi" w:cstheme="majorHAnsi"/>
                <w:i/>
                <w:iCs/>
                <w:color w:val="auto"/>
                <w:lang w:val="fr-CH"/>
              </w:rPr>
              <w:t>M(SD)</w:t>
            </w:r>
          </w:p>
        </w:tc>
      </w:tr>
      <w:tr w:rsidR="00792D51" w:rsidRPr="00D34728" w14:paraId="59A2F46E" w14:textId="77777777" w:rsidTr="00366614">
        <w:trPr>
          <w:cnfStyle w:val="000000100000" w:firstRow="0" w:lastRow="0" w:firstColumn="0" w:lastColumn="0" w:oddVBand="0" w:evenVBand="0" w:oddHBand="1" w:evenHBand="0" w:firstRowFirstColumn="0" w:firstRowLastColumn="0" w:lastRowFirstColumn="0" w:lastRowLastColumn="0"/>
          <w:trHeight w:hRule="exact" w:val="397"/>
        </w:trPr>
        <w:tc>
          <w:tcPr>
            <w:tcW w:w="3345" w:type="dxa"/>
            <w:tcBorders>
              <w:top w:val="nil"/>
              <w:left w:val="nil"/>
              <w:bottom w:val="single" w:sz="4" w:space="0" w:color="51A66D" w:themeColor="accent4"/>
              <w:right w:val="single" w:sz="4" w:space="0" w:color="51A66D" w:themeColor="accent4"/>
            </w:tcBorders>
            <w:shd w:val="clear" w:color="auto" w:fill="FFFFFF" w:themeFill="background1"/>
            <w:vAlign w:val="center"/>
            <w:hideMark/>
          </w:tcPr>
          <w:p w14:paraId="6C5F0516"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Avec suivi en enseignement spécialisé</w:t>
            </w:r>
          </w:p>
        </w:tc>
        <w:tc>
          <w:tcPr>
            <w:tcW w:w="1559" w:type="dxa"/>
            <w:tcBorders>
              <w:top w:val="nil"/>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145320CB"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2.85 (</w:t>
            </w:r>
            <w:proofErr w:type="gramStart"/>
            <w:r w:rsidRPr="00DE02B5">
              <w:rPr>
                <w:rFonts w:asciiTheme="majorHAnsi" w:hAnsiTheme="majorHAnsi" w:cstheme="majorHAnsi"/>
                <w:lang w:val="fr-CH"/>
              </w:rPr>
              <w:t>0.56)*</w:t>
            </w:r>
            <w:proofErr w:type="gramEnd"/>
          </w:p>
        </w:tc>
        <w:tc>
          <w:tcPr>
            <w:tcW w:w="1559" w:type="dxa"/>
            <w:tcBorders>
              <w:top w:val="nil"/>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541DD2B4"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3.10 (</w:t>
            </w:r>
            <w:proofErr w:type="gramStart"/>
            <w:r w:rsidRPr="00DE02B5">
              <w:rPr>
                <w:rFonts w:asciiTheme="majorHAnsi" w:hAnsiTheme="majorHAnsi" w:cstheme="majorHAnsi"/>
                <w:lang w:val="fr-CH"/>
              </w:rPr>
              <w:t>1.22)*</w:t>
            </w:r>
            <w:proofErr w:type="gramEnd"/>
          </w:p>
        </w:tc>
        <w:tc>
          <w:tcPr>
            <w:tcW w:w="1559" w:type="dxa"/>
            <w:tcBorders>
              <w:top w:val="nil"/>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17291DC2"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3.08 (</w:t>
            </w:r>
            <w:proofErr w:type="gramStart"/>
            <w:r w:rsidRPr="00DE02B5">
              <w:rPr>
                <w:rFonts w:asciiTheme="majorHAnsi" w:hAnsiTheme="majorHAnsi" w:cstheme="majorHAnsi"/>
                <w:lang w:val="fr-CH"/>
              </w:rPr>
              <w:t>0.82)*</w:t>
            </w:r>
            <w:proofErr w:type="gramEnd"/>
          </w:p>
        </w:tc>
      </w:tr>
      <w:tr w:rsidR="00792D51" w:rsidRPr="00D34728" w14:paraId="289D371E" w14:textId="77777777" w:rsidTr="00366614">
        <w:trPr>
          <w:trHeight w:hRule="exact" w:val="397"/>
        </w:trPr>
        <w:tc>
          <w:tcPr>
            <w:tcW w:w="3345" w:type="dxa"/>
            <w:tcBorders>
              <w:top w:val="single" w:sz="4" w:space="0" w:color="51A66D" w:themeColor="accent4"/>
              <w:left w:val="nil"/>
              <w:bottom w:val="single" w:sz="4" w:space="0" w:color="51A66D" w:themeColor="accent4"/>
              <w:right w:val="single" w:sz="4" w:space="0" w:color="51A66D" w:themeColor="accent4"/>
            </w:tcBorders>
            <w:shd w:val="clear" w:color="auto" w:fill="FFFFFF" w:themeFill="background1"/>
            <w:vAlign w:val="center"/>
            <w:hideMark/>
          </w:tcPr>
          <w:p w14:paraId="5B88172C"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 xml:space="preserve">Sans suivi en enseignement spécialisé </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0EEDCC74"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2.30 (</w:t>
            </w:r>
            <w:proofErr w:type="gramStart"/>
            <w:r w:rsidRPr="00DE02B5">
              <w:rPr>
                <w:rFonts w:asciiTheme="majorHAnsi" w:hAnsiTheme="majorHAnsi" w:cstheme="majorHAnsi"/>
                <w:lang w:val="fr-CH"/>
              </w:rPr>
              <w:t>1.06)*</w:t>
            </w:r>
            <w:proofErr w:type="gramEnd"/>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53C92CF8"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2.34 (</w:t>
            </w:r>
            <w:proofErr w:type="gramStart"/>
            <w:r w:rsidRPr="00DE02B5">
              <w:rPr>
                <w:rFonts w:asciiTheme="majorHAnsi" w:hAnsiTheme="majorHAnsi" w:cstheme="majorHAnsi"/>
                <w:lang w:val="fr-CH"/>
              </w:rPr>
              <w:t>0.99)*</w:t>
            </w:r>
            <w:proofErr w:type="gramEnd"/>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hideMark/>
          </w:tcPr>
          <w:p w14:paraId="67CF1416"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2.42 (</w:t>
            </w:r>
            <w:proofErr w:type="gramStart"/>
            <w:r w:rsidRPr="00DE02B5">
              <w:rPr>
                <w:rFonts w:asciiTheme="majorHAnsi" w:hAnsiTheme="majorHAnsi" w:cstheme="majorHAnsi"/>
                <w:lang w:val="fr-CH"/>
              </w:rPr>
              <w:t>1.04)*</w:t>
            </w:r>
            <w:proofErr w:type="gramEnd"/>
          </w:p>
        </w:tc>
      </w:tr>
      <w:tr w:rsidR="00792D51" w:rsidRPr="00D34728" w14:paraId="5226433D" w14:textId="77777777" w:rsidTr="00366614">
        <w:trPr>
          <w:cnfStyle w:val="000000100000" w:firstRow="0" w:lastRow="0" w:firstColumn="0" w:lastColumn="0" w:oddVBand="0" w:evenVBand="0" w:oddHBand="1" w:evenHBand="0" w:firstRowFirstColumn="0" w:firstRowLastColumn="0" w:lastRowFirstColumn="0" w:lastRowLastColumn="0"/>
          <w:trHeight w:hRule="exact" w:val="397"/>
        </w:trPr>
        <w:tc>
          <w:tcPr>
            <w:tcW w:w="3345" w:type="dxa"/>
            <w:tcBorders>
              <w:top w:val="single" w:sz="4" w:space="0" w:color="51A66D" w:themeColor="accent4"/>
              <w:left w:val="nil"/>
              <w:bottom w:val="single" w:sz="4" w:space="0" w:color="51A66D" w:themeColor="accent4"/>
              <w:right w:val="single" w:sz="4" w:space="0" w:color="51A66D" w:themeColor="accent4"/>
            </w:tcBorders>
            <w:shd w:val="clear" w:color="auto" w:fill="B8DCC4" w:themeFill="accent4" w:themeFillTint="66"/>
            <w:vAlign w:val="center"/>
          </w:tcPr>
          <w:p w14:paraId="325839D0"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 xml:space="preserve">Avec suivi en psychologie </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7DAEB813"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3.35 (</w:t>
            </w:r>
            <w:proofErr w:type="gramStart"/>
            <w:r w:rsidRPr="00DE02B5">
              <w:rPr>
                <w:rFonts w:asciiTheme="majorHAnsi" w:hAnsiTheme="majorHAnsi" w:cstheme="majorHAnsi"/>
                <w:lang w:val="fr-CH"/>
              </w:rPr>
              <w:t>1.23)*</w:t>
            </w:r>
            <w:proofErr w:type="gramEnd"/>
            <w:r w:rsidRPr="00DE02B5">
              <w:rPr>
                <w:rFonts w:asciiTheme="majorHAnsi" w:hAnsiTheme="majorHAnsi" w:cstheme="majorHAnsi"/>
                <w:lang w:val="fr-CH"/>
              </w:rPr>
              <w:t>**</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32D8B71A"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2.78 (1.18) ns</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3EF52036"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2.70 (0.95) ns</w:t>
            </w:r>
          </w:p>
        </w:tc>
      </w:tr>
      <w:tr w:rsidR="00792D51" w:rsidRPr="00D34728" w14:paraId="481A5658" w14:textId="77777777" w:rsidTr="00366614">
        <w:trPr>
          <w:trHeight w:hRule="exact" w:val="397"/>
        </w:trPr>
        <w:tc>
          <w:tcPr>
            <w:tcW w:w="3345" w:type="dxa"/>
            <w:tcBorders>
              <w:top w:val="single" w:sz="4" w:space="0" w:color="51A66D" w:themeColor="accent4"/>
              <w:left w:val="nil"/>
              <w:bottom w:val="single" w:sz="4" w:space="0" w:color="51A66D" w:themeColor="accent4"/>
              <w:right w:val="single" w:sz="4" w:space="0" w:color="51A66D" w:themeColor="accent4"/>
            </w:tcBorders>
            <w:shd w:val="clear" w:color="auto" w:fill="B8DCC4" w:themeFill="accent4" w:themeFillTint="66"/>
            <w:vAlign w:val="center"/>
          </w:tcPr>
          <w:p w14:paraId="20EE6077"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 xml:space="preserve">Sans suivi en psychologie </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73F77EE2"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2.26 (</w:t>
            </w:r>
            <w:proofErr w:type="gramStart"/>
            <w:r w:rsidRPr="00DE02B5">
              <w:rPr>
                <w:rFonts w:asciiTheme="majorHAnsi" w:hAnsiTheme="majorHAnsi" w:cstheme="majorHAnsi"/>
                <w:lang w:val="fr-CH"/>
              </w:rPr>
              <w:t>1.06)*</w:t>
            </w:r>
            <w:proofErr w:type="gramEnd"/>
            <w:r w:rsidRPr="00DE02B5">
              <w:rPr>
                <w:rFonts w:asciiTheme="majorHAnsi" w:hAnsiTheme="majorHAnsi" w:cstheme="majorHAnsi"/>
                <w:lang w:val="fr-CH"/>
              </w:rPr>
              <w:t>**</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78CB9324"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2.36 (1.01) ns</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B8DCC4" w:themeFill="accent4" w:themeFillTint="66"/>
            <w:vAlign w:val="center"/>
          </w:tcPr>
          <w:p w14:paraId="34D8D3C6"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2.47 (1.05) ns</w:t>
            </w:r>
          </w:p>
        </w:tc>
      </w:tr>
      <w:tr w:rsidR="00792D51" w:rsidRPr="00D34728" w14:paraId="33EDF43A" w14:textId="77777777" w:rsidTr="00366614">
        <w:trPr>
          <w:cnfStyle w:val="000000100000" w:firstRow="0" w:lastRow="0" w:firstColumn="0" w:lastColumn="0" w:oddVBand="0" w:evenVBand="0" w:oddHBand="1" w:evenHBand="0" w:firstRowFirstColumn="0" w:firstRowLastColumn="0" w:lastRowFirstColumn="0" w:lastRowLastColumn="0"/>
          <w:trHeight w:hRule="exact" w:val="397"/>
        </w:trPr>
        <w:tc>
          <w:tcPr>
            <w:tcW w:w="3345" w:type="dxa"/>
            <w:tcBorders>
              <w:top w:val="single" w:sz="4" w:space="0" w:color="51A66D" w:themeColor="accent4"/>
              <w:left w:val="nil"/>
              <w:bottom w:val="single" w:sz="4" w:space="0" w:color="51A66D" w:themeColor="accent4"/>
              <w:right w:val="single" w:sz="4" w:space="0" w:color="51A66D" w:themeColor="accent4"/>
            </w:tcBorders>
            <w:shd w:val="clear" w:color="auto" w:fill="FFFFFF" w:themeFill="background1"/>
            <w:vAlign w:val="center"/>
          </w:tcPr>
          <w:p w14:paraId="356F3753"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Avec suivi en logopédie</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tcPr>
          <w:p w14:paraId="06AA3E54"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2.83 (0.77) ns</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tcPr>
          <w:p w14:paraId="4C25C174"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2.50 (0.83) ns</w:t>
            </w:r>
          </w:p>
        </w:tc>
        <w:tc>
          <w:tcPr>
            <w:tcW w:w="1559"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vAlign w:val="center"/>
          </w:tcPr>
          <w:p w14:paraId="5F7B6E08"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2.52 (1.39) ns</w:t>
            </w:r>
          </w:p>
        </w:tc>
      </w:tr>
      <w:tr w:rsidR="00792D51" w:rsidRPr="00D34728" w14:paraId="1FECBF79" w14:textId="77777777" w:rsidTr="00366614">
        <w:trPr>
          <w:trHeight w:hRule="exact" w:val="397"/>
        </w:trPr>
        <w:tc>
          <w:tcPr>
            <w:tcW w:w="3345" w:type="dxa"/>
            <w:tcBorders>
              <w:top w:val="single" w:sz="4" w:space="0" w:color="51A66D" w:themeColor="accent4"/>
              <w:left w:val="nil"/>
              <w:bottom w:val="nil"/>
              <w:right w:val="single" w:sz="4" w:space="0" w:color="51A66D" w:themeColor="accent4"/>
            </w:tcBorders>
            <w:shd w:val="clear" w:color="auto" w:fill="FFFFFF" w:themeFill="background1"/>
            <w:vAlign w:val="center"/>
          </w:tcPr>
          <w:p w14:paraId="4ABF197B"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Sans suivi en logopédie</w:t>
            </w:r>
          </w:p>
        </w:tc>
        <w:tc>
          <w:tcPr>
            <w:tcW w:w="1559" w:type="dxa"/>
            <w:tcBorders>
              <w:top w:val="single" w:sz="4" w:space="0" w:color="51A66D" w:themeColor="accent4"/>
              <w:left w:val="single" w:sz="4" w:space="0" w:color="51A66D" w:themeColor="accent4"/>
              <w:bottom w:val="nil"/>
              <w:right w:val="single" w:sz="4" w:space="0" w:color="51A66D" w:themeColor="accent4"/>
            </w:tcBorders>
            <w:shd w:val="clear" w:color="auto" w:fill="FFFFFF" w:themeFill="background1"/>
            <w:vAlign w:val="center"/>
          </w:tcPr>
          <w:p w14:paraId="2041574E"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2.30 (1.05) ns</w:t>
            </w:r>
          </w:p>
        </w:tc>
        <w:tc>
          <w:tcPr>
            <w:tcW w:w="1559" w:type="dxa"/>
            <w:tcBorders>
              <w:top w:val="single" w:sz="4" w:space="0" w:color="51A66D" w:themeColor="accent4"/>
              <w:left w:val="single" w:sz="4" w:space="0" w:color="51A66D" w:themeColor="accent4"/>
              <w:bottom w:val="nil"/>
              <w:right w:val="single" w:sz="4" w:space="0" w:color="51A66D" w:themeColor="accent4"/>
            </w:tcBorders>
            <w:shd w:val="clear" w:color="auto" w:fill="FFFFFF" w:themeFill="background1"/>
            <w:vAlign w:val="center"/>
          </w:tcPr>
          <w:p w14:paraId="05BF1A17"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2.38 (1.03) ns</w:t>
            </w:r>
          </w:p>
        </w:tc>
        <w:tc>
          <w:tcPr>
            <w:tcW w:w="1559" w:type="dxa"/>
            <w:tcBorders>
              <w:top w:val="single" w:sz="4" w:space="0" w:color="51A66D" w:themeColor="accent4"/>
              <w:left w:val="single" w:sz="4" w:space="0" w:color="51A66D" w:themeColor="accent4"/>
              <w:bottom w:val="nil"/>
              <w:right w:val="single" w:sz="4" w:space="0" w:color="51A66D" w:themeColor="accent4"/>
            </w:tcBorders>
            <w:shd w:val="clear" w:color="auto" w:fill="FFFFFF" w:themeFill="background1"/>
            <w:vAlign w:val="center"/>
          </w:tcPr>
          <w:p w14:paraId="0F58942A" w14:textId="77777777" w:rsidR="00792D51" w:rsidRPr="00DE02B5" w:rsidRDefault="00792D51" w:rsidP="00366614">
            <w:pPr>
              <w:pStyle w:val="Textkrper"/>
              <w:spacing w:before="0" w:after="0" w:line="240" w:lineRule="auto"/>
              <w:jc w:val="left"/>
              <w:rPr>
                <w:rFonts w:asciiTheme="majorHAnsi" w:hAnsiTheme="majorHAnsi" w:cstheme="majorHAnsi"/>
                <w:lang w:val="fr-CH"/>
              </w:rPr>
            </w:pPr>
            <w:r w:rsidRPr="00DE02B5">
              <w:rPr>
                <w:rFonts w:asciiTheme="majorHAnsi" w:hAnsiTheme="majorHAnsi" w:cstheme="majorHAnsi"/>
                <w:lang w:val="fr-CH"/>
              </w:rPr>
              <w:t>2.48 (1.03) ns</w:t>
            </w:r>
          </w:p>
        </w:tc>
      </w:tr>
    </w:tbl>
    <w:p w14:paraId="5B02BA43" w14:textId="3616BB74" w:rsidR="00DA6F88" w:rsidRPr="00D34728" w:rsidRDefault="00EF2A3A" w:rsidP="00EF2A3A">
      <w:pPr>
        <w:pStyle w:val="NotizTabelle"/>
        <w:rPr>
          <w:lang w:val="fr-CH"/>
        </w:rPr>
      </w:pPr>
      <w:r w:rsidRPr="00D34728">
        <w:rPr>
          <w:i/>
          <w:lang w:val="fr-CH"/>
        </w:rPr>
        <w:t>Note.</w:t>
      </w:r>
      <w:r w:rsidRPr="00D34728">
        <w:rPr>
          <w:lang w:val="fr-CH"/>
        </w:rPr>
        <w:t xml:space="preserve"> M = Score moyen de burnout ; </w:t>
      </w:r>
      <w:r w:rsidR="00792D51" w:rsidRPr="00F160C2">
        <w:rPr>
          <w:i/>
          <w:iCs w:val="0"/>
          <w:lang w:val="fr-CH"/>
        </w:rPr>
        <w:t>SD</w:t>
      </w:r>
      <w:r w:rsidRPr="00D34728">
        <w:rPr>
          <w:lang w:val="fr-CH"/>
        </w:rPr>
        <w:t> = écart type ; * = différence significative p &lt; .05 ; ** = différence significative p &lt; .01 ; *** = différence significative p &lt; .001 ; ns = différence non</w:t>
      </w:r>
      <w:r w:rsidR="009F16F2">
        <w:rPr>
          <w:lang w:val="fr-CH"/>
        </w:rPr>
        <w:t xml:space="preserve"> </w:t>
      </w:r>
      <w:r w:rsidRPr="00D34728">
        <w:rPr>
          <w:lang w:val="fr-CH"/>
        </w:rPr>
        <w:t>significative</w:t>
      </w:r>
    </w:p>
    <w:p w14:paraId="0BFEF496" w14:textId="77777777" w:rsidR="002A4819" w:rsidRPr="00D34728" w:rsidRDefault="002A4819" w:rsidP="00DA7DF7">
      <w:pPr>
        <w:pStyle w:val="berschrift2"/>
        <w:rPr>
          <w:lang w:val="fr-CH"/>
        </w:rPr>
      </w:pPr>
      <w:r w:rsidRPr="00D34728">
        <w:rPr>
          <w:lang w:val="fr-CH"/>
        </w:rPr>
        <w:t>Facteurs de risque : différence et similitude entre les élèves avec ou sans mesures de soutien</w:t>
      </w:r>
    </w:p>
    <w:p w14:paraId="1D9DC4C7" w14:textId="42156E96" w:rsidR="00002AFB" w:rsidRPr="00D34728" w:rsidRDefault="00002AFB" w:rsidP="00002AFB">
      <w:pPr>
        <w:pStyle w:val="Textkrper"/>
        <w:rPr>
          <w:lang w:val="fr-CH"/>
        </w:rPr>
      </w:pPr>
      <w:r w:rsidRPr="00D34728">
        <w:rPr>
          <w:lang w:val="fr-CH"/>
        </w:rPr>
        <w:t>Les résultats des analyses statistiques (Tableau 4) montrent que certains facteurs sont davantage rapportés par les élèves bénéficiant d’une mesure de soutien par rapport à ceux sans soutien. Parmi les facteurs individuels figurent la fatigue et les difficultés de sommeil, des résultats scolaires plus faibles en mathématiques et en français, des sentiments de peur et d’angoisse. Les élèves bénéficiant d’une mesure de soutien rapportent aussi davantage de symptômes somatiques comme des douleurs au ventre, au dos et des maux de tête. Au niveau interpersonnel, les élèves bénéficiant d’une mesure de soutien indiquent plus souvent se sentir seuls, manquer d’amis, et subir davantage de moqueries, de menaces ou d’intimidations de la part de pairs comparativement aux élèves sans soutien. Enfin, lorsqu’on demande aux élèves s’ils se plaisent dans leur classe, en moyenne sur les trois années, seuls 9 % des élèves sans soutien répondent négativement, tandis que cette proposition atteint 24 % chez les élèves bénéficiant d’un soutien, soit près d’un quart de l’échantillon.</w:t>
      </w:r>
    </w:p>
    <w:p w14:paraId="1C8E3977" w14:textId="77777777" w:rsidR="005424CB" w:rsidRDefault="005424CB">
      <w:pPr>
        <w:spacing w:after="200" w:line="240" w:lineRule="auto"/>
        <w:rPr>
          <w:bCs/>
          <w:i/>
          <w:iCs/>
          <w:color w:val="D31932" w:themeColor="accent1"/>
          <w:lang w:val="fr-CH"/>
        </w:rPr>
      </w:pPr>
      <w:r>
        <w:rPr>
          <w:lang w:val="fr-CH"/>
        </w:rPr>
        <w:br w:type="page"/>
      </w:r>
    </w:p>
    <w:p w14:paraId="4892BF77" w14:textId="21823DEC" w:rsidR="00002AFB" w:rsidRPr="00D34728" w:rsidRDefault="00002AFB" w:rsidP="00002AFB">
      <w:pPr>
        <w:pStyle w:val="LegendeTabelle"/>
        <w:rPr>
          <w:lang w:val="fr-CH"/>
        </w:rPr>
      </w:pPr>
      <w:r w:rsidRPr="00D34728">
        <w:rPr>
          <w:lang w:val="fr-CH"/>
        </w:rPr>
        <w:lastRenderedPageBreak/>
        <w:t>Tableau 4 : Facteurs de risque</w:t>
      </w:r>
    </w:p>
    <w:tbl>
      <w:tblPr>
        <w:tblW w:w="9419" w:type="dxa"/>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5726"/>
        <w:gridCol w:w="1425"/>
        <w:gridCol w:w="1134"/>
        <w:gridCol w:w="1134"/>
      </w:tblGrid>
      <w:tr w:rsidR="00AB641A" w:rsidRPr="00B8385B" w14:paraId="301443B1" w14:textId="77777777" w:rsidTr="005424CB">
        <w:trPr>
          <w:trHeight w:val="283"/>
        </w:trPr>
        <w:tc>
          <w:tcPr>
            <w:tcW w:w="5726" w:type="dxa"/>
            <w:shd w:val="clear" w:color="auto" w:fill="51A66D" w:themeFill="accent4"/>
            <w:tcMar>
              <w:top w:w="72" w:type="dxa"/>
              <w:left w:w="144" w:type="dxa"/>
              <w:bottom w:w="72" w:type="dxa"/>
              <w:right w:w="144" w:type="dxa"/>
            </w:tcMar>
            <w:hideMark/>
          </w:tcPr>
          <w:p w14:paraId="1FC2D82E"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b/>
                <w:bCs/>
                <w:lang w:val="fr-CH"/>
              </w:rPr>
              <w:t xml:space="preserve">Les élèves avec une mesure de soutien rapportent davantage </w:t>
            </w:r>
          </w:p>
        </w:tc>
        <w:tc>
          <w:tcPr>
            <w:tcW w:w="1425" w:type="dxa"/>
            <w:shd w:val="clear" w:color="auto" w:fill="51A66D" w:themeFill="accent4"/>
            <w:tcMar>
              <w:top w:w="72" w:type="dxa"/>
              <w:left w:w="144" w:type="dxa"/>
              <w:bottom w:w="72" w:type="dxa"/>
              <w:right w:w="144" w:type="dxa"/>
            </w:tcMar>
            <w:hideMark/>
          </w:tcPr>
          <w:p w14:paraId="10EC2492" w14:textId="77777777" w:rsidR="009A3C94" w:rsidRPr="00B8385B" w:rsidRDefault="009A3C94" w:rsidP="005424CB">
            <w:pPr>
              <w:pStyle w:val="Textkrper"/>
              <w:spacing w:before="0" w:after="0" w:line="240" w:lineRule="auto"/>
              <w:rPr>
                <w:rFonts w:asciiTheme="majorHAnsi" w:hAnsiTheme="majorHAnsi" w:cstheme="majorHAnsi"/>
                <w:b/>
                <w:bCs/>
                <w:lang w:val="fr-CH"/>
              </w:rPr>
            </w:pPr>
            <w:r w:rsidRPr="00B8385B">
              <w:rPr>
                <w:rFonts w:asciiTheme="majorHAnsi" w:hAnsiTheme="majorHAnsi" w:cstheme="majorHAnsi"/>
                <w:b/>
                <w:bCs/>
                <w:lang w:val="fr-CH"/>
              </w:rPr>
              <w:t>2022</w:t>
            </w:r>
          </w:p>
        </w:tc>
        <w:tc>
          <w:tcPr>
            <w:tcW w:w="1134" w:type="dxa"/>
            <w:shd w:val="clear" w:color="auto" w:fill="51A66D" w:themeFill="accent4"/>
            <w:tcMar>
              <w:top w:w="72" w:type="dxa"/>
              <w:left w:w="144" w:type="dxa"/>
              <w:bottom w:w="72" w:type="dxa"/>
              <w:right w:w="144" w:type="dxa"/>
            </w:tcMar>
            <w:vAlign w:val="center"/>
            <w:hideMark/>
          </w:tcPr>
          <w:p w14:paraId="4E43AFEF" w14:textId="77777777" w:rsidR="009A3C94" w:rsidRPr="00B8385B" w:rsidRDefault="009A3C94" w:rsidP="005424CB">
            <w:pPr>
              <w:pStyle w:val="Textkrper"/>
              <w:spacing w:before="0" w:after="0" w:line="240" w:lineRule="auto"/>
              <w:jc w:val="left"/>
              <w:rPr>
                <w:rFonts w:asciiTheme="majorHAnsi" w:hAnsiTheme="majorHAnsi" w:cstheme="majorHAnsi"/>
                <w:b/>
                <w:bCs/>
                <w:lang w:val="fr-CH"/>
              </w:rPr>
            </w:pPr>
            <w:r w:rsidRPr="00B8385B">
              <w:rPr>
                <w:rFonts w:asciiTheme="majorHAnsi" w:hAnsiTheme="majorHAnsi" w:cstheme="majorHAnsi"/>
                <w:b/>
                <w:bCs/>
                <w:lang w:val="fr-CH"/>
              </w:rPr>
              <w:t>2023</w:t>
            </w:r>
          </w:p>
        </w:tc>
        <w:tc>
          <w:tcPr>
            <w:tcW w:w="1134" w:type="dxa"/>
            <w:shd w:val="clear" w:color="auto" w:fill="51A66D" w:themeFill="accent4"/>
            <w:tcMar>
              <w:top w:w="72" w:type="dxa"/>
              <w:left w:w="144" w:type="dxa"/>
              <w:bottom w:w="72" w:type="dxa"/>
              <w:right w:w="144" w:type="dxa"/>
            </w:tcMar>
            <w:hideMark/>
          </w:tcPr>
          <w:p w14:paraId="15C134D3" w14:textId="77777777" w:rsidR="009A3C94" w:rsidRPr="00B8385B" w:rsidRDefault="009A3C94" w:rsidP="005424CB">
            <w:pPr>
              <w:pStyle w:val="Textkrper"/>
              <w:spacing w:before="0" w:after="0" w:line="240" w:lineRule="auto"/>
              <w:rPr>
                <w:rFonts w:asciiTheme="majorHAnsi" w:hAnsiTheme="majorHAnsi" w:cstheme="majorHAnsi"/>
                <w:b/>
                <w:bCs/>
                <w:lang w:val="fr-CH"/>
              </w:rPr>
            </w:pPr>
            <w:r w:rsidRPr="00B8385B">
              <w:rPr>
                <w:rFonts w:asciiTheme="majorHAnsi" w:hAnsiTheme="majorHAnsi" w:cstheme="majorHAnsi"/>
                <w:b/>
                <w:bCs/>
                <w:lang w:val="fr-CH"/>
              </w:rPr>
              <w:t>2024</w:t>
            </w:r>
          </w:p>
        </w:tc>
      </w:tr>
      <w:tr w:rsidR="00AB641A" w:rsidRPr="00B8385B" w14:paraId="138DA720" w14:textId="77777777" w:rsidTr="005424CB">
        <w:trPr>
          <w:trHeight w:val="283"/>
        </w:trPr>
        <w:tc>
          <w:tcPr>
            <w:tcW w:w="5726" w:type="dxa"/>
            <w:tcBorders>
              <w:bottom w:val="nil"/>
            </w:tcBorders>
            <w:shd w:val="clear" w:color="auto" w:fill="51A66D" w:themeFill="accent4"/>
            <w:tcMar>
              <w:top w:w="72" w:type="dxa"/>
              <w:left w:w="144" w:type="dxa"/>
              <w:bottom w:w="72" w:type="dxa"/>
              <w:right w:w="144" w:type="dxa"/>
            </w:tcMar>
          </w:tcPr>
          <w:p w14:paraId="1475AA41" w14:textId="77777777" w:rsidR="009A3C94" w:rsidRPr="00B8385B" w:rsidRDefault="009A3C94" w:rsidP="005424CB">
            <w:pPr>
              <w:pStyle w:val="Textkrper"/>
              <w:spacing w:before="0" w:after="0" w:line="240" w:lineRule="auto"/>
              <w:rPr>
                <w:rFonts w:asciiTheme="majorHAnsi" w:hAnsiTheme="majorHAnsi" w:cstheme="majorHAnsi"/>
                <w:b/>
                <w:bCs/>
                <w:lang w:val="fr-CH"/>
              </w:rPr>
            </w:pPr>
            <w:r w:rsidRPr="00B8385B">
              <w:rPr>
                <w:rFonts w:asciiTheme="majorHAnsi" w:hAnsiTheme="majorHAnsi" w:cstheme="majorHAnsi"/>
                <w:b/>
                <w:bCs/>
                <w:lang w:val="fr-CH"/>
              </w:rPr>
              <w:t>Variables individuelles</w:t>
            </w:r>
          </w:p>
        </w:tc>
        <w:tc>
          <w:tcPr>
            <w:tcW w:w="1425" w:type="dxa"/>
            <w:tcBorders>
              <w:bottom w:val="nil"/>
            </w:tcBorders>
            <w:shd w:val="clear" w:color="auto" w:fill="51A66D" w:themeFill="accent4"/>
            <w:tcMar>
              <w:top w:w="72" w:type="dxa"/>
              <w:left w:w="144" w:type="dxa"/>
              <w:bottom w:w="72" w:type="dxa"/>
              <w:right w:w="144" w:type="dxa"/>
            </w:tcMar>
            <w:vAlign w:val="center"/>
          </w:tcPr>
          <w:p w14:paraId="01114800" w14:textId="77777777" w:rsidR="009A3C94" w:rsidRPr="00A20C54" w:rsidRDefault="009A3C94" w:rsidP="005424CB">
            <w:pPr>
              <w:pStyle w:val="Textkrper"/>
              <w:spacing w:before="0" w:after="0" w:line="240" w:lineRule="auto"/>
              <w:jc w:val="left"/>
              <w:rPr>
                <w:rFonts w:asciiTheme="majorHAnsi" w:hAnsiTheme="majorHAnsi" w:cstheme="majorHAnsi"/>
                <w:lang w:val="fr-CH"/>
              </w:rPr>
            </w:pPr>
          </w:p>
        </w:tc>
        <w:tc>
          <w:tcPr>
            <w:tcW w:w="1134" w:type="dxa"/>
            <w:tcBorders>
              <w:bottom w:val="nil"/>
            </w:tcBorders>
            <w:shd w:val="clear" w:color="auto" w:fill="51A66D" w:themeFill="accent4"/>
            <w:tcMar>
              <w:top w:w="72" w:type="dxa"/>
              <w:left w:w="144" w:type="dxa"/>
              <w:bottom w:w="72" w:type="dxa"/>
              <w:right w:w="144" w:type="dxa"/>
            </w:tcMar>
            <w:vAlign w:val="center"/>
          </w:tcPr>
          <w:p w14:paraId="0F03C6F3" w14:textId="77777777" w:rsidR="009A3C94" w:rsidRPr="00A20C54" w:rsidRDefault="009A3C94" w:rsidP="005424CB">
            <w:pPr>
              <w:pStyle w:val="Textkrper"/>
              <w:spacing w:before="0" w:after="0" w:line="240" w:lineRule="auto"/>
              <w:jc w:val="left"/>
              <w:rPr>
                <w:rFonts w:asciiTheme="majorHAnsi" w:hAnsiTheme="majorHAnsi" w:cstheme="majorHAnsi"/>
                <w:lang w:val="fr-CH"/>
              </w:rPr>
            </w:pPr>
          </w:p>
        </w:tc>
        <w:tc>
          <w:tcPr>
            <w:tcW w:w="1134" w:type="dxa"/>
            <w:tcBorders>
              <w:bottom w:val="nil"/>
            </w:tcBorders>
            <w:shd w:val="clear" w:color="auto" w:fill="51A66D" w:themeFill="accent4"/>
            <w:tcMar>
              <w:top w:w="72" w:type="dxa"/>
              <w:left w:w="144" w:type="dxa"/>
              <w:bottom w:w="72" w:type="dxa"/>
              <w:right w:w="144" w:type="dxa"/>
            </w:tcMar>
            <w:vAlign w:val="center"/>
          </w:tcPr>
          <w:p w14:paraId="1EF40C6E" w14:textId="77777777" w:rsidR="009A3C94" w:rsidRPr="00A20C54" w:rsidRDefault="009A3C94" w:rsidP="005424CB">
            <w:pPr>
              <w:pStyle w:val="Textkrper"/>
              <w:spacing w:before="0" w:after="0" w:line="240" w:lineRule="auto"/>
              <w:jc w:val="left"/>
              <w:rPr>
                <w:rFonts w:asciiTheme="majorHAnsi" w:hAnsiTheme="majorHAnsi" w:cstheme="majorHAnsi"/>
                <w:lang w:val="fr-CH"/>
              </w:rPr>
            </w:pPr>
          </w:p>
        </w:tc>
      </w:tr>
      <w:tr w:rsidR="00AB641A" w:rsidRPr="00B8385B" w14:paraId="56A912A4" w14:textId="77777777" w:rsidTr="005424CB">
        <w:trPr>
          <w:trHeight w:val="283"/>
        </w:trPr>
        <w:tc>
          <w:tcPr>
            <w:tcW w:w="5726" w:type="dxa"/>
            <w:tcBorders>
              <w:top w:val="nil"/>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3C513993"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color w:val="000000" w:themeColor="text1"/>
                <w:kern w:val="24"/>
                <w:lang w:val="fr-CH"/>
              </w:rPr>
              <w:t xml:space="preserve">Manquer souvent d’énergie </w:t>
            </w:r>
          </w:p>
        </w:tc>
        <w:tc>
          <w:tcPr>
            <w:tcW w:w="1425"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131A8E6A" w14:textId="6D54F918" w:rsidR="009A3C94" w:rsidRPr="00B8385B" w:rsidRDefault="0071569E"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3D1AA179" wp14:editId="3D26A3F0">
                  <wp:extent cx="136800" cy="144000"/>
                  <wp:effectExtent l="0" t="0" r="0" b="8890"/>
                  <wp:docPr id="175135908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009A3C94" w:rsidRPr="00B8385B">
              <w:rPr>
                <w:rFonts w:asciiTheme="majorHAnsi" w:eastAsiaTheme="minorEastAsia" w:hAnsiTheme="majorHAnsi" w:cstheme="majorHAnsi"/>
                <w:color w:val="000000"/>
                <w:kern w:val="24"/>
                <w:lang w:val="fr-CH"/>
              </w:rPr>
              <w:t>***</w:t>
            </w:r>
          </w:p>
        </w:tc>
        <w:tc>
          <w:tcPr>
            <w:tcW w:w="1134"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7CD637BE" w14:textId="6E495426" w:rsidR="009A3C94" w:rsidRPr="00B8385B" w:rsidRDefault="0071569E"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0EAE804C" wp14:editId="577C8B2C">
                  <wp:extent cx="136800" cy="144000"/>
                  <wp:effectExtent l="0" t="0" r="0" b="8890"/>
                  <wp:docPr id="12363077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009A3C94" w:rsidRPr="00B8385B">
              <w:rPr>
                <w:rFonts w:asciiTheme="majorHAnsi" w:eastAsiaTheme="minorEastAsia" w:hAnsiTheme="majorHAnsi" w:cstheme="majorHAnsi"/>
                <w:color w:val="000000"/>
                <w:kern w:val="24"/>
                <w:lang w:val="fr-CH"/>
              </w:rPr>
              <w:t>*</w:t>
            </w:r>
          </w:p>
        </w:tc>
        <w:tc>
          <w:tcPr>
            <w:tcW w:w="1134" w:type="dxa"/>
            <w:tcBorders>
              <w:top w:val="nil"/>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41257FEA" w14:textId="1D1D8098" w:rsidR="009A3C94" w:rsidRPr="00B8385B" w:rsidRDefault="00CA68CD" w:rsidP="005424CB">
            <w:pPr>
              <w:pStyle w:val="Textkrper"/>
              <w:spacing w:before="0" w:after="0" w:line="240" w:lineRule="auto"/>
              <w:jc w:val="left"/>
              <w:rPr>
                <w:rFonts w:asciiTheme="majorHAnsi" w:hAnsiTheme="majorHAnsi" w:cstheme="majorHAnsi"/>
                <w:lang w:val="fr-CH"/>
              </w:rPr>
            </w:pPr>
            <w:r>
              <w:rPr>
                <w:rFonts w:asciiTheme="majorHAnsi" w:hAnsiTheme="majorHAnsi" w:cstheme="majorHAnsi"/>
                <w:lang w:val="fr-CH"/>
              </w:rPr>
              <w:t>ns</w:t>
            </w:r>
          </w:p>
        </w:tc>
      </w:tr>
      <w:tr w:rsidR="00AB641A" w:rsidRPr="00B8385B" w14:paraId="5A17DCEA"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2F3D073A"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color w:val="000000" w:themeColor="text1"/>
                <w:kern w:val="24"/>
                <w:lang w:val="fr-CH"/>
              </w:rPr>
              <w:t>Avoir des douleurs au ventre, au dos, à la tête</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534B1A41" w14:textId="6FE50B12"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0B6C520C" wp14:editId="55943CF2">
                  <wp:extent cx="136800" cy="144000"/>
                  <wp:effectExtent l="0" t="0" r="0" b="8890"/>
                  <wp:docPr id="707813089"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033B15D2" w14:textId="77777777" w:rsidR="009A3C94" w:rsidRPr="00B8385B" w:rsidRDefault="009A3C94" w:rsidP="005424CB">
            <w:pPr>
              <w:pStyle w:val="Textkrper"/>
              <w:spacing w:before="0" w:after="0" w:line="240" w:lineRule="auto"/>
              <w:jc w:val="left"/>
              <w:rPr>
                <w:rFonts w:asciiTheme="majorHAnsi" w:hAnsiTheme="majorHAnsi" w:cstheme="majorHAnsi"/>
                <w:lang w:val="fr-CH"/>
              </w:rPr>
            </w:pPr>
            <w:r w:rsidRPr="00B8385B">
              <w:rPr>
                <w:rFonts w:asciiTheme="majorHAnsi" w:hAnsiTheme="majorHAnsi" w:cstheme="majorHAnsi"/>
                <w:lang w:val="fr-CH"/>
              </w:rPr>
              <w:t>ns</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0CC0C37A" w14:textId="0FDAFD2C"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09540CE9" wp14:editId="787FF7F2">
                  <wp:extent cx="136800" cy="144000"/>
                  <wp:effectExtent l="0" t="0" r="0" b="8890"/>
                  <wp:docPr id="551078064"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259EC198"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6082D350"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color w:val="000000" w:themeColor="text1"/>
                <w:kern w:val="24"/>
                <w:lang w:val="fr-CH"/>
              </w:rPr>
              <w:t xml:space="preserve">Se sentir fatigué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15F19E93" w14:textId="40E6AD65"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3FBCCC1F" wp14:editId="48EF96FB">
                  <wp:extent cx="136800" cy="144000"/>
                  <wp:effectExtent l="0" t="0" r="0" b="8890"/>
                  <wp:docPr id="1757300690"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715D2033" w14:textId="60407D26"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25A7B99F" wp14:editId="2E88D531">
                  <wp:extent cx="136800" cy="144000"/>
                  <wp:effectExtent l="0" t="0" r="0" b="8890"/>
                  <wp:docPr id="190145047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1CA94A94" w14:textId="5ADCD67E"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798BCC12" wp14:editId="0320DA5C">
                  <wp:extent cx="136800" cy="144000"/>
                  <wp:effectExtent l="0" t="0" r="0" b="8890"/>
                  <wp:docPr id="1487354163"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02183D35"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5675B60A"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color w:val="000000" w:themeColor="text1"/>
                <w:kern w:val="24"/>
                <w:lang w:val="fr-CH"/>
              </w:rPr>
              <w:t>Ressentir de la peur ou de l’angoisse</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7CD584F5" w14:textId="6C96DF45"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2AF0D8D2" wp14:editId="74BAC687">
                  <wp:extent cx="136800" cy="144000"/>
                  <wp:effectExtent l="0" t="0" r="0" b="8890"/>
                  <wp:docPr id="1166117716"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265A975A" w14:textId="250DF818"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49BD9CDB" wp14:editId="0A375168">
                  <wp:extent cx="136800" cy="144000"/>
                  <wp:effectExtent l="0" t="0" r="0" b="8890"/>
                  <wp:docPr id="781636689"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7C6D2458" w14:textId="7D5FC946" w:rsidR="009A3C94" w:rsidRPr="00B8385B" w:rsidRDefault="00CA68CD" w:rsidP="005424CB">
            <w:pPr>
              <w:pStyle w:val="Textkrper"/>
              <w:spacing w:before="0" w:after="0" w:line="240" w:lineRule="auto"/>
              <w:jc w:val="left"/>
              <w:rPr>
                <w:rFonts w:asciiTheme="majorHAnsi" w:hAnsiTheme="majorHAnsi" w:cstheme="majorHAnsi"/>
                <w:lang w:val="fr-CH"/>
              </w:rPr>
            </w:pPr>
            <w:r>
              <w:rPr>
                <w:rFonts w:asciiTheme="majorHAnsi" w:hAnsiTheme="majorHAnsi" w:cstheme="majorHAnsi"/>
                <w:lang w:val="fr-CH"/>
              </w:rPr>
              <w:t>n</w:t>
            </w:r>
            <w:r w:rsidR="009A3C94" w:rsidRPr="00B8385B">
              <w:rPr>
                <w:rFonts w:asciiTheme="majorHAnsi" w:hAnsiTheme="majorHAnsi" w:cstheme="majorHAnsi"/>
                <w:lang w:val="fr-CH"/>
              </w:rPr>
              <w:t>s</w:t>
            </w:r>
          </w:p>
        </w:tc>
      </w:tr>
      <w:tr w:rsidR="00AB641A" w:rsidRPr="00B8385B" w14:paraId="0E9E2881"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76F0C9D5" w14:textId="77777777" w:rsidR="009A3C94" w:rsidRPr="00B8385B" w:rsidRDefault="009A3C94" w:rsidP="005424CB">
            <w:pPr>
              <w:pStyle w:val="Textkrper"/>
              <w:spacing w:before="0" w:after="0" w:line="240" w:lineRule="auto"/>
              <w:rPr>
                <w:rFonts w:asciiTheme="majorHAnsi" w:hAnsiTheme="majorHAnsi" w:cstheme="majorHAnsi"/>
                <w:lang w:val="fr-CH"/>
              </w:rPr>
            </w:pPr>
            <w:proofErr w:type="gramStart"/>
            <w:r w:rsidRPr="00B8385B">
              <w:rPr>
                <w:rFonts w:asciiTheme="majorHAnsi" w:hAnsiTheme="majorHAnsi" w:cstheme="majorHAnsi"/>
                <w:color w:val="000000" w:themeColor="text1"/>
                <w:kern w:val="24"/>
                <w:lang w:val="fr-CH"/>
              </w:rPr>
              <w:t>Avoir</w:t>
            </w:r>
            <w:proofErr w:type="gramEnd"/>
            <w:r w:rsidRPr="00B8385B">
              <w:rPr>
                <w:rFonts w:asciiTheme="majorHAnsi" w:hAnsiTheme="majorHAnsi" w:cstheme="majorHAnsi"/>
                <w:color w:val="000000" w:themeColor="text1"/>
                <w:kern w:val="24"/>
                <w:lang w:val="fr-CH"/>
              </w:rPr>
              <w:t xml:space="preserve"> des difficultés à dormir, se réveiller </w:t>
            </w:r>
            <w:proofErr w:type="spellStart"/>
            <w:r w:rsidRPr="005424CB">
              <w:t>souvent</w:t>
            </w:r>
            <w:proofErr w:type="spellEnd"/>
            <w:r w:rsidRPr="005424CB">
              <w:t xml:space="preserve"> la </w:t>
            </w:r>
            <w:proofErr w:type="spellStart"/>
            <w:r w:rsidRPr="005424CB">
              <w:t>nuit</w:t>
            </w:r>
            <w:proofErr w:type="spellEnd"/>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0E7BD756" w14:textId="77777777" w:rsidR="009A3C94" w:rsidRPr="00B8385B" w:rsidRDefault="009A3C94" w:rsidP="005424CB">
            <w:pPr>
              <w:pStyle w:val="Textkrper"/>
              <w:spacing w:before="0" w:after="0" w:line="240" w:lineRule="auto"/>
              <w:jc w:val="left"/>
              <w:rPr>
                <w:rFonts w:asciiTheme="majorHAnsi" w:hAnsiTheme="majorHAnsi" w:cstheme="majorHAnsi"/>
                <w:lang w:val="fr-CH"/>
              </w:rPr>
            </w:pPr>
            <w:r w:rsidRPr="00B8385B">
              <w:rPr>
                <w:rFonts w:asciiTheme="majorHAnsi" w:hAnsiTheme="majorHAnsi" w:cstheme="majorHAnsi"/>
                <w:lang w:val="fr-CH"/>
              </w:rPr>
              <w:t>ns</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4000B876" w14:textId="23F369AB"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7B19AC4C" wp14:editId="22F3EBA7">
                  <wp:extent cx="136800" cy="144000"/>
                  <wp:effectExtent l="0" t="0" r="0" b="8890"/>
                  <wp:docPr id="1356627975"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76B165E0" w14:textId="1EDB87C5"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4EA60DA4" wp14:editId="536638B3">
                  <wp:extent cx="136800" cy="144000"/>
                  <wp:effectExtent l="0" t="0" r="0" b="8890"/>
                  <wp:docPr id="1061096405"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0EFA2BF4"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6484A684" w14:textId="77777777" w:rsidR="009A3C94" w:rsidRPr="00B8385B" w:rsidRDefault="009A3C94" w:rsidP="005424CB">
            <w:pPr>
              <w:pStyle w:val="Textkrper"/>
              <w:spacing w:before="0" w:after="0" w:line="240" w:lineRule="auto"/>
              <w:rPr>
                <w:rFonts w:asciiTheme="majorHAnsi" w:hAnsiTheme="majorHAnsi" w:cstheme="majorHAnsi"/>
                <w:color w:val="000000" w:themeColor="text1"/>
                <w:kern w:val="24"/>
                <w:lang w:val="fr-CH"/>
              </w:rPr>
            </w:pPr>
            <w:r w:rsidRPr="00B8385B">
              <w:rPr>
                <w:rFonts w:asciiTheme="majorHAnsi" w:hAnsiTheme="majorHAnsi" w:cstheme="majorHAnsi"/>
                <w:lang w:val="fr-CH"/>
              </w:rPr>
              <w:t>Avoir de moins bons résultats en math et français</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4FF504FF" w14:textId="73004343"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5D6E7057" wp14:editId="70D89AEF">
                  <wp:extent cx="136800" cy="144000"/>
                  <wp:effectExtent l="0" t="0" r="0" b="8890"/>
                  <wp:docPr id="168222568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05CD8BD3" w14:textId="4C297A65" w:rsidR="009A3C94" w:rsidRPr="00B8385B" w:rsidRDefault="00DC593F" w:rsidP="005424CB">
            <w:pPr>
              <w:pStyle w:val="Textkrper"/>
              <w:spacing w:before="0" w:after="0" w:line="240" w:lineRule="auto"/>
              <w:jc w:val="left"/>
              <w:rPr>
                <w:rFonts w:asciiTheme="majorHAnsi" w:eastAsiaTheme="minorEastAsia" w:hAnsiTheme="majorHAnsi" w:cstheme="majorHAnsi"/>
                <w:color w:val="000000"/>
                <w:kern w:val="24"/>
                <w:lang w:val="fr-CH"/>
              </w:rPr>
            </w:pPr>
            <w:r w:rsidRPr="00B8385B">
              <w:rPr>
                <w:rFonts w:asciiTheme="majorHAnsi" w:eastAsiaTheme="minorEastAsia" w:hAnsiTheme="majorHAnsi" w:cstheme="majorHAnsi"/>
                <w:noProof/>
                <w:color w:val="000000"/>
                <w:kern w:val="24"/>
                <w:lang w:val="fr-CH"/>
              </w:rPr>
              <w:drawing>
                <wp:inline distT="0" distB="0" distL="0" distR="0" wp14:anchorId="06AB911B" wp14:editId="7EEA7F8A">
                  <wp:extent cx="136800" cy="144000"/>
                  <wp:effectExtent l="0" t="0" r="0" b="8890"/>
                  <wp:docPr id="849387304"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3979C152" w14:textId="5EB98D0C" w:rsidR="009A3C94" w:rsidRPr="00B8385B" w:rsidRDefault="00DC593F" w:rsidP="005424CB">
            <w:pPr>
              <w:pStyle w:val="Textkrper"/>
              <w:spacing w:before="0" w:after="0" w:line="240" w:lineRule="auto"/>
              <w:jc w:val="left"/>
              <w:rPr>
                <w:rFonts w:asciiTheme="majorHAnsi" w:eastAsiaTheme="minorEastAsia" w:hAnsiTheme="majorHAnsi" w:cstheme="majorHAnsi"/>
                <w:color w:val="000000"/>
                <w:kern w:val="24"/>
                <w:lang w:val="fr-CH"/>
              </w:rPr>
            </w:pPr>
            <w:r w:rsidRPr="00B8385B">
              <w:rPr>
                <w:rFonts w:asciiTheme="majorHAnsi" w:eastAsiaTheme="minorEastAsia" w:hAnsiTheme="majorHAnsi" w:cstheme="majorHAnsi"/>
                <w:noProof/>
                <w:color w:val="000000"/>
                <w:kern w:val="24"/>
                <w:lang w:val="fr-CH"/>
              </w:rPr>
              <w:drawing>
                <wp:inline distT="0" distB="0" distL="0" distR="0" wp14:anchorId="0FB035D9" wp14:editId="760E81B2">
                  <wp:extent cx="136800" cy="144000"/>
                  <wp:effectExtent l="0" t="0" r="0" b="8890"/>
                  <wp:docPr id="81369108"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42ADE3E1"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tcPr>
          <w:p w14:paraId="2E74D5DB"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lang w:val="fr-CH"/>
              </w:rPr>
              <w:t xml:space="preserve">Recevoir des mauvaises notes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533CFE76" w14:textId="6C216270"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0FFE5364" wp14:editId="2AD1D515">
                  <wp:extent cx="136800" cy="144000"/>
                  <wp:effectExtent l="0" t="0" r="0" b="8890"/>
                  <wp:docPr id="184215930"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FFFFFF" w:themeFill="background1"/>
            <w:tcMar>
              <w:top w:w="72" w:type="dxa"/>
              <w:left w:w="144" w:type="dxa"/>
              <w:bottom w:w="72" w:type="dxa"/>
              <w:right w:w="144" w:type="dxa"/>
            </w:tcMar>
            <w:vAlign w:val="center"/>
          </w:tcPr>
          <w:p w14:paraId="65FACEC7" w14:textId="77777777" w:rsidR="009A3C94" w:rsidRPr="00B8385B" w:rsidRDefault="009A3C94" w:rsidP="005424CB">
            <w:pPr>
              <w:pStyle w:val="Textkrper"/>
              <w:spacing w:before="0" w:after="0" w:line="240" w:lineRule="auto"/>
              <w:jc w:val="left"/>
              <w:rPr>
                <w:rFonts w:asciiTheme="majorHAnsi" w:hAnsiTheme="majorHAnsi" w:cstheme="majorHAnsi"/>
                <w:lang w:val="fr-CH"/>
              </w:rPr>
            </w:pPr>
            <w:r w:rsidRPr="00B8385B">
              <w:rPr>
                <w:rFonts w:asciiTheme="majorHAnsi" w:hAnsiTheme="majorHAnsi" w:cstheme="majorHAnsi"/>
                <w:lang w:val="fr-CH"/>
              </w:rPr>
              <w:t>ns</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FFFFFF" w:themeFill="background1"/>
            <w:tcMar>
              <w:top w:w="72" w:type="dxa"/>
              <w:left w:w="144" w:type="dxa"/>
              <w:bottom w:w="72" w:type="dxa"/>
              <w:right w:w="144" w:type="dxa"/>
            </w:tcMar>
            <w:vAlign w:val="center"/>
          </w:tcPr>
          <w:p w14:paraId="61DBA74B" w14:textId="0F64E0B3"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72EB78BE" wp14:editId="4E841712">
                  <wp:extent cx="136800" cy="144000"/>
                  <wp:effectExtent l="0" t="0" r="0" b="8890"/>
                  <wp:docPr id="1704142450"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3FDF8A0C" w14:textId="77777777" w:rsidTr="005424CB">
        <w:trPr>
          <w:trHeight w:val="283"/>
        </w:trPr>
        <w:tc>
          <w:tcPr>
            <w:tcW w:w="5726" w:type="dxa"/>
            <w:tcBorders>
              <w:top w:val="single" w:sz="4" w:space="0" w:color="51A66D" w:themeColor="accent4"/>
              <w:bottom w:val="single" w:sz="4" w:space="0" w:color="auto"/>
              <w:right w:val="single" w:sz="4" w:space="0" w:color="51A66D" w:themeColor="accent4"/>
            </w:tcBorders>
            <w:shd w:val="clear" w:color="auto" w:fill="FFFFFF" w:themeFill="background1"/>
            <w:tcMar>
              <w:top w:w="72" w:type="dxa"/>
              <w:left w:w="144" w:type="dxa"/>
              <w:bottom w:w="72" w:type="dxa"/>
              <w:right w:w="144" w:type="dxa"/>
            </w:tcMar>
          </w:tcPr>
          <w:p w14:paraId="240BFD57"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lang w:val="fr-CH"/>
              </w:rPr>
              <w:t>Se faire du souci pour son avenir (scolaire-professionnel)</w:t>
            </w:r>
          </w:p>
        </w:tc>
        <w:tc>
          <w:tcPr>
            <w:tcW w:w="1425" w:type="dxa"/>
            <w:tcBorders>
              <w:top w:val="single" w:sz="4" w:space="0" w:color="51A66D" w:themeColor="accent4"/>
              <w:left w:val="single" w:sz="4" w:space="0" w:color="51A66D" w:themeColor="accent4"/>
              <w:bottom w:val="single" w:sz="4" w:space="0" w:color="auto"/>
              <w:right w:val="single" w:sz="4" w:space="0" w:color="51A66D" w:themeColor="accent4"/>
            </w:tcBorders>
            <w:shd w:val="clear" w:color="auto" w:fill="FFFFFF" w:themeFill="background1"/>
            <w:tcMar>
              <w:top w:w="72" w:type="dxa"/>
              <w:left w:w="144" w:type="dxa"/>
              <w:bottom w:w="72" w:type="dxa"/>
              <w:right w:w="144" w:type="dxa"/>
            </w:tcMar>
            <w:vAlign w:val="center"/>
          </w:tcPr>
          <w:p w14:paraId="7B02BAD5" w14:textId="57CA61B1" w:rsidR="009A3C94" w:rsidRPr="00B8385B" w:rsidRDefault="00DC593F"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1447EE02" wp14:editId="26828318">
                  <wp:extent cx="136800" cy="144000"/>
                  <wp:effectExtent l="0" t="0" r="0" b="8890"/>
                  <wp:docPr id="1501809330"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auto"/>
              <w:right w:val="single" w:sz="4" w:space="0" w:color="51A66D" w:themeColor="accent4"/>
            </w:tcBorders>
            <w:shd w:val="clear" w:color="auto" w:fill="FFFFFF" w:themeFill="background1"/>
            <w:tcMar>
              <w:top w:w="72" w:type="dxa"/>
              <w:left w:w="144" w:type="dxa"/>
              <w:bottom w:w="72" w:type="dxa"/>
              <w:right w:w="144" w:type="dxa"/>
            </w:tcMar>
            <w:vAlign w:val="center"/>
          </w:tcPr>
          <w:p w14:paraId="32C6817B" w14:textId="5634C740" w:rsidR="009A3C94" w:rsidRPr="00B8385B" w:rsidRDefault="00B8385B"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1F0B8D88" wp14:editId="19415E98">
                  <wp:extent cx="136800" cy="144000"/>
                  <wp:effectExtent l="0" t="0" r="0" b="8890"/>
                  <wp:docPr id="1156339800"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auto"/>
            </w:tcBorders>
            <w:shd w:val="clear" w:color="auto" w:fill="FFFFFF" w:themeFill="background1"/>
            <w:tcMar>
              <w:top w:w="72" w:type="dxa"/>
              <w:left w:w="144" w:type="dxa"/>
              <w:bottom w:w="72" w:type="dxa"/>
              <w:right w:w="144" w:type="dxa"/>
            </w:tcMar>
            <w:vAlign w:val="center"/>
          </w:tcPr>
          <w:p w14:paraId="04620828" w14:textId="77777777" w:rsidR="009A3C94" w:rsidRPr="00B8385B" w:rsidRDefault="009A3C94" w:rsidP="005424CB">
            <w:pPr>
              <w:pStyle w:val="Textkrper"/>
              <w:spacing w:before="0" w:after="0" w:line="240" w:lineRule="auto"/>
              <w:jc w:val="left"/>
              <w:rPr>
                <w:rFonts w:asciiTheme="majorHAnsi" w:hAnsiTheme="majorHAnsi" w:cstheme="majorHAnsi"/>
                <w:lang w:val="fr-CH"/>
              </w:rPr>
            </w:pPr>
            <w:r w:rsidRPr="00B8385B">
              <w:rPr>
                <w:rFonts w:asciiTheme="majorHAnsi" w:hAnsiTheme="majorHAnsi" w:cstheme="majorHAnsi"/>
                <w:lang w:val="fr-CH"/>
              </w:rPr>
              <w:t>ns</w:t>
            </w:r>
          </w:p>
        </w:tc>
      </w:tr>
      <w:tr w:rsidR="00AB641A" w:rsidRPr="00B8385B" w14:paraId="26BD55C9" w14:textId="77777777" w:rsidTr="005424CB">
        <w:trPr>
          <w:trHeight w:val="283"/>
        </w:trPr>
        <w:tc>
          <w:tcPr>
            <w:tcW w:w="5726" w:type="dxa"/>
            <w:tcBorders>
              <w:top w:val="single" w:sz="4" w:space="0" w:color="auto"/>
              <w:bottom w:val="nil"/>
            </w:tcBorders>
            <w:shd w:val="clear" w:color="auto" w:fill="51A66D" w:themeFill="accent4"/>
            <w:tcMar>
              <w:top w:w="72" w:type="dxa"/>
              <w:left w:w="144" w:type="dxa"/>
              <w:bottom w:w="72" w:type="dxa"/>
              <w:right w:w="144" w:type="dxa"/>
            </w:tcMar>
          </w:tcPr>
          <w:p w14:paraId="7DBFCBF1" w14:textId="77777777" w:rsidR="009A3C94" w:rsidRPr="00B8385B" w:rsidRDefault="009A3C94" w:rsidP="005424CB">
            <w:pPr>
              <w:pStyle w:val="Textkrper"/>
              <w:spacing w:before="0" w:after="0" w:line="240" w:lineRule="auto"/>
              <w:rPr>
                <w:rFonts w:asciiTheme="majorHAnsi" w:hAnsiTheme="majorHAnsi" w:cstheme="majorHAnsi"/>
                <w:b/>
                <w:bCs/>
                <w:lang w:val="fr-CH"/>
              </w:rPr>
            </w:pPr>
            <w:r w:rsidRPr="00B8385B">
              <w:rPr>
                <w:rFonts w:asciiTheme="majorHAnsi" w:hAnsiTheme="majorHAnsi" w:cstheme="majorHAnsi"/>
                <w:b/>
                <w:bCs/>
                <w:lang w:val="fr-CH"/>
              </w:rPr>
              <w:t>Variables interpersonnelles</w:t>
            </w:r>
          </w:p>
        </w:tc>
        <w:tc>
          <w:tcPr>
            <w:tcW w:w="1425" w:type="dxa"/>
            <w:tcBorders>
              <w:top w:val="single" w:sz="4" w:space="0" w:color="auto"/>
              <w:bottom w:val="nil"/>
            </w:tcBorders>
            <w:shd w:val="clear" w:color="auto" w:fill="51A66D" w:themeFill="accent4"/>
            <w:tcMar>
              <w:top w:w="72" w:type="dxa"/>
              <w:left w:w="144" w:type="dxa"/>
              <w:bottom w:w="72" w:type="dxa"/>
              <w:right w:w="144" w:type="dxa"/>
            </w:tcMar>
            <w:vAlign w:val="center"/>
          </w:tcPr>
          <w:p w14:paraId="41FFD7BC" w14:textId="77777777" w:rsidR="009A3C94" w:rsidRPr="00B8385B" w:rsidRDefault="009A3C94" w:rsidP="005424CB">
            <w:pPr>
              <w:pStyle w:val="Textkrper"/>
              <w:spacing w:before="0" w:after="0" w:line="240" w:lineRule="auto"/>
              <w:jc w:val="left"/>
              <w:rPr>
                <w:rFonts w:asciiTheme="majorHAnsi" w:hAnsiTheme="majorHAnsi" w:cstheme="majorHAnsi"/>
                <w:lang w:val="fr-CH"/>
              </w:rPr>
            </w:pPr>
          </w:p>
        </w:tc>
        <w:tc>
          <w:tcPr>
            <w:tcW w:w="1134" w:type="dxa"/>
            <w:tcBorders>
              <w:top w:val="single" w:sz="4" w:space="0" w:color="auto"/>
              <w:bottom w:val="nil"/>
            </w:tcBorders>
            <w:shd w:val="clear" w:color="auto" w:fill="51A66D" w:themeFill="accent4"/>
            <w:tcMar>
              <w:top w:w="72" w:type="dxa"/>
              <w:left w:w="144" w:type="dxa"/>
              <w:bottom w:w="72" w:type="dxa"/>
              <w:right w:w="144" w:type="dxa"/>
            </w:tcMar>
            <w:vAlign w:val="center"/>
          </w:tcPr>
          <w:p w14:paraId="0F041274" w14:textId="77777777" w:rsidR="009A3C94" w:rsidRPr="00B8385B" w:rsidRDefault="009A3C94" w:rsidP="005424CB">
            <w:pPr>
              <w:pStyle w:val="Textkrper"/>
              <w:spacing w:before="0" w:after="0" w:line="240" w:lineRule="auto"/>
              <w:jc w:val="left"/>
              <w:rPr>
                <w:rFonts w:asciiTheme="majorHAnsi" w:hAnsiTheme="majorHAnsi" w:cstheme="majorHAnsi"/>
                <w:lang w:val="fr-CH"/>
              </w:rPr>
            </w:pPr>
          </w:p>
        </w:tc>
        <w:tc>
          <w:tcPr>
            <w:tcW w:w="1134" w:type="dxa"/>
            <w:tcBorders>
              <w:top w:val="single" w:sz="4" w:space="0" w:color="auto"/>
              <w:bottom w:val="nil"/>
            </w:tcBorders>
            <w:shd w:val="clear" w:color="auto" w:fill="51A66D" w:themeFill="accent4"/>
            <w:tcMar>
              <w:top w:w="72" w:type="dxa"/>
              <w:left w:w="144" w:type="dxa"/>
              <w:bottom w:w="72" w:type="dxa"/>
              <w:right w:w="144" w:type="dxa"/>
            </w:tcMar>
            <w:vAlign w:val="center"/>
          </w:tcPr>
          <w:p w14:paraId="2A44A6BC" w14:textId="77777777" w:rsidR="009A3C94" w:rsidRPr="00B8385B" w:rsidRDefault="009A3C94" w:rsidP="005424CB">
            <w:pPr>
              <w:pStyle w:val="Textkrper"/>
              <w:spacing w:before="0" w:after="0" w:line="240" w:lineRule="auto"/>
              <w:jc w:val="left"/>
              <w:rPr>
                <w:rFonts w:asciiTheme="majorHAnsi" w:hAnsiTheme="majorHAnsi" w:cstheme="majorHAnsi"/>
                <w:lang w:val="fr-CH"/>
              </w:rPr>
            </w:pPr>
          </w:p>
        </w:tc>
      </w:tr>
      <w:tr w:rsidR="00AB641A" w:rsidRPr="00B8385B" w14:paraId="10060D18" w14:textId="77777777" w:rsidTr="005424CB">
        <w:trPr>
          <w:trHeight w:val="283"/>
        </w:trPr>
        <w:tc>
          <w:tcPr>
            <w:tcW w:w="5726" w:type="dxa"/>
            <w:tcBorders>
              <w:top w:val="nil"/>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4890D18B"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Être l’objet de menace ou d’intimidation </w:t>
            </w:r>
          </w:p>
        </w:tc>
        <w:tc>
          <w:tcPr>
            <w:tcW w:w="1425"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76C38CF2" w14:textId="0A1298A6"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2B81A5A0" wp14:editId="27BBAF76">
                  <wp:extent cx="136800" cy="144000"/>
                  <wp:effectExtent l="0" t="0" r="0" b="8890"/>
                  <wp:docPr id="470375956"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47031CBF" w14:textId="3E3A5E4D"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2303009F" wp14:editId="453BA80E">
                  <wp:extent cx="136800" cy="144000"/>
                  <wp:effectExtent l="0" t="0" r="0" b="8890"/>
                  <wp:docPr id="56435940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nil"/>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5D72968A" w14:textId="2C0CF69D"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2DB1C922" wp14:editId="187DF997">
                  <wp:extent cx="136800" cy="144000"/>
                  <wp:effectExtent l="0" t="0" r="0" b="8890"/>
                  <wp:docPr id="148319672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45832CA3"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533106D8"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Être souvent seul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1AE05DFE" w14:textId="6FBB7293" w:rsidR="009A3C94" w:rsidRPr="00C00650" w:rsidRDefault="00B8385B" w:rsidP="005424CB">
            <w:pPr>
              <w:pStyle w:val="Textkrper"/>
              <w:spacing w:before="0" w:after="0" w:line="240" w:lineRule="auto"/>
              <w:jc w:val="left"/>
              <w:rPr>
                <w:rFonts w:asciiTheme="majorHAnsi" w:eastAsiaTheme="minorEastAsia" w:hAnsiTheme="majorHAnsi" w:cstheme="majorHAnsi"/>
                <w:noProof/>
                <w:color w:val="000000"/>
                <w:kern w:val="24"/>
                <w:lang w:val="fr-CH"/>
              </w:rPr>
            </w:pPr>
            <w:r w:rsidRPr="00B8385B">
              <w:rPr>
                <w:rFonts w:asciiTheme="majorHAnsi" w:eastAsiaTheme="minorEastAsia" w:hAnsiTheme="majorHAnsi" w:cstheme="majorHAnsi"/>
                <w:noProof/>
                <w:color w:val="000000"/>
                <w:kern w:val="24"/>
                <w:lang w:val="fr-CH"/>
              </w:rPr>
              <w:drawing>
                <wp:inline distT="0" distB="0" distL="0" distR="0" wp14:anchorId="4C4D4F9A" wp14:editId="4CF3983E">
                  <wp:extent cx="136800" cy="144000"/>
                  <wp:effectExtent l="0" t="0" r="0" b="8890"/>
                  <wp:docPr id="1809332809"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noProof/>
                <w:color w:val="000000"/>
                <w:kern w:val="24"/>
                <w:lang w:val="fr-CH"/>
              </w:rPr>
              <w:t xml:space="preserve"> </w:t>
            </w:r>
            <w:r w:rsidRPr="00B8385B">
              <w:rPr>
                <w:rFonts w:asciiTheme="majorHAnsi" w:eastAsiaTheme="minorEastAsia" w:hAnsiTheme="majorHAnsi" w:cstheme="majorHAnsi"/>
                <w:noProof/>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2C82A4BA" w14:textId="26CB014A" w:rsidR="009A3C94" w:rsidRPr="00C00650" w:rsidRDefault="00C00650" w:rsidP="005424CB">
            <w:pPr>
              <w:pStyle w:val="Textkrper"/>
              <w:spacing w:before="0" w:after="0" w:line="240" w:lineRule="auto"/>
              <w:jc w:val="left"/>
              <w:rPr>
                <w:rFonts w:asciiTheme="majorHAnsi" w:eastAsiaTheme="minorEastAsia" w:hAnsiTheme="majorHAnsi" w:cstheme="majorHAnsi"/>
                <w:noProof/>
                <w:color w:val="000000"/>
                <w:kern w:val="24"/>
                <w:lang w:val="fr-CH"/>
              </w:rPr>
            </w:pPr>
            <w:r w:rsidRPr="00B8385B">
              <w:rPr>
                <w:rFonts w:asciiTheme="majorHAnsi" w:eastAsiaTheme="minorEastAsia" w:hAnsiTheme="majorHAnsi" w:cstheme="majorHAnsi"/>
                <w:noProof/>
                <w:color w:val="000000"/>
                <w:kern w:val="24"/>
                <w:lang w:val="fr-CH"/>
              </w:rPr>
              <w:drawing>
                <wp:inline distT="0" distB="0" distL="0" distR="0" wp14:anchorId="54FD366B" wp14:editId="111D8C1A">
                  <wp:extent cx="136800" cy="144000"/>
                  <wp:effectExtent l="0" t="0" r="0" b="8890"/>
                  <wp:docPr id="1824513353"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Pr>
                <w:rFonts w:asciiTheme="majorHAnsi" w:eastAsiaTheme="minorEastAsia" w:hAnsiTheme="majorHAnsi" w:cstheme="majorHAnsi"/>
                <w:noProof/>
                <w:color w:val="000000"/>
                <w:kern w:val="24"/>
                <w:lang w:val="fr-CH"/>
              </w:rPr>
              <w:t xml:space="preserve"> </w:t>
            </w:r>
            <w:r w:rsidRPr="00B8385B">
              <w:rPr>
                <w:rFonts w:asciiTheme="majorHAnsi" w:eastAsiaTheme="minorEastAsia" w:hAnsiTheme="majorHAnsi" w:cstheme="majorHAnsi"/>
                <w:noProof/>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2AF64A0A" w14:textId="085DB8BC"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1C0DA5AA" wp14:editId="52991F35">
                  <wp:extent cx="136800" cy="144000"/>
                  <wp:effectExtent l="0" t="0" r="0" b="8890"/>
                  <wp:docPr id="47858126"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CA68CD">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3DAD208D"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54543C3C"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Ne pas avoir assez d’amis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3E97AD87" w14:textId="43452458"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387D853D" wp14:editId="426D50F3">
                  <wp:extent cx="136800" cy="144000"/>
                  <wp:effectExtent l="0" t="0" r="0" b="8890"/>
                  <wp:docPr id="692470598"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5BE8E4D0" w14:textId="4DE33F25"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694DCBF2" wp14:editId="6895E30C">
                  <wp:extent cx="136800" cy="144000"/>
                  <wp:effectExtent l="0" t="0" r="0" b="8890"/>
                  <wp:docPr id="41473290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109EF86D" w14:textId="4E901D22"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44AF2669" wp14:editId="0E616AF5">
                  <wp:extent cx="136800" cy="144000"/>
                  <wp:effectExtent l="0" t="0" r="0" b="8890"/>
                  <wp:docPr id="1020224885"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6E0BB33F"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35C6887B"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Avoir moins de soutien des camarades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1C6EA68F" w14:textId="20F3C7CF"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7E92983C" wp14:editId="58E73AA5">
                  <wp:extent cx="136800" cy="144000"/>
                  <wp:effectExtent l="0" t="0" r="0" b="8890"/>
                  <wp:docPr id="1151740891"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5BF8878D" w14:textId="21FA3D7E"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2BFD2FF8" wp14:editId="2B260819">
                  <wp:extent cx="136800" cy="144000"/>
                  <wp:effectExtent l="0" t="0" r="0" b="8890"/>
                  <wp:docPr id="81276859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687510A0" w14:textId="77777777" w:rsidR="009A3C94" w:rsidRPr="00B8385B" w:rsidRDefault="009A3C94"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hAnsiTheme="majorHAnsi" w:cstheme="majorHAnsi"/>
                <w:color w:val="000000" w:themeColor="text1"/>
                <w:lang w:val="fr-CH"/>
              </w:rPr>
              <w:t>ns</w:t>
            </w:r>
          </w:p>
        </w:tc>
      </w:tr>
      <w:tr w:rsidR="00AB641A" w:rsidRPr="00B8385B" w14:paraId="2B841612"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51E87205"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Être l’objet de moquerie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5D6B06A7" w14:textId="18D0E527"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0A315726" wp14:editId="21E911E4">
                  <wp:extent cx="136800" cy="144000"/>
                  <wp:effectExtent l="0" t="0" r="0" b="8890"/>
                  <wp:docPr id="82505245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6DEB1087" w14:textId="1815D674"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021A9F46" wp14:editId="525CFD6C">
                  <wp:extent cx="136800" cy="144000"/>
                  <wp:effectExtent l="0" t="0" r="0" b="8890"/>
                  <wp:docPr id="19707822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6DE5FF67" w14:textId="09BA810A"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5127E642" wp14:editId="02B95FFA">
                  <wp:extent cx="136800" cy="144000"/>
                  <wp:effectExtent l="0" t="0" r="0" b="8890"/>
                  <wp:docPr id="2140919395"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3460D345"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054F6990"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 xml:space="preserve">Ne pas être dans le groupe dont ils aimeraient faire partie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5291758E" w14:textId="59CED636" w:rsidR="009A3C94" w:rsidRPr="00B8385B" w:rsidRDefault="001666E8" w:rsidP="005424CB">
            <w:pPr>
              <w:pStyle w:val="Textkrper"/>
              <w:spacing w:before="0" w:after="0" w:line="240" w:lineRule="auto"/>
              <w:jc w:val="left"/>
              <w:rPr>
                <w:rFonts w:asciiTheme="majorHAnsi" w:hAnsiTheme="majorHAnsi" w:cstheme="majorHAnsi"/>
                <w:color w:val="000000" w:themeColor="text1"/>
                <w:lang w:val="fr-CH"/>
              </w:rPr>
            </w:pPr>
            <w:r>
              <w:rPr>
                <w:rFonts w:asciiTheme="majorHAnsi" w:hAnsiTheme="majorHAnsi" w:cstheme="majorHAnsi"/>
                <w:color w:val="000000" w:themeColor="text1"/>
                <w:lang w:val="fr-CH"/>
              </w:rPr>
              <w:t>n</w:t>
            </w:r>
            <w:r w:rsidR="009A3C94" w:rsidRPr="00B8385B">
              <w:rPr>
                <w:rFonts w:asciiTheme="majorHAnsi" w:hAnsiTheme="majorHAnsi" w:cstheme="majorHAnsi"/>
                <w:color w:val="000000" w:themeColor="text1"/>
                <w:lang w:val="fr-CH"/>
              </w:rPr>
              <w:t>s</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3157A3ED" w14:textId="71EC0A41" w:rsidR="009A3C94" w:rsidRPr="00B8385B" w:rsidRDefault="001666E8" w:rsidP="005424CB">
            <w:pPr>
              <w:pStyle w:val="Textkrper"/>
              <w:spacing w:before="0" w:after="0" w:line="240" w:lineRule="auto"/>
              <w:jc w:val="left"/>
              <w:rPr>
                <w:rFonts w:asciiTheme="majorHAnsi" w:hAnsiTheme="majorHAnsi" w:cstheme="majorHAnsi"/>
                <w:color w:val="000000" w:themeColor="text1"/>
                <w:lang w:val="fr-CH"/>
              </w:rPr>
            </w:pPr>
            <w:r>
              <w:rPr>
                <w:rFonts w:asciiTheme="majorHAnsi" w:hAnsiTheme="majorHAnsi" w:cstheme="majorHAnsi"/>
                <w:color w:val="000000" w:themeColor="text1"/>
                <w:lang w:val="fr-CH"/>
              </w:rPr>
              <w:t>n</w:t>
            </w:r>
            <w:r w:rsidR="009A3C94" w:rsidRPr="00B8385B">
              <w:rPr>
                <w:rFonts w:asciiTheme="majorHAnsi" w:hAnsiTheme="majorHAnsi" w:cstheme="majorHAnsi"/>
                <w:color w:val="000000" w:themeColor="text1"/>
                <w:lang w:val="fr-CH"/>
              </w:rPr>
              <w:t>s</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0A387EB0" w14:textId="52F50E62"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65AA0795" wp14:editId="46F1D1FE">
                  <wp:extent cx="136800" cy="144000"/>
                  <wp:effectExtent l="0" t="0" r="0" b="8890"/>
                  <wp:docPr id="190210966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7BB451E4" w14:textId="77777777" w:rsidTr="005424CB">
        <w:trPr>
          <w:trHeight w:val="283"/>
        </w:trPr>
        <w:tc>
          <w:tcPr>
            <w:tcW w:w="5726" w:type="dxa"/>
            <w:tcBorders>
              <w:top w:val="single" w:sz="4" w:space="0" w:color="51A66D" w:themeColor="accent4"/>
              <w:bottom w:val="single" w:sz="4" w:space="0" w:color="auto"/>
              <w:right w:val="single" w:sz="4" w:space="0" w:color="51A66D" w:themeColor="accent4"/>
            </w:tcBorders>
            <w:shd w:val="clear" w:color="auto" w:fill="auto"/>
            <w:tcMar>
              <w:top w:w="72" w:type="dxa"/>
              <w:left w:w="144" w:type="dxa"/>
              <w:bottom w:w="72" w:type="dxa"/>
              <w:right w:w="144" w:type="dxa"/>
            </w:tcMar>
          </w:tcPr>
          <w:p w14:paraId="0195D3CA" w14:textId="77777777" w:rsidR="009A3C94" w:rsidRPr="00B8385B" w:rsidRDefault="009A3C94" w:rsidP="005424CB">
            <w:pPr>
              <w:pStyle w:val="Textkrper"/>
              <w:spacing w:before="0" w:after="0" w:line="240" w:lineRule="auto"/>
              <w:rPr>
                <w:rFonts w:asciiTheme="majorHAnsi" w:hAnsiTheme="majorHAnsi" w:cstheme="majorHAnsi"/>
                <w:color w:val="000000" w:themeColor="text1"/>
                <w:lang w:val="fr-CH"/>
              </w:rPr>
            </w:pPr>
            <w:r w:rsidRPr="00B8385B">
              <w:rPr>
                <w:rFonts w:asciiTheme="majorHAnsi" w:hAnsiTheme="majorHAnsi" w:cstheme="majorHAnsi"/>
                <w:color w:val="000000" w:themeColor="text1"/>
                <w:kern w:val="24"/>
                <w:lang w:val="fr-CH"/>
              </w:rPr>
              <w:t>Avoir des disputes avec ses camarades</w:t>
            </w:r>
          </w:p>
        </w:tc>
        <w:tc>
          <w:tcPr>
            <w:tcW w:w="1425" w:type="dxa"/>
            <w:tcBorders>
              <w:top w:val="single" w:sz="4" w:space="0" w:color="51A66D" w:themeColor="accent4"/>
              <w:left w:val="single" w:sz="4" w:space="0" w:color="51A66D" w:themeColor="accent4"/>
              <w:bottom w:val="single" w:sz="4" w:space="0" w:color="auto"/>
              <w:right w:val="single" w:sz="4" w:space="0" w:color="51A66D" w:themeColor="accent4"/>
            </w:tcBorders>
            <w:shd w:val="clear" w:color="auto" w:fill="auto"/>
            <w:tcMar>
              <w:top w:w="72" w:type="dxa"/>
              <w:left w:w="144" w:type="dxa"/>
              <w:bottom w:w="72" w:type="dxa"/>
              <w:right w:w="144" w:type="dxa"/>
            </w:tcMar>
            <w:vAlign w:val="center"/>
          </w:tcPr>
          <w:p w14:paraId="6BEA9810" w14:textId="77777777" w:rsidR="009A3C94" w:rsidRPr="00B8385B" w:rsidRDefault="009A3C94"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hAnsiTheme="majorHAnsi" w:cstheme="majorHAnsi"/>
                <w:color w:val="000000" w:themeColor="text1"/>
                <w:lang w:val="fr-CH"/>
              </w:rPr>
              <w:t>ns</w:t>
            </w:r>
          </w:p>
        </w:tc>
        <w:tc>
          <w:tcPr>
            <w:tcW w:w="1134" w:type="dxa"/>
            <w:tcBorders>
              <w:top w:val="single" w:sz="4" w:space="0" w:color="51A66D" w:themeColor="accent4"/>
              <w:left w:val="single" w:sz="4" w:space="0" w:color="51A66D" w:themeColor="accent4"/>
              <w:bottom w:val="single" w:sz="4" w:space="0" w:color="auto"/>
              <w:right w:val="single" w:sz="4" w:space="0" w:color="51A66D" w:themeColor="accent4"/>
            </w:tcBorders>
            <w:shd w:val="clear" w:color="auto" w:fill="auto"/>
            <w:tcMar>
              <w:top w:w="72" w:type="dxa"/>
              <w:left w:w="144" w:type="dxa"/>
              <w:bottom w:w="72" w:type="dxa"/>
              <w:right w:w="144" w:type="dxa"/>
            </w:tcMar>
            <w:vAlign w:val="center"/>
          </w:tcPr>
          <w:p w14:paraId="21D89A0C" w14:textId="0DB35B60"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621DDB6D" wp14:editId="2E77CBA0">
                  <wp:extent cx="136800" cy="144000"/>
                  <wp:effectExtent l="0" t="0" r="0" b="8890"/>
                  <wp:docPr id="1931596385"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noProof/>
                <w:color w:val="000000"/>
                <w:kern w:val="24"/>
                <w:lang w:val="fr-CH"/>
              </w:rPr>
              <w:t xml:space="preserve"> </w:t>
            </w:r>
            <w:r w:rsidRPr="00B8385B">
              <w:rPr>
                <w:rFonts w:asciiTheme="majorHAnsi" w:eastAsiaTheme="minorEastAsia" w:hAnsiTheme="majorHAnsi" w:cstheme="majorHAnsi"/>
                <w:noProof/>
                <w:color w:val="000000"/>
                <w:kern w:val="24"/>
                <w:lang w:val="fr-CH"/>
              </w:rPr>
              <w:t>***</w:t>
            </w:r>
          </w:p>
        </w:tc>
        <w:tc>
          <w:tcPr>
            <w:tcW w:w="1134" w:type="dxa"/>
            <w:tcBorders>
              <w:top w:val="single" w:sz="4" w:space="0" w:color="51A66D" w:themeColor="accent4"/>
              <w:left w:val="single" w:sz="4" w:space="0" w:color="51A66D" w:themeColor="accent4"/>
              <w:bottom w:val="single" w:sz="4" w:space="0" w:color="auto"/>
            </w:tcBorders>
            <w:shd w:val="clear" w:color="auto" w:fill="auto"/>
            <w:tcMar>
              <w:top w:w="72" w:type="dxa"/>
              <w:left w:w="144" w:type="dxa"/>
              <w:bottom w:w="72" w:type="dxa"/>
              <w:right w:w="144" w:type="dxa"/>
            </w:tcMar>
            <w:vAlign w:val="center"/>
          </w:tcPr>
          <w:p w14:paraId="0D9A8386" w14:textId="1E35B6D2"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5264AA93" wp14:editId="7AF09E5E">
                  <wp:extent cx="136800" cy="144000"/>
                  <wp:effectExtent l="0" t="0" r="0" b="8890"/>
                  <wp:docPr id="1555089087"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noProof/>
                <w:color w:val="000000"/>
                <w:kern w:val="24"/>
                <w:lang w:val="fr-CH"/>
              </w:rPr>
              <w:t xml:space="preserve"> </w:t>
            </w:r>
            <w:r w:rsidRPr="00B8385B">
              <w:rPr>
                <w:rFonts w:asciiTheme="majorHAnsi" w:eastAsiaTheme="minorEastAsia" w:hAnsiTheme="majorHAnsi" w:cstheme="majorHAnsi"/>
                <w:noProof/>
                <w:color w:val="000000"/>
                <w:kern w:val="24"/>
                <w:lang w:val="fr-CH"/>
              </w:rPr>
              <w:t>***</w:t>
            </w:r>
          </w:p>
        </w:tc>
      </w:tr>
      <w:tr w:rsidR="00AB641A" w:rsidRPr="00B8385B" w14:paraId="23017ACD" w14:textId="77777777" w:rsidTr="005424CB">
        <w:trPr>
          <w:trHeight w:val="283"/>
        </w:trPr>
        <w:tc>
          <w:tcPr>
            <w:tcW w:w="5726" w:type="dxa"/>
            <w:tcBorders>
              <w:top w:val="single" w:sz="4" w:space="0" w:color="auto"/>
              <w:bottom w:val="nil"/>
            </w:tcBorders>
            <w:shd w:val="clear" w:color="auto" w:fill="51A66D" w:themeFill="accent4"/>
            <w:tcMar>
              <w:top w:w="72" w:type="dxa"/>
              <w:left w:w="144" w:type="dxa"/>
              <w:bottom w:w="72" w:type="dxa"/>
              <w:right w:w="144" w:type="dxa"/>
            </w:tcMar>
          </w:tcPr>
          <w:p w14:paraId="4FB68A18" w14:textId="77777777" w:rsidR="009A3C94" w:rsidRPr="00B8385B" w:rsidRDefault="009A3C94" w:rsidP="005424CB">
            <w:pPr>
              <w:pStyle w:val="Textkrper"/>
              <w:spacing w:before="0" w:after="0" w:line="240" w:lineRule="auto"/>
              <w:rPr>
                <w:rFonts w:asciiTheme="majorHAnsi" w:hAnsiTheme="majorHAnsi" w:cstheme="majorHAnsi"/>
                <w:b/>
                <w:bCs/>
                <w:color w:val="000000" w:themeColor="text1"/>
                <w:kern w:val="24"/>
                <w:lang w:val="fr-CH"/>
              </w:rPr>
            </w:pPr>
            <w:r w:rsidRPr="00B8385B">
              <w:rPr>
                <w:rFonts w:asciiTheme="majorHAnsi" w:hAnsiTheme="majorHAnsi" w:cstheme="majorHAnsi"/>
                <w:b/>
                <w:bCs/>
                <w:color w:val="000000" w:themeColor="text1"/>
                <w:kern w:val="24"/>
                <w:lang w:val="fr-CH"/>
              </w:rPr>
              <w:t>Variables organisationnelles</w:t>
            </w:r>
          </w:p>
        </w:tc>
        <w:tc>
          <w:tcPr>
            <w:tcW w:w="1425" w:type="dxa"/>
            <w:tcBorders>
              <w:top w:val="single" w:sz="4" w:space="0" w:color="auto"/>
              <w:bottom w:val="nil"/>
            </w:tcBorders>
            <w:shd w:val="clear" w:color="auto" w:fill="51A66D" w:themeFill="accent4"/>
            <w:tcMar>
              <w:top w:w="72" w:type="dxa"/>
              <w:left w:w="144" w:type="dxa"/>
              <w:bottom w:w="72" w:type="dxa"/>
              <w:right w:w="144" w:type="dxa"/>
            </w:tcMar>
            <w:vAlign w:val="center"/>
          </w:tcPr>
          <w:p w14:paraId="28DC94B6" w14:textId="18E552EA" w:rsidR="009A3C94" w:rsidRPr="00B8385B" w:rsidRDefault="009A3C94" w:rsidP="005424CB">
            <w:pPr>
              <w:pStyle w:val="Textkrper"/>
              <w:spacing w:before="0" w:after="0" w:line="240" w:lineRule="auto"/>
              <w:jc w:val="left"/>
              <w:rPr>
                <w:rFonts w:asciiTheme="majorHAnsi" w:hAnsiTheme="majorHAnsi" w:cstheme="majorHAnsi"/>
                <w:color w:val="000000" w:themeColor="text1"/>
                <w:lang w:val="fr-CH"/>
              </w:rPr>
            </w:pPr>
          </w:p>
        </w:tc>
        <w:tc>
          <w:tcPr>
            <w:tcW w:w="1134" w:type="dxa"/>
            <w:tcBorders>
              <w:top w:val="single" w:sz="4" w:space="0" w:color="auto"/>
              <w:bottom w:val="nil"/>
            </w:tcBorders>
            <w:shd w:val="clear" w:color="auto" w:fill="51A66D" w:themeFill="accent4"/>
            <w:tcMar>
              <w:top w:w="72" w:type="dxa"/>
              <w:left w:w="144" w:type="dxa"/>
              <w:bottom w:w="72" w:type="dxa"/>
              <w:right w:w="144" w:type="dxa"/>
            </w:tcMar>
            <w:vAlign w:val="center"/>
          </w:tcPr>
          <w:p w14:paraId="3141C35D" w14:textId="77777777" w:rsidR="009A3C94" w:rsidRPr="00B8385B" w:rsidRDefault="009A3C94" w:rsidP="005424CB">
            <w:pPr>
              <w:pStyle w:val="Textkrper"/>
              <w:spacing w:before="0" w:after="0" w:line="240" w:lineRule="auto"/>
              <w:jc w:val="center"/>
              <w:rPr>
                <w:rFonts w:asciiTheme="majorHAnsi" w:eastAsiaTheme="minorEastAsia" w:hAnsiTheme="majorHAnsi" w:cstheme="majorHAnsi"/>
                <w:color w:val="000000" w:themeColor="text1"/>
                <w:kern w:val="24"/>
                <w:lang w:val="fr-CH"/>
              </w:rPr>
            </w:pPr>
          </w:p>
        </w:tc>
        <w:tc>
          <w:tcPr>
            <w:tcW w:w="1134" w:type="dxa"/>
            <w:tcBorders>
              <w:top w:val="single" w:sz="4" w:space="0" w:color="auto"/>
              <w:bottom w:val="nil"/>
            </w:tcBorders>
            <w:shd w:val="clear" w:color="auto" w:fill="51A66D" w:themeFill="accent4"/>
            <w:tcMar>
              <w:top w:w="72" w:type="dxa"/>
              <w:left w:w="144" w:type="dxa"/>
              <w:bottom w:w="72" w:type="dxa"/>
              <w:right w:w="144" w:type="dxa"/>
            </w:tcMar>
            <w:vAlign w:val="center"/>
          </w:tcPr>
          <w:p w14:paraId="42F097EF" w14:textId="77777777" w:rsidR="009A3C94" w:rsidRPr="00B8385B" w:rsidRDefault="009A3C94"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p>
        </w:tc>
      </w:tr>
      <w:tr w:rsidR="00AB641A" w:rsidRPr="00B8385B" w14:paraId="658DA61A" w14:textId="77777777" w:rsidTr="005424CB">
        <w:trPr>
          <w:trHeight w:val="283"/>
        </w:trPr>
        <w:tc>
          <w:tcPr>
            <w:tcW w:w="5726" w:type="dxa"/>
            <w:tcBorders>
              <w:top w:val="nil"/>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0AD0CF2F" w14:textId="77777777" w:rsidR="009A3C94" w:rsidRPr="00B8385B" w:rsidRDefault="009A3C94" w:rsidP="005424CB">
            <w:pPr>
              <w:pStyle w:val="Textkrper"/>
              <w:spacing w:before="0" w:after="0" w:line="240" w:lineRule="auto"/>
              <w:rPr>
                <w:rFonts w:asciiTheme="majorHAnsi" w:hAnsiTheme="majorHAnsi" w:cstheme="majorHAnsi"/>
                <w:b/>
                <w:bCs/>
                <w:color w:val="000000" w:themeColor="text1"/>
                <w:kern w:val="24"/>
                <w:lang w:val="fr-CH"/>
              </w:rPr>
            </w:pPr>
            <w:r w:rsidRPr="00B8385B">
              <w:rPr>
                <w:rFonts w:asciiTheme="majorHAnsi" w:hAnsiTheme="majorHAnsi" w:cstheme="majorHAnsi"/>
                <w:lang w:val="fr-CH"/>
              </w:rPr>
              <w:t xml:space="preserve">Avoir trop d’évaluations à préparer </w:t>
            </w:r>
          </w:p>
        </w:tc>
        <w:tc>
          <w:tcPr>
            <w:tcW w:w="1425"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07A90735" w14:textId="34C5377C"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43BADE1E" wp14:editId="72E80F4B">
                  <wp:extent cx="136800" cy="144000"/>
                  <wp:effectExtent l="0" t="0" r="0" b="8890"/>
                  <wp:docPr id="561021104"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nil"/>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7A863A84" w14:textId="77777777" w:rsidR="009A3C94" w:rsidRPr="00B8385B" w:rsidRDefault="009A3C94"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r w:rsidRPr="00B8385B">
              <w:rPr>
                <w:rFonts w:asciiTheme="majorHAnsi" w:hAnsiTheme="majorHAnsi" w:cstheme="majorHAnsi"/>
                <w:color w:val="000000" w:themeColor="text1"/>
                <w:lang w:val="fr-CH"/>
              </w:rPr>
              <w:t>ns</w:t>
            </w:r>
          </w:p>
        </w:tc>
        <w:tc>
          <w:tcPr>
            <w:tcW w:w="1134" w:type="dxa"/>
            <w:tcBorders>
              <w:top w:val="nil"/>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0A7FD7FC" w14:textId="77777777" w:rsidR="009A3C94" w:rsidRPr="00B8385B" w:rsidRDefault="009A3C94"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r w:rsidRPr="00B8385B">
              <w:rPr>
                <w:rFonts w:asciiTheme="majorHAnsi" w:hAnsiTheme="majorHAnsi" w:cstheme="majorHAnsi"/>
                <w:color w:val="000000" w:themeColor="text1"/>
                <w:lang w:val="fr-CH"/>
              </w:rPr>
              <w:t>ns</w:t>
            </w:r>
          </w:p>
        </w:tc>
      </w:tr>
      <w:tr w:rsidR="00AB641A" w:rsidRPr="00B8385B" w14:paraId="69CA977C" w14:textId="77777777" w:rsidTr="005424CB">
        <w:trPr>
          <w:trHeight w:val="283"/>
        </w:trPr>
        <w:tc>
          <w:tcPr>
            <w:tcW w:w="5726" w:type="dxa"/>
            <w:tcBorders>
              <w:top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062A1F32" w14:textId="77777777" w:rsidR="009A3C94" w:rsidRPr="00B8385B" w:rsidRDefault="009A3C94" w:rsidP="005424CB">
            <w:pPr>
              <w:pStyle w:val="Textkrper"/>
              <w:spacing w:before="0" w:after="0" w:line="240" w:lineRule="auto"/>
              <w:rPr>
                <w:rFonts w:asciiTheme="majorHAnsi" w:hAnsiTheme="majorHAnsi" w:cstheme="majorHAnsi"/>
                <w:b/>
                <w:bCs/>
                <w:color w:val="000000" w:themeColor="text1"/>
                <w:kern w:val="24"/>
                <w:lang w:val="fr-CH"/>
              </w:rPr>
            </w:pPr>
            <w:r w:rsidRPr="00B8385B">
              <w:rPr>
                <w:rFonts w:asciiTheme="majorHAnsi" w:hAnsiTheme="majorHAnsi" w:cstheme="majorHAnsi"/>
                <w:lang w:val="fr-CH"/>
              </w:rPr>
              <w:t xml:space="preserve">Avoir trop de devoirs à faire </w:t>
            </w:r>
          </w:p>
        </w:tc>
        <w:tc>
          <w:tcPr>
            <w:tcW w:w="1425"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18FB7C49" w14:textId="0CEE6013" w:rsidR="009A3C94" w:rsidRPr="00B8385B" w:rsidRDefault="00B8385B" w:rsidP="005424CB">
            <w:pPr>
              <w:pStyle w:val="Textkrper"/>
              <w:spacing w:before="0" w:after="0" w:line="240" w:lineRule="auto"/>
              <w:jc w:val="left"/>
              <w:rPr>
                <w:rFonts w:asciiTheme="majorHAnsi" w:hAnsiTheme="majorHAnsi" w:cstheme="majorHAnsi"/>
                <w:color w:val="000000" w:themeColor="text1"/>
                <w:lang w:val="fr-CH"/>
              </w:rPr>
            </w:pPr>
            <w:r w:rsidRPr="00B8385B">
              <w:rPr>
                <w:rFonts w:asciiTheme="majorHAnsi" w:eastAsiaTheme="minorEastAsia" w:hAnsiTheme="majorHAnsi" w:cstheme="majorHAnsi"/>
                <w:noProof/>
                <w:color w:val="000000"/>
                <w:kern w:val="24"/>
                <w:lang w:val="fr-CH"/>
              </w:rPr>
              <w:drawing>
                <wp:inline distT="0" distB="0" distL="0" distR="0" wp14:anchorId="33A8E338" wp14:editId="7121A6B8">
                  <wp:extent cx="136800" cy="144000"/>
                  <wp:effectExtent l="0" t="0" r="0" b="8890"/>
                  <wp:docPr id="1285443152"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bottom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02DBBC10" w14:textId="7E7BC582" w:rsidR="009A3C94" w:rsidRPr="00B8385B" w:rsidRDefault="009A3C94"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r w:rsidRPr="00B8385B">
              <w:rPr>
                <w:rFonts w:asciiTheme="majorHAnsi" w:hAnsiTheme="majorHAnsi" w:cstheme="majorHAnsi"/>
                <w:color w:val="000000" w:themeColor="text1"/>
                <w:lang w:val="fr-CH"/>
              </w:rPr>
              <w:t>ns</w:t>
            </w:r>
          </w:p>
        </w:tc>
        <w:tc>
          <w:tcPr>
            <w:tcW w:w="1134" w:type="dxa"/>
            <w:tcBorders>
              <w:top w:val="single" w:sz="4" w:space="0" w:color="51A66D" w:themeColor="accent4"/>
              <w:left w:val="single" w:sz="4" w:space="0" w:color="51A66D" w:themeColor="accent4"/>
              <w:bottom w:val="single" w:sz="4" w:space="0" w:color="51A66D" w:themeColor="accent4"/>
            </w:tcBorders>
            <w:shd w:val="clear" w:color="auto" w:fill="auto"/>
            <w:tcMar>
              <w:top w:w="72" w:type="dxa"/>
              <w:left w:w="144" w:type="dxa"/>
              <w:bottom w:w="72" w:type="dxa"/>
              <w:right w:w="144" w:type="dxa"/>
            </w:tcMar>
            <w:vAlign w:val="center"/>
          </w:tcPr>
          <w:p w14:paraId="42CA667D" w14:textId="0287176E" w:rsidR="009A3C94" w:rsidRPr="00B8385B" w:rsidRDefault="00B8385B"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r w:rsidRPr="00B8385B">
              <w:rPr>
                <w:rFonts w:asciiTheme="majorHAnsi" w:eastAsiaTheme="minorEastAsia" w:hAnsiTheme="majorHAnsi" w:cstheme="majorHAnsi"/>
                <w:noProof/>
                <w:color w:val="000000"/>
                <w:kern w:val="24"/>
                <w:lang w:val="fr-CH"/>
              </w:rPr>
              <w:drawing>
                <wp:inline distT="0" distB="0" distL="0" distR="0" wp14:anchorId="04108E1D" wp14:editId="0A289308">
                  <wp:extent cx="136800" cy="144000"/>
                  <wp:effectExtent l="0" t="0" r="0" b="8890"/>
                  <wp:docPr id="546555388"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r>
      <w:tr w:rsidR="00AB641A" w:rsidRPr="00B8385B" w14:paraId="5F89150A" w14:textId="77777777" w:rsidTr="005424CB">
        <w:trPr>
          <w:trHeight w:val="283"/>
        </w:trPr>
        <w:tc>
          <w:tcPr>
            <w:tcW w:w="5726" w:type="dxa"/>
            <w:tcBorders>
              <w:top w:val="single" w:sz="4" w:space="0" w:color="51A66D" w:themeColor="accent4"/>
              <w:right w:val="single" w:sz="4" w:space="0" w:color="51A66D" w:themeColor="accent4"/>
            </w:tcBorders>
            <w:shd w:val="clear" w:color="auto" w:fill="auto"/>
            <w:tcMar>
              <w:top w:w="72" w:type="dxa"/>
              <w:left w:w="144" w:type="dxa"/>
              <w:bottom w:w="72" w:type="dxa"/>
              <w:right w:w="144" w:type="dxa"/>
            </w:tcMar>
          </w:tcPr>
          <w:p w14:paraId="1C226B3B" w14:textId="77777777" w:rsidR="009A3C94" w:rsidRPr="00B8385B" w:rsidRDefault="009A3C94" w:rsidP="005424CB">
            <w:pPr>
              <w:pStyle w:val="Textkrper"/>
              <w:spacing w:before="0" w:after="0" w:line="240" w:lineRule="auto"/>
              <w:rPr>
                <w:rFonts w:asciiTheme="majorHAnsi" w:hAnsiTheme="majorHAnsi" w:cstheme="majorHAnsi"/>
                <w:lang w:val="fr-CH"/>
              </w:rPr>
            </w:pPr>
            <w:r w:rsidRPr="00B8385B">
              <w:rPr>
                <w:rFonts w:asciiTheme="majorHAnsi" w:hAnsiTheme="majorHAnsi" w:cstheme="majorHAnsi"/>
                <w:lang w:val="fr-CH"/>
              </w:rPr>
              <w:t>Être dérangé par du bruit à l’école</w:t>
            </w:r>
          </w:p>
        </w:tc>
        <w:tc>
          <w:tcPr>
            <w:tcW w:w="1425" w:type="dxa"/>
            <w:tcBorders>
              <w:top w:val="single" w:sz="4" w:space="0" w:color="51A66D" w:themeColor="accent4"/>
              <w:left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6F788196" w14:textId="2FE86C14" w:rsidR="009A3C94" w:rsidRPr="00B8385B" w:rsidRDefault="00B8385B" w:rsidP="005424CB">
            <w:pPr>
              <w:pStyle w:val="Textkrper"/>
              <w:spacing w:before="0" w:after="0" w:line="240" w:lineRule="auto"/>
              <w:jc w:val="left"/>
              <w:rPr>
                <w:rFonts w:asciiTheme="majorHAnsi" w:hAnsiTheme="majorHAnsi" w:cstheme="majorHAnsi"/>
                <w:lang w:val="fr-CH"/>
              </w:rPr>
            </w:pPr>
            <w:r w:rsidRPr="00B8385B">
              <w:rPr>
                <w:rFonts w:asciiTheme="majorHAnsi" w:eastAsiaTheme="minorEastAsia" w:hAnsiTheme="majorHAnsi" w:cstheme="majorHAnsi"/>
                <w:noProof/>
                <w:color w:val="000000"/>
                <w:kern w:val="24"/>
                <w:lang w:val="fr-CH"/>
              </w:rPr>
              <w:drawing>
                <wp:inline distT="0" distB="0" distL="0" distR="0" wp14:anchorId="43CC6866" wp14:editId="13CDE3DA">
                  <wp:extent cx="136800" cy="144000"/>
                  <wp:effectExtent l="0" t="0" r="0" b="8890"/>
                  <wp:docPr id="231185829" name="Image 1" descr="aug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Image 1" descr="augmentation"/>
                          <pic:cNvPicPr/>
                        </pic:nvPicPr>
                        <pic:blipFill>
                          <a:blip r:embed="rId16"/>
                          <a:stretch>
                            <a:fillRect/>
                          </a:stretch>
                        </pic:blipFill>
                        <pic:spPr>
                          <a:xfrm>
                            <a:off x="0" y="0"/>
                            <a:ext cx="136800" cy="144000"/>
                          </a:xfrm>
                          <a:prstGeom prst="rect">
                            <a:avLst/>
                          </a:prstGeom>
                        </pic:spPr>
                      </pic:pic>
                    </a:graphicData>
                  </a:graphic>
                </wp:inline>
              </w:drawing>
            </w:r>
            <w:r w:rsidR="00D777E8">
              <w:rPr>
                <w:rFonts w:asciiTheme="majorHAnsi" w:eastAsiaTheme="minorEastAsia" w:hAnsiTheme="majorHAnsi" w:cstheme="majorHAnsi"/>
                <w:color w:val="000000"/>
                <w:kern w:val="24"/>
                <w:lang w:val="fr-CH"/>
              </w:rPr>
              <w:t xml:space="preserve"> </w:t>
            </w:r>
            <w:r w:rsidRPr="00B8385B">
              <w:rPr>
                <w:rFonts w:asciiTheme="majorHAnsi" w:eastAsiaTheme="minorEastAsia" w:hAnsiTheme="majorHAnsi" w:cstheme="majorHAnsi"/>
                <w:color w:val="000000"/>
                <w:kern w:val="24"/>
                <w:lang w:val="fr-CH"/>
              </w:rPr>
              <w:t>*</w:t>
            </w:r>
          </w:p>
        </w:tc>
        <w:tc>
          <w:tcPr>
            <w:tcW w:w="1134" w:type="dxa"/>
            <w:tcBorders>
              <w:top w:val="single" w:sz="4" w:space="0" w:color="51A66D" w:themeColor="accent4"/>
              <w:left w:val="single" w:sz="4" w:space="0" w:color="51A66D" w:themeColor="accent4"/>
              <w:right w:val="single" w:sz="4" w:space="0" w:color="51A66D" w:themeColor="accent4"/>
            </w:tcBorders>
            <w:shd w:val="clear" w:color="auto" w:fill="auto"/>
            <w:tcMar>
              <w:top w:w="72" w:type="dxa"/>
              <w:left w:w="144" w:type="dxa"/>
              <w:bottom w:w="72" w:type="dxa"/>
              <w:right w:w="144" w:type="dxa"/>
            </w:tcMar>
            <w:vAlign w:val="center"/>
          </w:tcPr>
          <w:p w14:paraId="7D103872" w14:textId="77777777" w:rsidR="009A3C94" w:rsidRPr="00B8385B" w:rsidRDefault="009A3C94" w:rsidP="005424CB">
            <w:pPr>
              <w:pStyle w:val="Textkrper"/>
              <w:spacing w:before="0" w:after="0" w:line="240" w:lineRule="auto"/>
              <w:jc w:val="left"/>
              <w:rPr>
                <w:rFonts w:asciiTheme="majorHAnsi" w:eastAsiaTheme="minorEastAsia" w:hAnsiTheme="majorHAnsi" w:cstheme="majorHAnsi"/>
                <w:color w:val="000000" w:themeColor="text1"/>
                <w:kern w:val="24"/>
                <w:lang w:val="fr-CH"/>
              </w:rPr>
            </w:pPr>
            <w:r w:rsidRPr="00B8385B">
              <w:rPr>
                <w:rFonts w:asciiTheme="majorHAnsi" w:hAnsiTheme="majorHAnsi" w:cstheme="majorHAnsi"/>
                <w:color w:val="000000" w:themeColor="text1"/>
                <w:lang w:val="fr-CH"/>
              </w:rPr>
              <w:t>ns</w:t>
            </w:r>
          </w:p>
        </w:tc>
        <w:tc>
          <w:tcPr>
            <w:tcW w:w="1134" w:type="dxa"/>
            <w:tcBorders>
              <w:top w:val="single" w:sz="4" w:space="0" w:color="51A66D" w:themeColor="accent4"/>
              <w:left w:val="single" w:sz="4" w:space="0" w:color="51A66D" w:themeColor="accent4"/>
            </w:tcBorders>
            <w:shd w:val="clear" w:color="auto" w:fill="auto"/>
            <w:tcMar>
              <w:top w:w="72" w:type="dxa"/>
              <w:left w:w="144" w:type="dxa"/>
              <w:bottom w:w="72" w:type="dxa"/>
              <w:right w:w="144" w:type="dxa"/>
            </w:tcMar>
            <w:vAlign w:val="center"/>
          </w:tcPr>
          <w:p w14:paraId="72526F69" w14:textId="77777777" w:rsidR="009A3C94" w:rsidRPr="00B8385B" w:rsidRDefault="009A3C94" w:rsidP="005424CB">
            <w:pPr>
              <w:pStyle w:val="Textkrper"/>
              <w:spacing w:before="0" w:after="0" w:line="240" w:lineRule="auto"/>
              <w:jc w:val="left"/>
              <w:rPr>
                <w:rFonts w:asciiTheme="majorHAnsi" w:hAnsiTheme="majorHAnsi" w:cstheme="majorHAnsi"/>
                <w:lang w:val="fr-CH"/>
              </w:rPr>
            </w:pPr>
            <w:r w:rsidRPr="00B8385B">
              <w:rPr>
                <w:rFonts w:asciiTheme="majorHAnsi" w:hAnsiTheme="majorHAnsi" w:cstheme="majorHAnsi"/>
                <w:color w:val="000000" w:themeColor="text1"/>
                <w:lang w:val="fr-CH"/>
              </w:rPr>
              <w:t>ns</w:t>
            </w:r>
          </w:p>
        </w:tc>
      </w:tr>
    </w:tbl>
    <w:p w14:paraId="131BA06A" w14:textId="54E1DA7B" w:rsidR="00463907" w:rsidRPr="00D34728" w:rsidRDefault="00463907" w:rsidP="00463907">
      <w:pPr>
        <w:pStyle w:val="NotizTabelle"/>
        <w:rPr>
          <w:lang w:val="fr-CH"/>
        </w:rPr>
      </w:pPr>
      <w:r w:rsidRPr="00D34728">
        <w:rPr>
          <w:i/>
          <w:lang w:val="fr-CH"/>
        </w:rPr>
        <w:t>Note.</w:t>
      </w:r>
      <w:r w:rsidRPr="00D34728">
        <w:rPr>
          <w:lang w:val="fr-CH"/>
        </w:rPr>
        <w:t xml:space="preserve"> ns = différence non</w:t>
      </w:r>
      <w:r w:rsidR="009F16F2">
        <w:rPr>
          <w:lang w:val="fr-CH"/>
        </w:rPr>
        <w:t xml:space="preserve"> </w:t>
      </w:r>
      <w:r w:rsidRPr="00D34728">
        <w:rPr>
          <w:lang w:val="fr-CH"/>
        </w:rPr>
        <w:t>significative ; * = différence significative p &lt; .05 ; ** = différence significative p &lt; .01 ; *** = différence significative p &lt; .001 </w:t>
      </w:r>
    </w:p>
    <w:p w14:paraId="659F8B40" w14:textId="173F3C96" w:rsidR="000E3714" w:rsidRPr="00D34728" w:rsidRDefault="000E3714" w:rsidP="000E3714">
      <w:pPr>
        <w:pStyle w:val="berschrift1"/>
        <w:rPr>
          <w:lang w:val="fr-CH"/>
        </w:rPr>
      </w:pPr>
      <w:r w:rsidRPr="00D34728">
        <w:rPr>
          <w:lang w:val="fr-CH"/>
        </w:rPr>
        <w:t>Discussion </w:t>
      </w:r>
      <w:r w:rsidR="008C6B1E">
        <w:rPr>
          <w:lang w:val="fr-CH"/>
        </w:rPr>
        <w:t>–</w:t>
      </w:r>
      <w:r w:rsidRPr="00D34728">
        <w:rPr>
          <w:lang w:val="fr-CH"/>
        </w:rPr>
        <w:t xml:space="preserve"> Conclusion</w:t>
      </w:r>
    </w:p>
    <w:p w14:paraId="4FCEB7E4" w14:textId="297E79F5" w:rsidR="006A113E" w:rsidRPr="00D34728" w:rsidRDefault="006A113E" w:rsidP="006A113E">
      <w:pPr>
        <w:pStyle w:val="Textkrper"/>
        <w:rPr>
          <w:lang w:val="fr-CH"/>
        </w:rPr>
      </w:pPr>
      <w:r w:rsidRPr="00D34728">
        <w:rPr>
          <w:lang w:val="fr-CH"/>
        </w:rPr>
        <w:t>Les résultats montrent que les élèves bénéficiant de mesures de soutien présentent des scores moyens de burnout significativement plus élevés que ceux qui n’en bénéficient pas. Ils rapportent davantage de t</w:t>
      </w:r>
      <w:r w:rsidRPr="00D34728">
        <w:rPr>
          <w:color w:val="000000"/>
          <w:lang w:val="fr-CH"/>
        </w:rPr>
        <w:t>roubles somatiques et de sentiments de solitude et perçoivent</w:t>
      </w:r>
      <w:r w:rsidRPr="00D34728">
        <w:rPr>
          <w:lang w:val="fr-CH"/>
        </w:rPr>
        <w:t xml:space="preserve"> le climat de leur classe </w:t>
      </w:r>
      <w:r w:rsidR="00E5517E">
        <w:rPr>
          <w:lang w:val="fr-CH"/>
        </w:rPr>
        <w:t>de façon plus négative</w:t>
      </w:r>
      <w:r w:rsidRPr="00D34728">
        <w:rPr>
          <w:lang w:val="fr-CH"/>
        </w:rPr>
        <w:t>. Ces élèves expriment une moindre intégration sociale, confirmant ainsi l</w:t>
      </w:r>
      <w:r w:rsidR="00F76938">
        <w:rPr>
          <w:lang w:val="fr-CH"/>
        </w:rPr>
        <w:t>’</w:t>
      </w:r>
      <w:r w:rsidRPr="00D34728">
        <w:rPr>
          <w:lang w:val="fr-CH"/>
        </w:rPr>
        <w:t xml:space="preserve">impact des relations interpersonnelles sur la santé des élèves (Virtanen et al., 2020 ; </w:t>
      </w:r>
      <w:proofErr w:type="spellStart"/>
      <w:r w:rsidRPr="00D34728">
        <w:rPr>
          <w:lang w:val="fr-CH"/>
        </w:rPr>
        <w:t>Vansoeterstede</w:t>
      </w:r>
      <w:proofErr w:type="spellEnd"/>
      <w:r w:rsidRPr="00D34728">
        <w:rPr>
          <w:lang w:val="fr-CH"/>
        </w:rPr>
        <w:t xml:space="preserve"> et al., 2023). Plusieurs hypothèses explicatives peuvent être envisagées à ce propos.</w:t>
      </w:r>
    </w:p>
    <w:p w14:paraId="48717D7C" w14:textId="0CFB3A5E" w:rsidR="006A113E" w:rsidRPr="00D34728" w:rsidRDefault="006A113E" w:rsidP="004147D8">
      <w:pPr>
        <w:pStyle w:val="Listennummer"/>
        <w:spacing w:after="120"/>
        <w:contextualSpacing w:val="0"/>
        <w:jc w:val="both"/>
      </w:pPr>
      <w:r w:rsidRPr="00D34728">
        <w:t xml:space="preserve">Il est possible que les élèves </w:t>
      </w:r>
      <w:proofErr w:type="gramStart"/>
      <w:r w:rsidR="00245764">
        <w:t>ayant</w:t>
      </w:r>
      <w:proofErr w:type="gramEnd"/>
      <w:r w:rsidRPr="00D34728">
        <w:t xml:space="preserve"> des difficultés scolaires soient davantage épuisés (Engels et al., 2019) et que, sans soutien, ils le s</w:t>
      </w:r>
      <w:r w:rsidR="009B6ED2">
        <w:t>o</w:t>
      </w:r>
      <w:r w:rsidRPr="00D34728">
        <w:t>ient encore plus. Dans ce sens, les élèves seraient davantage en burnout en raison de leur</w:t>
      </w:r>
      <w:r w:rsidR="00567272">
        <w:t>s</w:t>
      </w:r>
      <w:r w:rsidRPr="00D34728">
        <w:t xml:space="preserve"> difficultés scolaires et les mesures de soutien reçues seraient une réponse à leurs difficultés et à l’épuisement associé.</w:t>
      </w:r>
    </w:p>
    <w:p w14:paraId="44E7DC88" w14:textId="452A43B2" w:rsidR="006A113E" w:rsidRPr="00D34728" w:rsidRDefault="006A113E" w:rsidP="004147D8">
      <w:pPr>
        <w:pStyle w:val="Listennummer"/>
        <w:spacing w:after="120"/>
        <w:contextualSpacing w:val="0"/>
        <w:jc w:val="both"/>
      </w:pPr>
      <w:r w:rsidRPr="00D34728">
        <w:lastRenderedPageBreak/>
        <w:t>Une autre hypothèse porte sur le climat de classe et le sentiment d’appartenance sociale : un quart des élèves bénéficiant d’un soutien disent ne pas se plaire dans leur classe. Ces données sont corroborées par d’autres recherches qui relèvent une moins grande popularité des élèves intégrés que leurs pairs, un moins grand nombre d’amis, une estime de soi plus faible et un sentiment de rejet social accru (</w:t>
      </w:r>
      <w:proofErr w:type="spellStart"/>
      <w:r w:rsidRPr="00D34728">
        <w:t>Pijl</w:t>
      </w:r>
      <w:proofErr w:type="spellEnd"/>
      <w:r w:rsidRPr="00D34728">
        <w:t xml:space="preserve"> et al., 2008 ; </w:t>
      </w:r>
      <w:r w:rsidR="00B74700">
        <w:br/>
      </w:r>
      <w:proofErr w:type="spellStart"/>
      <w:r w:rsidRPr="00D34728">
        <w:t>Pijl</w:t>
      </w:r>
      <w:proofErr w:type="spellEnd"/>
      <w:r w:rsidRPr="00D34728">
        <w:t xml:space="preserve"> &amp; </w:t>
      </w:r>
      <w:proofErr w:type="spellStart"/>
      <w:r w:rsidRPr="00D34728">
        <w:t>Frostad</w:t>
      </w:r>
      <w:proofErr w:type="spellEnd"/>
      <w:r w:rsidRPr="00D34728">
        <w:t xml:space="preserve">, 2010). Dans cette perspective, la Loi sur la pédagogie spécialisée insiste sur l’importance de réaliser l’inclusion dans « le respect du bienêtre et des possibilités de développement de l’enfant » (LPS, </w:t>
      </w:r>
      <w:r w:rsidR="00406419">
        <w:t>201</w:t>
      </w:r>
      <w:r w:rsidR="00227C39">
        <w:t>7</w:t>
      </w:r>
      <w:r w:rsidR="00406419">
        <w:t xml:space="preserve">, </w:t>
      </w:r>
      <w:r w:rsidRPr="00D34728">
        <w:t>Art. 3, al. </w:t>
      </w:r>
      <w:r w:rsidR="00227C39">
        <w:t>b</w:t>
      </w:r>
      <w:r w:rsidRPr="00D34728">
        <w:t>). Il est donc possible que différents types d’environnements scolaires puissent répondre aux besoins spécifiques et au bienêtre de l’enfant. Parmi eux figure</w:t>
      </w:r>
      <w:r w:rsidR="00567272">
        <w:t>nt</w:t>
      </w:r>
      <w:r w:rsidRPr="00D34728">
        <w:t xml:space="preserve"> l’inclusion dans une classe ordinaire, une classe spécialisée au sein d’une école ordinaire ou encore dans une école spécialisée (</w:t>
      </w:r>
      <w:proofErr w:type="spellStart"/>
      <w:r w:rsidRPr="00D34728">
        <w:t>Hornby</w:t>
      </w:r>
      <w:proofErr w:type="spellEnd"/>
      <w:r w:rsidRPr="00D34728">
        <w:t>, 201</w:t>
      </w:r>
      <w:r w:rsidR="00227C39">
        <w:t>4</w:t>
      </w:r>
      <w:r w:rsidRPr="00D34728">
        <w:t>)</w:t>
      </w:r>
      <w:r w:rsidR="00227C39">
        <w:t>.</w:t>
      </w:r>
    </w:p>
    <w:p w14:paraId="404F68C0" w14:textId="1CCB92F7" w:rsidR="000412A2" w:rsidRDefault="006A113E" w:rsidP="004147D8">
      <w:pPr>
        <w:pStyle w:val="Listennummer"/>
        <w:spacing w:after="120"/>
        <w:contextualSpacing w:val="0"/>
        <w:jc w:val="both"/>
      </w:pPr>
      <w:r w:rsidRPr="00D34728">
        <w:t>Une troisième hypothèse peut être liée aux théories qui associent le burnout scolaire à une détérioration des interactions sociales et à une perception négative du contexte scolaire (</w:t>
      </w:r>
      <w:proofErr w:type="spellStart"/>
      <w:r w:rsidRPr="00D34728">
        <w:t>Salmela-Aro</w:t>
      </w:r>
      <w:proofErr w:type="spellEnd"/>
      <w:r w:rsidRPr="00D34728">
        <w:t xml:space="preserve">, 2008). Les élèves en burnout percevraient leur environnement scolaire de manière plus négative, ce qui pourrait renforcer leur </w:t>
      </w:r>
      <w:proofErr w:type="spellStart"/>
      <w:r w:rsidRPr="00D34728">
        <w:t>malêtre</w:t>
      </w:r>
      <w:proofErr w:type="spellEnd"/>
      <w:r w:rsidRPr="00D34728">
        <w:t xml:space="preserve"> et aggraver leurs difficultés relationnelles.</w:t>
      </w:r>
    </w:p>
    <w:p w14:paraId="3BAFE6ED" w14:textId="08676239" w:rsidR="0078108D" w:rsidRDefault="006A113E" w:rsidP="004147D8">
      <w:pPr>
        <w:pStyle w:val="Listennummer"/>
        <w:spacing w:after="120"/>
        <w:contextualSpacing w:val="0"/>
        <w:jc w:val="both"/>
      </w:pPr>
      <w:r w:rsidRPr="00D34728">
        <w:t>L’étude montre également que les élèves soutenus par une personne professionnelle de l’enseignement spécialisé présentent des scores moyens de burnout plus élevés que ceux qui n’ont pas de suivi ou qui sont suivis par un</w:t>
      </w:r>
      <w:r w:rsidR="00245764">
        <w:t xml:space="preserve"> ou une</w:t>
      </w:r>
      <w:r w:rsidRPr="00D34728">
        <w:t xml:space="preserve"> psychologue ou </w:t>
      </w:r>
      <w:r w:rsidR="00227C39">
        <w:t xml:space="preserve">un ou une </w:t>
      </w:r>
      <w:r w:rsidRPr="00D34728">
        <w:t>logopédiste. Plusieurs hypothèses peuvent expliquer ces différences, notamment le fait que les élèves bénéficiant d’une aide pédagogique spécialisée rencontrent des difficultés scolaires plus importantes. Une autre explication pourrait être liée au degré de visibilité de l</w:t>
      </w:r>
      <w:r w:rsidR="00F76938">
        <w:t>’</w:t>
      </w:r>
      <w:r w:rsidRPr="00D34728">
        <w:t>intervention pédagogique : l’accompagnement en classe par une enseignante spécialisée ou un enseignant spécialisé peut être associé à un effet de stigmatisation (</w:t>
      </w:r>
      <w:proofErr w:type="spellStart"/>
      <w:r w:rsidRPr="00D34728">
        <w:t>Friend</w:t>
      </w:r>
      <w:proofErr w:type="spellEnd"/>
      <w:r w:rsidRPr="00D34728">
        <w:t xml:space="preserve"> &amp; Cook, 2020). Dans ce contexte, il serait pertinent d’approfondir, par des recherches complémentaires, la question des conséquences des différentes modalités de </w:t>
      </w:r>
      <w:proofErr w:type="spellStart"/>
      <w:r w:rsidRPr="00D34728">
        <w:t>co</w:t>
      </w:r>
      <w:proofErr w:type="spellEnd"/>
      <w:r w:rsidRPr="00D34728">
        <w:t>-enseignement sur la dynamique du burnout scolaire. Cela permettrait d’élargir la réflexion quant à l</w:t>
      </w:r>
      <w:r w:rsidR="00F76938">
        <w:t>’</w:t>
      </w:r>
      <w:r w:rsidRPr="00D34728">
        <w:t xml:space="preserve">organisation de ces dispositifs et à leur impact psychosocial. </w:t>
      </w:r>
      <w:r w:rsidR="00227C39">
        <w:t>Toutefois en raison de</w:t>
      </w:r>
      <w:r w:rsidR="00245764">
        <w:t xml:space="preserve"> la taille restreinte de l’échantillon concerné par des mesures de soutien</w:t>
      </w:r>
      <w:r w:rsidR="00227C39">
        <w:t>,</w:t>
      </w:r>
      <w:r w:rsidR="00245764">
        <w:t xml:space="preserve"> </w:t>
      </w:r>
      <w:r w:rsidR="00227C39">
        <w:t>d</w:t>
      </w:r>
      <w:r w:rsidR="00245764">
        <w:t xml:space="preserve">es études complémentaires, conduites de manière longitudinale, sur des cohortes </w:t>
      </w:r>
      <w:r w:rsidR="00C17C36">
        <w:t xml:space="preserve">étendues plus </w:t>
      </w:r>
      <w:r w:rsidR="00245764">
        <w:t xml:space="preserve">représentatives sont nécessaires pour confirmer ces résultats. </w:t>
      </w:r>
    </w:p>
    <w:p w14:paraId="75472E71" w14:textId="6189A8A2" w:rsidR="00DA6F88" w:rsidRPr="00B933C8" w:rsidRDefault="006A113E" w:rsidP="0078108D">
      <w:pPr>
        <w:pStyle w:val="Textkrper"/>
        <w:rPr>
          <w:lang w:val="fr-CH"/>
        </w:rPr>
      </w:pPr>
      <w:r w:rsidRPr="00830771">
        <w:rPr>
          <w:lang w:val="fr-CH"/>
        </w:rPr>
        <w:t>Cette étude invite donc à réfléchir à la manière dont les mesures d’aide sont mises en œuvre auprès des élèves, tout en insistant sur l’importance de conditions d’accompagnement pédagogique adaptées aux besoins de chaque élève (</w:t>
      </w:r>
      <w:proofErr w:type="spellStart"/>
      <w:r w:rsidRPr="00830771">
        <w:rPr>
          <w:lang w:val="fr-CH"/>
        </w:rPr>
        <w:t>Ebersold</w:t>
      </w:r>
      <w:proofErr w:type="spellEnd"/>
      <w:r w:rsidRPr="00830771">
        <w:rPr>
          <w:lang w:val="fr-CH"/>
        </w:rPr>
        <w:t>, 2020 ; Di</w:t>
      </w:r>
      <w:r w:rsidR="00C208F2">
        <w:rPr>
          <w:lang w:val="fr-CH"/>
        </w:rPr>
        <w:t xml:space="preserve"> </w:t>
      </w:r>
      <w:r w:rsidRPr="00830771">
        <w:rPr>
          <w:lang w:val="fr-CH"/>
        </w:rPr>
        <w:t xml:space="preserve">Grassi, 2022). </w:t>
      </w:r>
      <w:r w:rsidRPr="00B933C8">
        <w:rPr>
          <w:lang w:val="fr-CH"/>
        </w:rPr>
        <w:t>Dans cette optique, il serait intéressant d’explorer les effets d’autres mesures de soutien, comme les modèles de soutien à palier</w:t>
      </w:r>
      <w:r w:rsidR="00BF3B68">
        <w:rPr>
          <w:lang w:val="fr-CH"/>
        </w:rPr>
        <w:t>s</w:t>
      </w:r>
      <w:r w:rsidRPr="00B933C8">
        <w:rPr>
          <w:lang w:val="fr-CH"/>
        </w:rPr>
        <w:t xml:space="preserve"> multiples (de Chambrier &amp; </w:t>
      </w:r>
      <w:proofErr w:type="spellStart"/>
      <w:r w:rsidRPr="00B933C8">
        <w:rPr>
          <w:lang w:val="fr-CH"/>
        </w:rPr>
        <w:t>Dierendonck</w:t>
      </w:r>
      <w:proofErr w:type="spellEnd"/>
      <w:r w:rsidRPr="00B933C8">
        <w:rPr>
          <w:lang w:val="fr-CH"/>
        </w:rPr>
        <w:t>, 2022 ; Fuchs &amp; Fuchs, 2011) ou encore une pédagogie plus universelle, potentiellement moins stigmatisante pour les élèves intégrés, afin de favoriser un environnement scolaire qui préserve au mieux la santé perçue et le bienêtre de chaque élève.</w:t>
      </w:r>
    </w:p>
    <w:p w14:paraId="734C725F" w14:textId="70422634" w:rsidR="006E260B" w:rsidRPr="00153133" w:rsidRDefault="00037AE3" w:rsidP="008D2183">
      <w:pPr>
        <w:pStyle w:val="berschrift1"/>
        <w:rPr>
          <w:lang w:val="fr-CH"/>
        </w:rPr>
      </w:pPr>
      <w:proofErr w:type="spellStart"/>
      <w:r>
        <w:t>Autrices</w:t>
      </w:r>
      <w:proofErr w:type="spellEnd"/>
    </w:p>
    <w:tbl>
      <w:tblPr>
        <w:tblStyle w:val="Tabellenraster"/>
        <w:tblW w:w="35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60"/>
      </w:tblGrid>
      <w:tr w:rsidR="00D34728" w:rsidRPr="00153133" w14:paraId="77C270E8" w14:textId="77777777" w:rsidTr="00134530">
        <w:tc>
          <w:tcPr>
            <w:tcW w:w="2500" w:type="pct"/>
            <w:vAlign w:val="center"/>
          </w:tcPr>
          <w:p w14:paraId="56CCAD4F" w14:textId="77777777" w:rsidR="00D34728" w:rsidRPr="00153133" w:rsidRDefault="00D34728" w:rsidP="00EB0252">
            <w:pPr>
              <w:pStyle w:val="Textkrper"/>
              <w:ind w:firstLine="0"/>
              <w:rPr>
                <w:lang w:val="fr-CH"/>
              </w:rPr>
            </w:pPr>
            <w:r w:rsidRPr="00153133">
              <w:rPr>
                <w:noProof/>
                <w:lang w:val="fr-CH"/>
              </w:rPr>
              <w:drawing>
                <wp:inline distT="0" distB="0" distL="0" distR="0" wp14:anchorId="32695D5F" wp14:editId="1D02E509">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052180DA" w14:textId="07391BD7" w:rsidR="00D34728" w:rsidRPr="00153133" w:rsidRDefault="00D34728" w:rsidP="00EB0252">
            <w:pPr>
              <w:pStyle w:val="Textkrper"/>
              <w:ind w:firstLine="0"/>
              <w:rPr>
                <w:noProof/>
                <w:lang w:val="fr-CH"/>
              </w:rPr>
            </w:pPr>
            <w:r w:rsidRPr="00153133">
              <w:rPr>
                <w:noProof/>
                <w:lang w:val="fr-CH"/>
              </w:rPr>
              <w:drawing>
                <wp:inline distT="0" distB="0" distL="0" distR="0" wp14:anchorId="37E67068" wp14:editId="4EE06654">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34728" w:rsidRPr="00153133" w14:paraId="3BEE768D" w14:textId="77777777" w:rsidTr="00134530">
        <w:trPr>
          <w:trHeight w:val="960"/>
        </w:trPr>
        <w:tc>
          <w:tcPr>
            <w:tcW w:w="2500" w:type="pct"/>
          </w:tcPr>
          <w:p w14:paraId="797263D9" w14:textId="61D2006A" w:rsidR="00D34728" w:rsidRPr="00664CA2" w:rsidRDefault="0057094A" w:rsidP="00533DA1">
            <w:pPr>
              <w:pStyle w:val="Textkrper3"/>
              <w:rPr>
                <w:lang w:val="fr-CH"/>
              </w:rPr>
            </w:pPr>
            <w:r w:rsidRPr="00664CA2">
              <w:rPr>
                <w:lang w:val="fr-CH"/>
              </w:rPr>
              <w:t>Noémie</w:t>
            </w:r>
            <w:r w:rsidR="00633ABD">
              <w:rPr>
                <w:lang w:val="fr-CH"/>
              </w:rPr>
              <w:t> </w:t>
            </w:r>
            <w:r w:rsidRPr="00664CA2">
              <w:rPr>
                <w:lang w:val="fr-CH"/>
              </w:rPr>
              <w:t>Lacombe</w:t>
            </w:r>
            <w:r w:rsidR="00D34728" w:rsidRPr="00664CA2">
              <w:rPr>
                <w:lang w:val="fr-CH"/>
              </w:rPr>
              <w:br/>
            </w:r>
            <w:r w:rsidR="00DE3661" w:rsidRPr="00664CA2">
              <w:rPr>
                <w:lang w:val="fr-CH"/>
              </w:rPr>
              <w:t>Lectrice</w:t>
            </w:r>
          </w:p>
          <w:p w14:paraId="346D6781" w14:textId="00663B65" w:rsidR="00D34728" w:rsidRPr="00664CA2" w:rsidRDefault="00134530" w:rsidP="00533DA1">
            <w:pPr>
              <w:pStyle w:val="Textkrper3"/>
              <w:rPr>
                <w:lang w:val="fr-CH"/>
              </w:rPr>
            </w:pPr>
            <w:r w:rsidRPr="00664CA2">
              <w:rPr>
                <w:lang w:val="fr-CH"/>
              </w:rPr>
              <w:t>Département de pédagogie spécialisée Université de Fribourg</w:t>
            </w:r>
          </w:p>
          <w:p w14:paraId="64289A73" w14:textId="45421D61" w:rsidR="00D34728" w:rsidRPr="00153133" w:rsidRDefault="0069601C" w:rsidP="00533DA1">
            <w:pPr>
              <w:pStyle w:val="Textkrper3"/>
            </w:pPr>
            <w:hyperlink r:id="rId19" w:history="1">
              <w:r w:rsidRPr="0009015C">
                <w:rPr>
                  <w:rStyle w:val="Hyperlink"/>
                </w:rPr>
                <w:t>noemie.lacombe@unifr.ch</w:t>
              </w:r>
            </w:hyperlink>
          </w:p>
        </w:tc>
        <w:tc>
          <w:tcPr>
            <w:tcW w:w="2500" w:type="pct"/>
          </w:tcPr>
          <w:p w14:paraId="04BA1EC6" w14:textId="1006D780" w:rsidR="00D34728" w:rsidRPr="00664CA2" w:rsidRDefault="0057094A" w:rsidP="00037AE3">
            <w:pPr>
              <w:pStyle w:val="Textkrper3"/>
              <w:rPr>
                <w:lang w:val="fr-CH"/>
              </w:rPr>
            </w:pPr>
            <w:r w:rsidRPr="00664CA2">
              <w:rPr>
                <w:lang w:val="fr-CH"/>
              </w:rPr>
              <w:t>Myriam</w:t>
            </w:r>
            <w:r w:rsidR="00633ABD">
              <w:rPr>
                <w:lang w:val="fr-CH"/>
              </w:rPr>
              <w:t> </w:t>
            </w:r>
            <w:proofErr w:type="spellStart"/>
            <w:r w:rsidRPr="00664CA2">
              <w:rPr>
                <w:lang w:val="fr-CH"/>
              </w:rPr>
              <w:t>Squillaci</w:t>
            </w:r>
            <w:proofErr w:type="spellEnd"/>
            <w:r w:rsidR="00D34728" w:rsidRPr="00664CA2">
              <w:rPr>
                <w:lang w:val="fr-CH"/>
              </w:rPr>
              <w:br/>
            </w:r>
            <w:r w:rsidR="00E45DB3" w:rsidRPr="00664CA2">
              <w:rPr>
                <w:lang w:val="fr-CH"/>
              </w:rPr>
              <w:t>Professeur</w:t>
            </w:r>
            <w:r w:rsidR="00AF34B3">
              <w:rPr>
                <w:lang w:val="fr-CH"/>
              </w:rPr>
              <w:t>e ordinaire</w:t>
            </w:r>
          </w:p>
          <w:p w14:paraId="733B421B" w14:textId="6D0153C7" w:rsidR="00D34728" w:rsidRPr="00664CA2" w:rsidRDefault="00134530" w:rsidP="00037AE3">
            <w:pPr>
              <w:pStyle w:val="Textkrper3"/>
              <w:rPr>
                <w:lang w:val="fr-CH"/>
              </w:rPr>
            </w:pPr>
            <w:r w:rsidRPr="00664CA2">
              <w:rPr>
                <w:lang w:val="fr-CH"/>
              </w:rPr>
              <w:t>Département de pédagogie spécialisée Université de Fribourg</w:t>
            </w:r>
          </w:p>
          <w:p w14:paraId="4363FE25" w14:textId="0F613E84" w:rsidR="00D34728" w:rsidRPr="00153133" w:rsidRDefault="0069601C" w:rsidP="00037AE3">
            <w:pPr>
              <w:pStyle w:val="Textkrper3"/>
            </w:pPr>
            <w:hyperlink r:id="rId20" w:history="1">
              <w:r w:rsidRPr="0009015C">
                <w:rPr>
                  <w:rStyle w:val="Hyperlink"/>
                </w:rPr>
                <w:t>myriam.squillaci@unifr.ch</w:t>
              </w:r>
            </w:hyperlink>
          </w:p>
        </w:tc>
      </w:tr>
    </w:tbl>
    <w:p w14:paraId="757CDAC5" w14:textId="77777777" w:rsidR="00870508" w:rsidRPr="00153133" w:rsidRDefault="00870508" w:rsidP="00855097">
      <w:pPr>
        <w:pStyle w:val="berschrift1"/>
      </w:pPr>
      <w:proofErr w:type="spellStart"/>
      <w:r w:rsidRPr="00153133">
        <w:lastRenderedPageBreak/>
        <w:t>Références</w:t>
      </w:r>
      <w:proofErr w:type="spellEnd"/>
    </w:p>
    <w:p w14:paraId="660A49F3" w14:textId="3B3CF133" w:rsidR="00EA371F" w:rsidRPr="004136BC" w:rsidRDefault="00EA371F" w:rsidP="00EA371F">
      <w:pPr>
        <w:pStyle w:val="Literaturverzeichnis"/>
        <w:jc w:val="both"/>
        <w:rPr>
          <w:lang w:val="en-US"/>
        </w:rPr>
      </w:pPr>
      <w:r w:rsidRPr="00664CA2">
        <w:rPr>
          <w:rFonts w:asciiTheme="majorHAnsi" w:hAnsiTheme="majorHAnsi" w:cstheme="majorHAnsi"/>
          <w:lang w:val="it-IT"/>
        </w:rPr>
        <w:t>Bask, M.</w:t>
      </w:r>
      <w:r w:rsidRPr="00664CA2">
        <w:rPr>
          <w:rFonts w:asciiTheme="majorHAnsi" w:hAnsiTheme="majorHAnsi" w:cstheme="majorHAnsi"/>
          <w:color w:val="000000" w:themeColor="text1"/>
          <w:lang w:val="it-IT"/>
        </w:rPr>
        <w:t xml:space="preserve">, &amp; Salmela-Aro, K. (2013). </w:t>
      </w:r>
      <w:r w:rsidRPr="00061F69">
        <w:rPr>
          <w:rFonts w:asciiTheme="majorHAnsi" w:hAnsiTheme="majorHAnsi" w:cstheme="majorHAnsi"/>
          <w:color w:val="000000" w:themeColor="text1"/>
          <w:lang w:val="en-US"/>
        </w:rPr>
        <w:t xml:space="preserve">Burned out to drop out: Exploring the relationship between school burnout and school dropout. </w:t>
      </w:r>
      <w:r w:rsidRPr="00061F69">
        <w:rPr>
          <w:rFonts w:asciiTheme="majorHAnsi" w:hAnsiTheme="majorHAnsi" w:cstheme="majorHAnsi"/>
          <w:i/>
          <w:iCs/>
          <w:color w:val="000000" w:themeColor="text1"/>
          <w:lang w:val="en-US"/>
        </w:rPr>
        <w:t>European Journal of Psychology of Education</w:t>
      </w:r>
      <w:r w:rsidRPr="00061F69">
        <w:rPr>
          <w:rFonts w:asciiTheme="majorHAnsi" w:hAnsiTheme="majorHAnsi" w:cstheme="majorHAnsi"/>
          <w:color w:val="000000" w:themeColor="text1"/>
          <w:lang w:val="en-US"/>
        </w:rPr>
        <w:t xml:space="preserve">, </w:t>
      </w:r>
      <w:r w:rsidRPr="00061F69">
        <w:rPr>
          <w:rFonts w:asciiTheme="majorHAnsi" w:hAnsiTheme="majorHAnsi" w:cstheme="majorHAnsi"/>
          <w:i/>
          <w:iCs/>
          <w:color w:val="000000" w:themeColor="text1"/>
          <w:lang w:val="en-US"/>
        </w:rPr>
        <w:t>28</w:t>
      </w:r>
      <w:r w:rsidRPr="00061F69">
        <w:rPr>
          <w:rFonts w:asciiTheme="majorHAnsi" w:hAnsiTheme="majorHAnsi" w:cstheme="majorHAnsi"/>
          <w:color w:val="000000" w:themeColor="text1"/>
          <w:lang w:val="en-US"/>
        </w:rPr>
        <w:t>(2), 511</w:t>
      </w:r>
      <w:r w:rsidRPr="00061F69">
        <w:rPr>
          <w:rFonts w:ascii="Cambria Math" w:hAnsi="Cambria Math" w:cs="Cambria Math"/>
          <w:color w:val="000000" w:themeColor="text1"/>
          <w:lang w:val="en-US"/>
        </w:rPr>
        <w:t>‑</w:t>
      </w:r>
      <w:r w:rsidRPr="00061F69">
        <w:rPr>
          <w:rFonts w:asciiTheme="majorHAnsi" w:hAnsiTheme="majorHAnsi" w:cstheme="majorHAnsi"/>
          <w:color w:val="000000" w:themeColor="text1"/>
          <w:lang w:val="en-US"/>
        </w:rPr>
        <w:t xml:space="preserve">528. </w:t>
      </w:r>
      <w:hyperlink r:id="rId21" w:history="1">
        <w:r w:rsidR="004136BC" w:rsidRPr="00AB2FB4">
          <w:rPr>
            <w:rStyle w:val="Hyperlink"/>
            <w:rFonts w:asciiTheme="majorHAnsi" w:hAnsiTheme="majorHAnsi" w:cstheme="majorHAnsi"/>
            <w:lang w:val="en-US"/>
          </w:rPr>
          <w:t>https://doi.org/10.1007/s10212-012-0126-5</w:t>
        </w:r>
      </w:hyperlink>
      <w:r w:rsidR="004136BC">
        <w:rPr>
          <w:lang w:val="en-US"/>
        </w:rPr>
        <w:t xml:space="preserve"> </w:t>
      </w:r>
    </w:p>
    <w:p w14:paraId="402FA384" w14:textId="77777777" w:rsidR="00EA371F" w:rsidRPr="00664CA2" w:rsidRDefault="00EA371F" w:rsidP="00EA371F">
      <w:pPr>
        <w:pStyle w:val="Literaturverzeichnis"/>
        <w:jc w:val="both"/>
        <w:rPr>
          <w:lang w:val="en-US"/>
        </w:rPr>
      </w:pPr>
      <w:r w:rsidRPr="00061F69">
        <w:rPr>
          <w:rFonts w:asciiTheme="majorHAnsi" w:hAnsiTheme="majorHAnsi" w:cstheme="majorHAnsi"/>
          <w:color w:val="000000" w:themeColor="text1"/>
          <w:lang w:val="en-US"/>
        </w:rPr>
        <w:t>Cheung, P.</w:t>
      </w:r>
      <w:r>
        <w:rPr>
          <w:rFonts w:asciiTheme="majorHAnsi" w:hAnsiTheme="majorHAnsi" w:cstheme="majorHAnsi"/>
          <w:color w:val="000000" w:themeColor="text1"/>
          <w:lang w:val="en-US"/>
        </w:rPr>
        <w:t>,</w:t>
      </w:r>
      <w:r w:rsidRPr="00133602">
        <w:rPr>
          <w:rFonts w:asciiTheme="majorHAnsi" w:hAnsiTheme="majorHAnsi" w:cstheme="majorHAnsi"/>
          <w:color w:val="000000" w:themeColor="text1"/>
          <w:lang w:val="en-US"/>
        </w:rPr>
        <w:t> &amp;</w:t>
      </w:r>
      <w:r w:rsidRPr="00061F69">
        <w:rPr>
          <w:rFonts w:asciiTheme="majorHAnsi" w:hAnsiTheme="majorHAnsi" w:cstheme="majorHAnsi"/>
          <w:color w:val="000000" w:themeColor="text1"/>
          <w:lang w:val="en-US"/>
        </w:rPr>
        <w:t xml:space="preserve"> Li, C. (2019). Physical Activity and Mental Toughness as Antecedents of Academic Burnout among School Students: A Latent Profile Approach. </w:t>
      </w:r>
      <w:r w:rsidRPr="003F0CFC">
        <w:rPr>
          <w:rFonts w:asciiTheme="majorHAnsi" w:hAnsiTheme="majorHAnsi" w:cstheme="majorHAnsi"/>
          <w:i/>
          <w:iCs/>
          <w:color w:val="000000" w:themeColor="text1"/>
          <w:lang w:val="en-US"/>
        </w:rPr>
        <w:t>International Journal of Environmental Research and Public Health</w:t>
      </w:r>
      <w:r>
        <w:rPr>
          <w:rFonts w:asciiTheme="majorHAnsi" w:hAnsiTheme="majorHAnsi" w:cstheme="majorHAnsi"/>
          <w:i/>
          <w:iCs/>
          <w:color w:val="000000" w:themeColor="text1"/>
          <w:lang w:val="en-US"/>
        </w:rPr>
        <w:t>, 16</w:t>
      </w:r>
      <w:r>
        <w:rPr>
          <w:rFonts w:asciiTheme="majorHAnsi" w:hAnsiTheme="majorHAnsi" w:cstheme="majorHAnsi"/>
          <w:color w:val="000000" w:themeColor="text1"/>
          <w:lang w:val="en-US"/>
        </w:rPr>
        <w:t>(11)</w:t>
      </w:r>
      <w:r w:rsidRPr="00061F69">
        <w:rPr>
          <w:rFonts w:asciiTheme="majorHAnsi" w:hAnsiTheme="majorHAnsi" w:cstheme="majorHAnsi"/>
          <w:color w:val="000000" w:themeColor="text1"/>
          <w:lang w:val="en-US"/>
        </w:rPr>
        <w:t>, 2024.</w:t>
      </w:r>
      <w:r>
        <w:rPr>
          <w:rFonts w:asciiTheme="majorHAnsi" w:hAnsiTheme="majorHAnsi" w:cstheme="majorHAnsi"/>
          <w:color w:val="000000" w:themeColor="text1"/>
          <w:lang w:val="en-US"/>
        </w:rPr>
        <w:t xml:space="preserve"> </w:t>
      </w:r>
      <w:hyperlink r:id="rId22" w:history="1">
        <w:r w:rsidRPr="00B44244">
          <w:rPr>
            <w:rStyle w:val="Hyperlink"/>
            <w:rFonts w:asciiTheme="majorHAnsi" w:hAnsiTheme="majorHAnsi" w:cstheme="majorHAnsi"/>
            <w:lang w:val="en-US"/>
          </w:rPr>
          <w:t>https://doi.org/10.3390/ijerph16112024</w:t>
        </w:r>
      </w:hyperlink>
    </w:p>
    <w:p w14:paraId="15241E4E" w14:textId="44345E69" w:rsidR="00EA371F" w:rsidRPr="00B74700" w:rsidRDefault="00EA371F" w:rsidP="00EA371F">
      <w:pPr>
        <w:pStyle w:val="Literaturverzeichnis"/>
        <w:jc w:val="both"/>
        <w:rPr>
          <w:lang w:val="fr-CH"/>
        </w:rPr>
      </w:pPr>
      <w:proofErr w:type="spellStart"/>
      <w:r w:rsidRPr="00133602">
        <w:rPr>
          <w:rFonts w:asciiTheme="majorHAnsi" w:hAnsiTheme="majorHAnsi" w:cstheme="majorHAnsi"/>
          <w:color w:val="000000" w:themeColor="text1"/>
          <w:lang w:val="de-DE"/>
        </w:rPr>
        <w:t>Demerouti</w:t>
      </w:r>
      <w:proofErr w:type="spellEnd"/>
      <w:r w:rsidRPr="00133602">
        <w:rPr>
          <w:rFonts w:asciiTheme="majorHAnsi" w:hAnsiTheme="majorHAnsi" w:cstheme="majorHAnsi"/>
          <w:color w:val="000000" w:themeColor="text1"/>
          <w:lang w:val="de-DE"/>
        </w:rPr>
        <w:t>, E., Bakker, A.</w:t>
      </w:r>
      <w:r w:rsidR="00C208F2">
        <w:rPr>
          <w:rFonts w:asciiTheme="majorHAnsi" w:hAnsiTheme="majorHAnsi" w:cstheme="majorHAnsi"/>
          <w:color w:val="000000" w:themeColor="text1"/>
          <w:lang w:val="de-DE"/>
        </w:rPr>
        <w:t> </w:t>
      </w:r>
      <w:r w:rsidRPr="00133602">
        <w:rPr>
          <w:rFonts w:asciiTheme="majorHAnsi" w:hAnsiTheme="majorHAnsi" w:cstheme="majorHAnsi"/>
          <w:color w:val="000000" w:themeColor="text1"/>
          <w:lang w:val="de-DE"/>
        </w:rPr>
        <w:t xml:space="preserve">B., Nachreiner, F., &amp; </w:t>
      </w:r>
      <w:proofErr w:type="spellStart"/>
      <w:r w:rsidRPr="00133602">
        <w:rPr>
          <w:rFonts w:asciiTheme="majorHAnsi" w:hAnsiTheme="majorHAnsi" w:cstheme="majorHAnsi"/>
          <w:color w:val="000000" w:themeColor="text1"/>
          <w:lang w:val="de-DE"/>
        </w:rPr>
        <w:t>Schaufeli</w:t>
      </w:r>
      <w:proofErr w:type="spellEnd"/>
      <w:r w:rsidRPr="00133602">
        <w:rPr>
          <w:rFonts w:asciiTheme="majorHAnsi" w:hAnsiTheme="majorHAnsi" w:cstheme="majorHAnsi"/>
          <w:color w:val="000000" w:themeColor="text1"/>
          <w:lang w:val="de-DE"/>
        </w:rPr>
        <w:t>, W.</w:t>
      </w:r>
      <w:r w:rsidR="00C208F2">
        <w:rPr>
          <w:rFonts w:asciiTheme="majorHAnsi" w:hAnsiTheme="majorHAnsi" w:cstheme="majorHAnsi"/>
          <w:color w:val="000000" w:themeColor="text1"/>
          <w:lang w:val="de-DE"/>
        </w:rPr>
        <w:t> </w:t>
      </w:r>
      <w:r w:rsidRPr="00133602">
        <w:rPr>
          <w:rFonts w:asciiTheme="majorHAnsi" w:hAnsiTheme="majorHAnsi" w:cstheme="majorHAnsi"/>
          <w:color w:val="000000" w:themeColor="text1"/>
          <w:lang w:val="de-DE"/>
        </w:rPr>
        <w:t xml:space="preserve">B. (2001). </w:t>
      </w:r>
      <w:r w:rsidRPr="00061F69">
        <w:rPr>
          <w:rFonts w:asciiTheme="majorHAnsi" w:hAnsiTheme="majorHAnsi" w:cstheme="majorHAnsi"/>
          <w:color w:val="000000" w:themeColor="text1"/>
          <w:lang w:val="en-US"/>
        </w:rPr>
        <w:t xml:space="preserve">The job </w:t>
      </w:r>
      <w:proofErr w:type="gramStart"/>
      <w:r w:rsidRPr="00061F69">
        <w:rPr>
          <w:rFonts w:asciiTheme="majorHAnsi" w:hAnsiTheme="majorHAnsi" w:cstheme="majorHAnsi"/>
          <w:color w:val="000000" w:themeColor="text1"/>
          <w:lang w:val="en-US"/>
        </w:rPr>
        <w:t>demands-resources</w:t>
      </w:r>
      <w:proofErr w:type="gramEnd"/>
      <w:r w:rsidRPr="00061F69">
        <w:rPr>
          <w:rFonts w:asciiTheme="majorHAnsi" w:hAnsiTheme="majorHAnsi" w:cstheme="majorHAnsi"/>
          <w:color w:val="000000" w:themeColor="text1"/>
          <w:lang w:val="en-US"/>
        </w:rPr>
        <w:t xml:space="preserve"> model of burnout</w:t>
      </w:r>
      <w:r w:rsidRPr="00061F69">
        <w:rPr>
          <w:rFonts w:asciiTheme="majorHAnsi" w:hAnsiTheme="majorHAnsi" w:cstheme="majorHAnsi"/>
          <w:i/>
          <w:iCs/>
          <w:color w:val="000000" w:themeColor="text1"/>
          <w:lang w:val="en-US"/>
        </w:rPr>
        <w:t xml:space="preserve">. </w:t>
      </w:r>
      <w:r w:rsidRPr="00133602">
        <w:rPr>
          <w:rFonts w:asciiTheme="majorHAnsi" w:hAnsiTheme="majorHAnsi" w:cstheme="majorHAnsi"/>
          <w:i/>
          <w:iCs/>
          <w:color w:val="000000" w:themeColor="text1"/>
          <w:lang w:val="en-US"/>
        </w:rPr>
        <w:t>Journal of Applied Psychology, 86</w:t>
      </w:r>
      <w:r w:rsidRPr="00023E47">
        <w:rPr>
          <w:rFonts w:asciiTheme="majorHAnsi" w:hAnsiTheme="majorHAnsi" w:cstheme="majorHAnsi"/>
          <w:color w:val="000000" w:themeColor="text1"/>
          <w:lang w:val="en-US"/>
        </w:rPr>
        <w:t>(3), 499-512.</w:t>
      </w:r>
      <w:r w:rsidRPr="00133602">
        <w:rPr>
          <w:rFonts w:asciiTheme="majorHAnsi" w:hAnsiTheme="majorHAnsi" w:cstheme="majorHAnsi"/>
          <w:color w:val="000000" w:themeColor="text1"/>
          <w:lang w:val="en-US"/>
        </w:rPr>
        <w:t xml:space="preserve"> </w:t>
      </w:r>
      <w:hyperlink r:id="rId23" w:tgtFrame="_blank" w:history="1">
        <w:r w:rsidRPr="00B74700">
          <w:rPr>
            <w:rStyle w:val="Hyperlink"/>
            <w:rFonts w:asciiTheme="majorHAnsi" w:hAnsiTheme="majorHAnsi" w:cstheme="majorHAnsi"/>
            <w:lang w:val="fr-CH"/>
          </w:rPr>
          <w:t>https://doi.org/10.1037/0021-9010.86.3.499</w:t>
        </w:r>
      </w:hyperlink>
    </w:p>
    <w:p w14:paraId="0CF2725F" w14:textId="08C6C049" w:rsidR="00EA371F" w:rsidRPr="00664CA2" w:rsidRDefault="00EA371F" w:rsidP="00EA371F">
      <w:pPr>
        <w:pStyle w:val="Literaturverzeichnis"/>
        <w:jc w:val="both"/>
        <w:rPr>
          <w:lang w:val="it-IT"/>
        </w:rPr>
      </w:pPr>
      <w:r w:rsidRPr="00664CA2">
        <w:rPr>
          <w:rFonts w:asciiTheme="majorHAnsi" w:hAnsiTheme="majorHAnsi" w:cstheme="majorHAnsi"/>
          <w:color w:val="222222"/>
          <w:shd w:val="clear" w:color="auto" w:fill="FFFFFF"/>
          <w:lang w:val="fr-CH"/>
        </w:rPr>
        <w:t>De Chambrier, A.</w:t>
      </w:r>
      <w:r w:rsidR="00C208F2">
        <w:rPr>
          <w:rFonts w:asciiTheme="majorHAnsi" w:hAnsiTheme="majorHAnsi" w:cstheme="majorHAnsi"/>
          <w:color w:val="222222"/>
          <w:shd w:val="clear" w:color="auto" w:fill="FFFFFF"/>
          <w:lang w:val="fr-CH"/>
        </w:rPr>
        <w:t> </w:t>
      </w:r>
      <w:r w:rsidRPr="00664CA2">
        <w:rPr>
          <w:rFonts w:asciiTheme="majorHAnsi" w:hAnsiTheme="majorHAnsi" w:cstheme="majorHAnsi"/>
          <w:color w:val="222222"/>
          <w:shd w:val="clear" w:color="auto" w:fill="FFFFFF"/>
          <w:lang w:val="fr-CH"/>
        </w:rPr>
        <w:t xml:space="preserve">F., &amp; </w:t>
      </w:r>
      <w:proofErr w:type="spellStart"/>
      <w:r w:rsidRPr="00664CA2">
        <w:rPr>
          <w:rFonts w:asciiTheme="majorHAnsi" w:hAnsiTheme="majorHAnsi" w:cstheme="majorHAnsi"/>
          <w:color w:val="222222"/>
          <w:shd w:val="clear" w:color="auto" w:fill="FFFFFF"/>
          <w:lang w:val="fr-CH"/>
        </w:rPr>
        <w:t>Dierendonck</w:t>
      </w:r>
      <w:proofErr w:type="spellEnd"/>
      <w:r w:rsidRPr="00664CA2">
        <w:rPr>
          <w:rFonts w:asciiTheme="majorHAnsi" w:hAnsiTheme="majorHAnsi" w:cstheme="majorHAnsi"/>
          <w:color w:val="222222"/>
          <w:shd w:val="clear" w:color="auto" w:fill="FFFFFF"/>
          <w:lang w:val="fr-CH"/>
        </w:rPr>
        <w:t>, C. (2022). Vers l’implémentation du modèle de Réponse à l’Intervention dans les systèmes éducatifs d’Europe francophone</w:t>
      </w:r>
      <w:r w:rsidR="008C6B1E">
        <w:rPr>
          <w:rFonts w:asciiTheme="majorHAnsi" w:hAnsiTheme="majorHAnsi" w:cstheme="majorHAnsi"/>
          <w:color w:val="222222"/>
          <w:shd w:val="clear" w:color="auto" w:fill="FFFFFF"/>
          <w:lang w:val="fr-CH"/>
        </w:rPr>
        <w:t> </w:t>
      </w:r>
      <w:r w:rsidRPr="00664CA2">
        <w:rPr>
          <w:rFonts w:asciiTheme="majorHAnsi" w:hAnsiTheme="majorHAnsi" w:cstheme="majorHAnsi"/>
          <w:color w:val="222222"/>
          <w:shd w:val="clear" w:color="auto" w:fill="FFFFFF"/>
          <w:lang w:val="fr-CH"/>
        </w:rPr>
        <w:t xml:space="preserve">? </w:t>
      </w:r>
      <w:r w:rsidRPr="00061F69">
        <w:rPr>
          <w:rFonts w:asciiTheme="majorHAnsi" w:hAnsiTheme="majorHAnsi" w:cstheme="majorHAnsi"/>
          <w:i/>
          <w:iCs/>
          <w:color w:val="222222"/>
          <w:shd w:val="clear" w:color="auto" w:fill="FFFFFF"/>
          <w:lang w:val="it-CH"/>
        </w:rPr>
        <w:t>L</w:t>
      </w:r>
      <w:r w:rsidR="00F76938">
        <w:rPr>
          <w:rFonts w:asciiTheme="majorHAnsi" w:hAnsiTheme="majorHAnsi" w:cstheme="majorHAnsi"/>
          <w:i/>
          <w:iCs/>
          <w:color w:val="222222"/>
          <w:shd w:val="clear" w:color="auto" w:fill="FFFFFF"/>
          <w:lang w:val="it-CH"/>
        </w:rPr>
        <w:t>’</w:t>
      </w:r>
      <w:r w:rsidRPr="00061F69">
        <w:rPr>
          <w:rFonts w:asciiTheme="majorHAnsi" w:hAnsiTheme="majorHAnsi" w:cstheme="majorHAnsi"/>
          <w:i/>
          <w:iCs/>
          <w:color w:val="222222"/>
          <w:shd w:val="clear" w:color="auto" w:fill="FFFFFF"/>
          <w:lang w:val="it-CH"/>
        </w:rPr>
        <w:t>Année psychologique</w:t>
      </w:r>
      <w:r w:rsidRPr="00061F69">
        <w:rPr>
          <w:rFonts w:asciiTheme="majorHAnsi" w:hAnsiTheme="majorHAnsi" w:cstheme="majorHAnsi"/>
          <w:color w:val="222222"/>
          <w:shd w:val="clear" w:color="auto" w:fill="FFFFFF"/>
          <w:lang w:val="it-CH"/>
        </w:rPr>
        <w:t xml:space="preserve">, </w:t>
      </w:r>
      <w:r w:rsidRPr="00054F5F">
        <w:rPr>
          <w:rFonts w:asciiTheme="majorHAnsi" w:hAnsiTheme="majorHAnsi" w:cstheme="majorHAnsi"/>
          <w:i/>
          <w:iCs/>
          <w:color w:val="222222"/>
          <w:shd w:val="clear" w:color="auto" w:fill="FFFFFF"/>
          <w:lang w:val="it-CH"/>
        </w:rPr>
        <w:t>122</w:t>
      </w:r>
      <w:r w:rsidRPr="00061F69">
        <w:rPr>
          <w:rFonts w:asciiTheme="majorHAnsi" w:hAnsiTheme="majorHAnsi" w:cstheme="majorHAnsi"/>
          <w:color w:val="222222"/>
          <w:shd w:val="clear" w:color="auto" w:fill="FFFFFF"/>
          <w:lang w:val="it-CH"/>
        </w:rPr>
        <w:t>(2), 301-337.</w:t>
      </w:r>
      <w:r>
        <w:rPr>
          <w:rFonts w:asciiTheme="majorHAnsi" w:hAnsiTheme="majorHAnsi" w:cstheme="majorHAnsi"/>
          <w:color w:val="222222"/>
          <w:shd w:val="clear" w:color="auto" w:fill="FFFFFF"/>
          <w:lang w:val="it-CH"/>
        </w:rPr>
        <w:t xml:space="preserve"> </w:t>
      </w:r>
      <w:hyperlink r:id="rId24" w:history="1">
        <w:r w:rsidRPr="00133602">
          <w:rPr>
            <w:rStyle w:val="Hyperlink"/>
            <w:rFonts w:asciiTheme="majorHAnsi" w:hAnsiTheme="majorHAnsi" w:cstheme="majorHAnsi"/>
            <w:shd w:val="clear" w:color="auto" w:fill="FFFFFF"/>
            <w:lang w:val="it-IT"/>
          </w:rPr>
          <w:t>https://doi.org/10.3917/anpsy1.222.0301</w:t>
        </w:r>
      </w:hyperlink>
    </w:p>
    <w:p w14:paraId="7B200AA5" w14:textId="0BA5BBC4" w:rsidR="00EA371F" w:rsidRPr="00664CA2" w:rsidRDefault="00EA371F" w:rsidP="00EA371F">
      <w:pPr>
        <w:pStyle w:val="Literaturverzeichnis"/>
        <w:jc w:val="both"/>
        <w:rPr>
          <w:lang w:val="fr-CH"/>
        </w:rPr>
      </w:pPr>
      <w:r w:rsidRPr="00061F69">
        <w:rPr>
          <w:rFonts w:asciiTheme="majorHAnsi" w:hAnsiTheme="majorHAnsi" w:cstheme="majorHAnsi"/>
          <w:lang w:val="it-CH"/>
        </w:rPr>
        <w:t>Di</w:t>
      </w:r>
      <w:r w:rsidR="00C208F2">
        <w:rPr>
          <w:rFonts w:asciiTheme="majorHAnsi" w:hAnsiTheme="majorHAnsi" w:cstheme="majorHAnsi"/>
          <w:lang w:val="it-CH"/>
        </w:rPr>
        <w:t xml:space="preserve"> </w:t>
      </w:r>
      <w:r w:rsidRPr="00061F69">
        <w:rPr>
          <w:rFonts w:asciiTheme="majorHAnsi" w:hAnsiTheme="majorHAnsi" w:cstheme="majorHAnsi"/>
          <w:lang w:val="it-CH"/>
        </w:rPr>
        <w:t xml:space="preserve">Grassi, A. (2022). Costruire un contesto inclusivo e un efficace co-teaching tra docente curricolare e docente per l’attività di sostegno attraverso la progettazione universale. </w:t>
      </w:r>
      <w:r w:rsidRPr="00664CA2">
        <w:rPr>
          <w:rFonts w:asciiTheme="majorHAnsi" w:hAnsiTheme="majorHAnsi" w:cstheme="majorHAnsi"/>
          <w:i/>
          <w:iCs/>
          <w:lang w:val="fr-CH"/>
        </w:rPr>
        <w:t>Media Education, 13</w:t>
      </w:r>
      <w:r w:rsidRPr="00664CA2">
        <w:rPr>
          <w:rFonts w:asciiTheme="majorHAnsi" w:hAnsiTheme="majorHAnsi" w:cstheme="majorHAnsi"/>
          <w:lang w:val="fr-CH"/>
        </w:rPr>
        <w:t xml:space="preserve">(1), 25–39. </w:t>
      </w:r>
      <w:hyperlink r:id="rId25" w:tgtFrame="_new" w:history="1">
        <w:r w:rsidRPr="00664CA2">
          <w:rPr>
            <w:rStyle w:val="Hyperlink"/>
            <w:rFonts w:asciiTheme="majorHAnsi" w:hAnsiTheme="majorHAnsi" w:cstheme="majorHAnsi"/>
            <w:lang w:val="fr-CH"/>
          </w:rPr>
          <w:t>https://doi.org/10.36253/me-12569</w:t>
        </w:r>
      </w:hyperlink>
    </w:p>
    <w:p w14:paraId="1E93C417" w14:textId="77777777" w:rsidR="00EA371F" w:rsidRPr="00664CA2" w:rsidRDefault="00EA371F" w:rsidP="00EA371F">
      <w:pPr>
        <w:pStyle w:val="Literaturverzeichnis"/>
        <w:jc w:val="both"/>
        <w:rPr>
          <w:lang w:val="fr-CH"/>
        </w:rPr>
      </w:pPr>
      <w:proofErr w:type="spellStart"/>
      <w:r w:rsidRPr="00664CA2">
        <w:rPr>
          <w:rFonts w:asciiTheme="majorHAnsi" w:hAnsiTheme="majorHAnsi" w:cstheme="majorHAnsi"/>
          <w:lang w:val="fr-CH"/>
        </w:rPr>
        <w:t>Ebersold</w:t>
      </w:r>
      <w:proofErr w:type="spellEnd"/>
      <w:r w:rsidRPr="00664CA2">
        <w:rPr>
          <w:rFonts w:asciiTheme="majorHAnsi" w:hAnsiTheme="majorHAnsi" w:cstheme="majorHAnsi"/>
          <w:lang w:val="fr-CH"/>
        </w:rPr>
        <w:t xml:space="preserve">, S. (2017). L’école inclusive, face à l’impératif d’accessibilité. </w:t>
      </w:r>
      <w:r w:rsidRPr="00664CA2">
        <w:rPr>
          <w:rFonts w:asciiTheme="majorHAnsi" w:hAnsiTheme="majorHAnsi" w:cstheme="majorHAnsi"/>
          <w:i/>
          <w:iCs/>
          <w:lang w:val="fr-CH"/>
        </w:rPr>
        <w:t>Éducation et Sociétés, 40</w:t>
      </w:r>
      <w:r w:rsidRPr="00664CA2">
        <w:rPr>
          <w:rFonts w:asciiTheme="majorHAnsi" w:hAnsiTheme="majorHAnsi" w:cstheme="majorHAnsi"/>
          <w:lang w:val="fr-CH"/>
        </w:rPr>
        <w:t xml:space="preserve">(2), 89-103. </w:t>
      </w:r>
      <w:hyperlink r:id="rId26" w:history="1">
        <w:r w:rsidRPr="00664CA2">
          <w:rPr>
            <w:rStyle w:val="Hyperlink"/>
            <w:rFonts w:asciiTheme="majorHAnsi" w:hAnsiTheme="majorHAnsi" w:cstheme="majorHAnsi"/>
            <w:lang w:val="fr-CH"/>
          </w:rPr>
          <w:t>https://doi.org/10.3917/es.040.0089</w:t>
        </w:r>
      </w:hyperlink>
    </w:p>
    <w:p w14:paraId="4DC5D67A" w14:textId="77777777" w:rsidR="00EA371F" w:rsidRPr="00664CA2" w:rsidRDefault="00EA371F" w:rsidP="00EA371F">
      <w:pPr>
        <w:pStyle w:val="Literaturverzeichnis"/>
        <w:jc w:val="both"/>
        <w:rPr>
          <w:lang w:val="it-IT"/>
        </w:rPr>
      </w:pPr>
      <w:r w:rsidRPr="005D08D2">
        <w:rPr>
          <w:rFonts w:asciiTheme="majorHAnsi" w:hAnsiTheme="majorHAnsi" w:cstheme="majorHAnsi"/>
          <w:color w:val="000000" w:themeColor="text1"/>
          <w:szCs w:val="24"/>
          <w:lang w:val="fr-CH"/>
        </w:rPr>
        <w:t xml:space="preserve">Engels, M. C., </w:t>
      </w:r>
      <w:proofErr w:type="spellStart"/>
      <w:r w:rsidRPr="005D08D2">
        <w:rPr>
          <w:rFonts w:asciiTheme="majorHAnsi" w:hAnsiTheme="majorHAnsi" w:cstheme="majorHAnsi"/>
          <w:color w:val="000000" w:themeColor="text1"/>
          <w:szCs w:val="24"/>
          <w:lang w:val="fr-CH"/>
        </w:rPr>
        <w:t>Pakarinen</w:t>
      </w:r>
      <w:proofErr w:type="spellEnd"/>
      <w:r w:rsidRPr="005D08D2">
        <w:rPr>
          <w:rFonts w:asciiTheme="majorHAnsi" w:hAnsiTheme="majorHAnsi" w:cstheme="majorHAnsi"/>
          <w:color w:val="000000" w:themeColor="text1"/>
          <w:szCs w:val="24"/>
          <w:lang w:val="fr-CH"/>
        </w:rPr>
        <w:t xml:space="preserve">, E., </w:t>
      </w:r>
      <w:proofErr w:type="spellStart"/>
      <w:r w:rsidRPr="005D08D2">
        <w:rPr>
          <w:rFonts w:asciiTheme="majorHAnsi" w:hAnsiTheme="majorHAnsi" w:cstheme="majorHAnsi"/>
          <w:color w:val="000000" w:themeColor="text1"/>
          <w:szCs w:val="24"/>
          <w:lang w:val="fr-CH"/>
        </w:rPr>
        <w:t>Lerkkanen</w:t>
      </w:r>
      <w:proofErr w:type="spellEnd"/>
      <w:r w:rsidRPr="005D08D2">
        <w:rPr>
          <w:rFonts w:asciiTheme="majorHAnsi" w:hAnsiTheme="majorHAnsi" w:cstheme="majorHAnsi"/>
          <w:color w:val="000000" w:themeColor="text1"/>
          <w:szCs w:val="24"/>
          <w:lang w:val="fr-CH"/>
        </w:rPr>
        <w:t>, M. K.,</w:t>
      </w:r>
      <w:r w:rsidRPr="005D08D2">
        <w:rPr>
          <w:rFonts w:asciiTheme="majorHAnsi" w:hAnsiTheme="majorHAnsi" w:cstheme="majorHAnsi"/>
          <w:color w:val="222222"/>
          <w:shd w:val="clear" w:color="auto" w:fill="FFFFFF"/>
          <w:lang w:val="fr-CH"/>
        </w:rPr>
        <w:t> </w:t>
      </w:r>
      <w:r w:rsidRPr="005D08D2">
        <w:rPr>
          <w:rFonts w:asciiTheme="majorHAnsi" w:hAnsiTheme="majorHAnsi" w:cstheme="majorHAnsi"/>
          <w:color w:val="000000" w:themeColor="text1"/>
          <w:szCs w:val="24"/>
          <w:lang w:val="fr-CH"/>
        </w:rPr>
        <w:t xml:space="preserve">&amp; Verschueren, K. (2019). </w:t>
      </w:r>
      <w:r w:rsidRPr="00061F69">
        <w:rPr>
          <w:rFonts w:asciiTheme="majorHAnsi" w:hAnsiTheme="majorHAnsi" w:cstheme="majorHAnsi"/>
          <w:color w:val="000000" w:themeColor="text1"/>
          <w:szCs w:val="24"/>
          <w:lang w:val="en-US"/>
        </w:rPr>
        <w:t xml:space="preserve">Students' academic and emotional adjustment during the transition from primary to secondary school: A cross-lagged study. </w:t>
      </w:r>
      <w:r w:rsidRPr="00B74700">
        <w:rPr>
          <w:rFonts w:asciiTheme="majorHAnsi" w:hAnsiTheme="majorHAnsi" w:cstheme="majorHAnsi"/>
          <w:i/>
          <w:iCs/>
          <w:color w:val="000000" w:themeColor="text1"/>
          <w:szCs w:val="24"/>
          <w:lang w:val="it-IT"/>
        </w:rPr>
        <w:t>Journal of School Psychology</w:t>
      </w:r>
      <w:r w:rsidRPr="00B74700">
        <w:rPr>
          <w:rFonts w:asciiTheme="majorHAnsi" w:hAnsiTheme="majorHAnsi" w:cstheme="majorHAnsi"/>
          <w:color w:val="000000" w:themeColor="text1"/>
          <w:szCs w:val="24"/>
          <w:lang w:val="it-IT"/>
        </w:rPr>
        <w:t xml:space="preserve">, </w:t>
      </w:r>
      <w:r w:rsidRPr="00B74700">
        <w:rPr>
          <w:rFonts w:asciiTheme="majorHAnsi" w:hAnsiTheme="majorHAnsi" w:cstheme="majorHAnsi"/>
          <w:i/>
          <w:iCs/>
          <w:color w:val="000000" w:themeColor="text1"/>
          <w:szCs w:val="24"/>
          <w:lang w:val="it-IT"/>
        </w:rPr>
        <w:t>76</w:t>
      </w:r>
      <w:r w:rsidRPr="00B74700">
        <w:rPr>
          <w:rFonts w:asciiTheme="majorHAnsi" w:hAnsiTheme="majorHAnsi" w:cstheme="majorHAnsi"/>
          <w:color w:val="000000" w:themeColor="text1"/>
          <w:szCs w:val="24"/>
          <w:lang w:val="it-IT"/>
        </w:rPr>
        <w:t xml:space="preserve">, 140-158. </w:t>
      </w:r>
      <w:hyperlink r:id="rId27" w:history="1">
        <w:r w:rsidRPr="00B44244">
          <w:rPr>
            <w:rStyle w:val="Hyperlink"/>
            <w:rFonts w:asciiTheme="majorHAnsi" w:hAnsiTheme="majorHAnsi" w:cstheme="majorHAnsi"/>
            <w:szCs w:val="24"/>
            <w:lang w:val="it-CH"/>
          </w:rPr>
          <w:t>https://doi.org/10.1016/j.jsp.2019.07.012</w:t>
        </w:r>
      </w:hyperlink>
    </w:p>
    <w:p w14:paraId="79C39E11" w14:textId="77777777" w:rsidR="00EA371F" w:rsidRPr="00664CA2" w:rsidRDefault="00EA371F" w:rsidP="00EA371F">
      <w:pPr>
        <w:pStyle w:val="Literaturverzeichnis"/>
        <w:jc w:val="both"/>
        <w:rPr>
          <w:lang w:val="en-US"/>
        </w:rPr>
      </w:pPr>
      <w:r w:rsidRPr="00061F69">
        <w:rPr>
          <w:rFonts w:asciiTheme="majorHAnsi" w:hAnsiTheme="majorHAnsi" w:cstheme="majorHAnsi"/>
          <w:color w:val="000000" w:themeColor="text1"/>
          <w:shd w:val="clear" w:color="auto" w:fill="FFFFFF"/>
          <w:lang w:val="it-CH"/>
        </w:rPr>
        <w:t xml:space="preserve">Fiorilli, C., De Stasio, S., Di Chiacchio, C., Pepe, A., &amp; Salmela-Aro, K. (2017). </w:t>
      </w:r>
      <w:r w:rsidRPr="00061F69">
        <w:rPr>
          <w:rFonts w:asciiTheme="majorHAnsi" w:hAnsiTheme="majorHAnsi" w:cstheme="majorHAnsi"/>
          <w:color w:val="000000" w:themeColor="text1"/>
          <w:shd w:val="clear" w:color="auto" w:fill="FFFFFF"/>
          <w:lang w:val="en-US"/>
        </w:rPr>
        <w:t>School burnout, depressive symptoms and engagement: Their combined effect on student achievement.</w:t>
      </w:r>
      <w:r>
        <w:rPr>
          <w:rFonts w:asciiTheme="majorHAnsi" w:hAnsiTheme="majorHAnsi" w:cstheme="majorHAnsi"/>
          <w:color w:val="000000" w:themeColor="text1"/>
          <w:shd w:val="clear" w:color="auto" w:fill="FFFFFF"/>
          <w:lang w:val="en-US"/>
        </w:rPr>
        <w:t xml:space="preserve"> </w:t>
      </w:r>
      <w:r w:rsidRPr="00061F69">
        <w:rPr>
          <w:rFonts w:asciiTheme="majorHAnsi" w:hAnsiTheme="majorHAnsi" w:cstheme="majorHAnsi"/>
          <w:i/>
          <w:iCs/>
          <w:color w:val="000000" w:themeColor="text1"/>
          <w:shd w:val="clear" w:color="auto" w:fill="FFFFFF"/>
          <w:lang w:val="en-US"/>
        </w:rPr>
        <w:t>International Journal of Educational Research</w:t>
      </w:r>
      <w:r w:rsidRPr="00061F69">
        <w:rPr>
          <w:rFonts w:asciiTheme="majorHAnsi" w:hAnsiTheme="majorHAnsi" w:cstheme="majorHAnsi"/>
          <w:color w:val="000000" w:themeColor="text1"/>
          <w:shd w:val="clear" w:color="auto" w:fill="FFFFFF"/>
          <w:lang w:val="en-US"/>
        </w:rPr>
        <w:t>,</w:t>
      </w:r>
      <w:r>
        <w:rPr>
          <w:rFonts w:asciiTheme="majorHAnsi" w:hAnsiTheme="majorHAnsi" w:cstheme="majorHAnsi"/>
          <w:color w:val="000000" w:themeColor="text1"/>
          <w:shd w:val="clear" w:color="auto" w:fill="FFFFFF"/>
          <w:lang w:val="en-US"/>
        </w:rPr>
        <w:t xml:space="preserve"> </w:t>
      </w:r>
      <w:r w:rsidRPr="00061F69">
        <w:rPr>
          <w:rFonts w:asciiTheme="majorHAnsi" w:hAnsiTheme="majorHAnsi" w:cstheme="majorHAnsi"/>
          <w:i/>
          <w:iCs/>
          <w:color w:val="000000" w:themeColor="text1"/>
          <w:shd w:val="clear" w:color="auto" w:fill="FFFFFF"/>
          <w:lang w:val="en-US"/>
        </w:rPr>
        <w:t>84</w:t>
      </w:r>
      <w:r w:rsidRPr="00061F69">
        <w:rPr>
          <w:rFonts w:asciiTheme="majorHAnsi" w:hAnsiTheme="majorHAnsi" w:cstheme="majorHAnsi"/>
          <w:color w:val="000000" w:themeColor="text1"/>
          <w:shd w:val="clear" w:color="auto" w:fill="FFFFFF"/>
          <w:lang w:val="en-US"/>
        </w:rPr>
        <w:t>, 1-12.</w:t>
      </w:r>
      <w:r>
        <w:rPr>
          <w:rFonts w:asciiTheme="majorHAnsi" w:hAnsiTheme="majorHAnsi" w:cstheme="majorHAnsi"/>
          <w:color w:val="000000" w:themeColor="text1"/>
          <w:shd w:val="clear" w:color="auto" w:fill="FFFFFF"/>
          <w:lang w:val="en-US"/>
        </w:rPr>
        <w:t xml:space="preserve"> </w:t>
      </w:r>
      <w:hyperlink r:id="rId28" w:history="1">
        <w:r w:rsidRPr="00B44244">
          <w:rPr>
            <w:rStyle w:val="Hyperlink"/>
            <w:rFonts w:asciiTheme="majorHAnsi" w:hAnsiTheme="majorHAnsi" w:cstheme="majorHAnsi"/>
            <w:shd w:val="clear" w:color="auto" w:fill="FFFFFF"/>
            <w:lang w:val="en-US"/>
          </w:rPr>
          <w:t>https://doi.org/10.1016/j.ijer.2017.04.001</w:t>
        </w:r>
      </w:hyperlink>
    </w:p>
    <w:p w14:paraId="33FDF38A" w14:textId="77777777" w:rsidR="00EA371F" w:rsidRPr="00664CA2" w:rsidRDefault="00EA371F" w:rsidP="00EA371F">
      <w:pPr>
        <w:pStyle w:val="Literaturverzeichnis"/>
        <w:jc w:val="both"/>
        <w:rPr>
          <w:lang w:val="en-US"/>
        </w:rPr>
      </w:pPr>
      <w:r w:rsidRPr="00133602">
        <w:rPr>
          <w:rFonts w:asciiTheme="majorHAnsi" w:hAnsiTheme="majorHAnsi" w:cstheme="majorHAnsi"/>
          <w:color w:val="000000" w:themeColor="text1"/>
          <w:shd w:val="clear" w:color="auto" w:fill="FFFFFF"/>
          <w:lang w:val="de-DE"/>
        </w:rPr>
        <w:t xml:space="preserve">Fischer, S., Nater, U. M., &amp; </w:t>
      </w:r>
      <w:proofErr w:type="spellStart"/>
      <w:r w:rsidRPr="00133602">
        <w:rPr>
          <w:rFonts w:asciiTheme="majorHAnsi" w:hAnsiTheme="majorHAnsi" w:cstheme="majorHAnsi"/>
          <w:color w:val="000000" w:themeColor="text1"/>
          <w:shd w:val="clear" w:color="auto" w:fill="FFFFFF"/>
          <w:lang w:val="de-DE"/>
        </w:rPr>
        <w:t>Laferton</w:t>
      </w:r>
      <w:proofErr w:type="spellEnd"/>
      <w:r w:rsidRPr="00133602">
        <w:rPr>
          <w:rFonts w:asciiTheme="majorHAnsi" w:hAnsiTheme="majorHAnsi" w:cstheme="majorHAnsi"/>
          <w:color w:val="000000" w:themeColor="text1"/>
          <w:shd w:val="clear" w:color="auto" w:fill="FFFFFF"/>
          <w:lang w:val="de-DE"/>
        </w:rPr>
        <w:t xml:space="preserve">, J. A. (2016). </w:t>
      </w:r>
      <w:r w:rsidRPr="00061F69">
        <w:rPr>
          <w:rFonts w:asciiTheme="majorHAnsi" w:hAnsiTheme="majorHAnsi" w:cstheme="majorHAnsi"/>
          <w:color w:val="000000" w:themeColor="text1"/>
          <w:shd w:val="clear" w:color="auto" w:fill="FFFFFF"/>
          <w:lang w:val="en-US"/>
        </w:rPr>
        <w:t>Negative stress beliefs predict somatic symptoms in students under academic stress.</w:t>
      </w:r>
      <w:r>
        <w:rPr>
          <w:rFonts w:asciiTheme="majorHAnsi" w:hAnsiTheme="majorHAnsi" w:cstheme="majorHAnsi"/>
          <w:color w:val="000000" w:themeColor="text1"/>
          <w:shd w:val="clear" w:color="auto" w:fill="FFFFFF"/>
          <w:lang w:val="en-US"/>
        </w:rPr>
        <w:t xml:space="preserve"> </w:t>
      </w:r>
      <w:r w:rsidRPr="00061F69">
        <w:rPr>
          <w:rFonts w:asciiTheme="majorHAnsi" w:hAnsiTheme="majorHAnsi" w:cstheme="majorHAnsi"/>
          <w:i/>
          <w:iCs/>
          <w:color w:val="000000" w:themeColor="text1"/>
          <w:shd w:val="clear" w:color="auto" w:fill="FFFFFF"/>
          <w:lang w:val="en-US"/>
        </w:rPr>
        <w:t>International journal of behavioral medicine</w:t>
      </w:r>
      <w:r w:rsidRPr="00061F69">
        <w:rPr>
          <w:rFonts w:asciiTheme="majorHAnsi" w:hAnsiTheme="majorHAnsi" w:cstheme="majorHAnsi"/>
          <w:color w:val="000000" w:themeColor="text1"/>
          <w:shd w:val="clear" w:color="auto" w:fill="FFFFFF"/>
          <w:lang w:val="en-US"/>
        </w:rPr>
        <w:t>, </w:t>
      </w:r>
      <w:r w:rsidRPr="00061F69">
        <w:rPr>
          <w:rFonts w:asciiTheme="majorHAnsi" w:hAnsiTheme="majorHAnsi" w:cstheme="majorHAnsi"/>
          <w:i/>
          <w:iCs/>
          <w:color w:val="000000" w:themeColor="text1"/>
          <w:shd w:val="clear" w:color="auto" w:fill="FFFFFF"/>
          <w:lang w:val="en-US"/>
        </w:rPr>
        <w:t>23</w:t>
      </w:r>
      <w:r w:rsidRPr="00061F69">
        <w:rPr>
          <w:rFonts w:asciiTheme="majorHAnsi" w:hAnsiTheme="majorHAnsi" w:cstheme="majorHAnsi"/>
          <w:color w:val="000000" w:themeColor="text1"/>
          <w:shd w:val="clear" w:color="auto" w:fill="FFFFFF"/>
          <w:lang w:val="en-US"/>
        </w:rPr>
        <w:t>,</w:t>
      </w:r>
      <w:r w:rsidRPr="00133602">
        <w:rPr>
          <w:rFonts w:asciiTheme="majorHAnsi" w:hAnsiTheme="majorHAnsi" w:cstheme="majorHAnsi"/>
          <w:color w:val="000000" w:themeColor="text1"/>
          <w:shd w:val="clear" w:color="auto" w:fill="FFFFFF"/>
          <w:lang w:val="en-US"/>
        </w:rPr>
        <w:t> </w:t>
      </w:r>
      <w:r w:rsidRPr="00061F69">
        <w:rPr>
          <w:rFonts w:asciiTheme="majorHAnsi" w:hAnsiTheme="majorHAnsi" w:cstheme="majorHAnsi"/>
          <w:color w:val="000000" w:themeColor="text1"/>
          <w:shd w:val="clear" w:color="auto" w:fill="FFFFFF"/>
          <w:lang w:val="en-US"/>
        </w:rPr>
        <w:t>746-751</w:t>
      </w:r>
      <w:r>
        <w:rPr>
          <w:rFonts w:asciiTheme="majorHAnsi" w:hAnsiTheme="majorHAnsi" w:cstheme="majorHAnsi"/>
          <w:color w:val="000000" w:themeColor="text1"/>
          <w:shd w:val="clear" w:color="auto" w:fill="FFFFFF"/>
          <w:lang w:val="en-US"/>
        </w:rPr>
        <w:t xml:space="preserve">. </w:t>
      </w:r>
      <w:hyperlink r:id="rId29" w:history="1">
        <w:r w:rsidRPr="00133602">
          <w:rPr>
            <w:rStyle w:val="Hyperlink"/>
            <w:rFonts w:asciiTheme="majorHAnsi" w:hAnsiTheme="majorHAnsi" w:cstheme="majorHAnsi"/>
            <w:shd w:val="clear" w:color="auto" w:fill="FFFFFF"/>
            <w:lang w:val="en-US"/>
          </w:rPr>
          <w:t>https://doi.org/10.1007/s12529-016-9562-y</w:t>
        </w:r>
      </w:hyperlink>
    </w:p>
    <w:p w14:paraId="305E61CE" w14:textId="77777777" w:rsidR="00EA371F" w:rsidRDefault="00EA371F" w:rsidP="00EA371F">
      <w:pPr>
        <w:pStyle w:val="Literaturverzeichnis"/>
        <w:jc w:val="both"/>
        <w:rPr>
          <w:rFonts w:asciiTheme="majorHAnsi" w:hAnsiTheme="majorHAnsi" w:cstheme="majorHAnsi"/>
          <w:color w:val="000000"/>
          <w:lang w:val="en"/>
        </w:rPr>
      </w:pPr>
      <w:r w:rsidRPr="00061F69">
        <w:rPr>
          <w:rFonts w:asciiTheme="majorHAnsi" w:hAnsiTheme="majorHAnsi" w:cstheme="majorHAnsi"/>
          <w:color w:val="000000" w:themeColor="text1"/>
          <w:shd w:val="clear" w:color="auto" w:fill="FFFFFF"/>
          <w:lang w:val="en-US"/>
        </w:rPr>
        <w:t>Friend, M.,</w:t>
      </w:r>
      <w:r w:rsidRPr="00133602">
        <w:rPr>
          <w:rFonts w:asciiTheme="majorHAnsi" w:hAnsiTheme="majorHAnsi" w:cstheme="majorHAnsi"/>
          <w:color w:val="000000" w:themeColor="text1"/>
          <w:shd w:val="clear" w:color="auto" w:fill="FFFFFF"/>
          <w:lang w:val="en-US"/>
        </w:rPr>
        <w:t> </w:t>
      </w:r>
      <w:r w:rsidRPr="00061F69">
        <w:rPr>
          <w:rFonts w:asciiTheme="majorHAnsi" w:hAnsiTheme="majorHAnsi" w:cstheme="majorHAnsi"/>
          <w:color w:val="000000" w:themeColor="text1"/>
          <w:shd w:val="clear" w:color="auto" w:fill="FFFFFF"/>
          <w:lang w:val="en-US"/>
        </w:rPr>
        <w:t>&amp; Cook, L. (2020)</w:t>
      </w:r>
      <w:r w:rsidRPr="00061F69">
        <w:rPr>
          <w:rFonts w:asciiTheme="majorHAnsi" w:hAnsiTheme="majorHAnsi" w:cstheme="majorHAnsi"/>
          <w:lang w:val="en-US"/>
        </w:rPr>
        <w:t xml:space="preserve"> </w:t>
      </w:r>
      <w:r w:rsidRPr="00061F69">
        <w:rPr>
          <w:rStyle w:val="Hervorhebung"/>
          <w:rFonts w:asciiTheme="majorHAnsi" w:hAnsiTheme="majorHAnsi" w:cstheme="majorHAnsi"/>
          <w:color w:val="000000"/>
          <w:lang w:val="en-US"/>
        </w:rPr>
        <w:t xml:space="preserve">Interactions: Collaboration skills for school professionals </w:t>
      </w:r>
      <w:r w:rsidRPr="002561AC">
        <w:rPr>
          <w:rStyle w:val="Hervorhebung"/>
          <w:rFonts w:asciiTheme="majorHAnsi" w:hAnsiTheme="majorHAnsi" w:cstheme="majorHAnsi"/>
          <w:color w:val="000000"/>
          <w:lang w:val="en-US"/>
        </w:rPr>
        <w:t>(9e</w:t>
      </w:r>
      <w:r w:rsidRPr="00133602">
        <w:rPr>
          <w:rFonts w:asciiTheme="majorHAnsi" w:hAnsiTheme="majorHAnsi" w:cstheme="majorHAnsi"/>
          <w:color w:val="000000"/>
          <w:lang w:val="en-US"/>
        </w:rPr>
        <w:t> </w:t>
      </w:r>
      <w:proofErr w:type="spellStart"/>
      <w:r w:rsidRPr="002561AC">
        <w:rPr>
          <w:rStyle w:val="Hervorhebung"/>
          <w:rFonts w:asciiTheme="majorHAnsi" w:hAnsiTheme="majorHAnsi" w:cstheme="majorHAnsi"/>
          <w:color w:val="000000"/>
          <w:lang w:val="en-US"/>
        </w:rPr>
        <w:t>éd</w:t>
      </w:r>
      <w:proofErr w:type="spellEnd"/>
      <w:r w:rsidRPr="002561AC">
        <w:rPr>
          <w:rStyle w:val="Hervorhebung"/>
          <w:rFonts w:asciiTheme="majorHAnsi" w:hAnsiTheme="majorHAnsi" w:cstheme="majorHAnsi"/>
          <w:color w:val="000000"/>
          <w:lang w:val="en-US"/>
        </w:rPr>
        <w:t>.).</w:t>
      </w:r>
      <w:r>
        <w:rPr>
          <w:rStyle w:val="apple-converted-space"/>
          <w:rFonts w:asciiTheme="majorHAnsi" w:hAnsiTheme="majorHAnsi" w:cstheme="majorHAnsi"/>
          <w:i/>
          <w:iCs/>
          <w:color w:val="000000"/>
          <w:lang w:val="en"/>
        </w:rPr>
        <w:t xml:space="preserve"> </w:t>
      </w:r>
      <w:r w:rsidRPr="00061F69">
        <w:rPr>
          <w:rFonts w:asciiTheme="majorHAnsi" w:hAnsiTheme="majorHAnsi" w:cstheme="majorHAnsi"/>
          <w:color w:val="000000"/>
          <w:lang w:val="en"/>
        </w:rPr>
        <w:t>Pearson.</w:t>
      </w:r>
    </w:p>
    <w:p w14:paraId="783E3AE7" w14:textId="77777777" w:rsidR="00EA371F" w:rsidRPr="00664CA2" w:rsidRDefault="00EA371F" w:rsidP="00EA371F">
      <w:pPr>
        <w:pStyle w:val="Literaturverzeichnis"/>
        <w:jc w:val="both"/>
        <w:rPr>
          <w:lang w:val="en-US"/>
        </w:rPr>
      </w:pPr>
      <w:r w:rsidRPr="00571B8A">
        <w:rPr>
          <w:rFonts w:asciiTheme="majorHAnsi" w:hAnsiTheme="majorHAnsi" w:cstheme="majorHAnsi"/>
          <w:lang w:val="en-US"/>
        </w:rPr>
        <w:t xml:space="preserve">Fuchs, D., &amp; Fuchs, L. S. (2011). </w:t>
      </w:r>
      <w:r w:rsidRPr="00061F69">
        <w:rPr>
          <w:rFonts w:asciiTheme="majorHAnsi" w:hAnsiTheme="majorHAnsi" w:cstheme="majorHAnsi"/>
          <w:lang w:val="en-US"/>
        </w:rPr>
        <w:t xml:space="preserve">Introduction to </w:t>
      </w:r>
      <w:r>
        <w:rPr>
          <w:rFonts w:asciiTheme="majorHAnsi" w:hAnsiTheme="majorHAnsi" w:cstheme="majorHAnsi"/>
          <w:lang w:val="en-US"/>
        </w:rPr>
        <w:t>response to intervention</w:t>
      </w:r>
      <w:r w:rsidRPr="00061F69">
        <w:rPr>
          <w:rFonts w:asciiTheme="majorHAnsi" w:hAnsiTheme="majorHAnsi" w:cstheme="majorHAnsi"/>
          <w:lang w:val="en-US"/>
        </w:rPr>
        <w:t>: What, why and how valid i</w:t>
      </w:r>
      <w:r>
        <w:rPr>
          <w:rFonts w:asciiTheme="majorHAnsi" w:hAnsiTheme="majorHAnsi" w:cstheme="majorHAnsi"/>
          <w:lang w:val="en-US"/>
        </w:rPr>
        <w:t xml:space="preserve">s </w:t>
      </w:r>
      <w:r w:rsidRPr="00061F69">
        <w:rPr>
          <w:rFonts w:asciiTheme="majorHAnsi" w:hAnsiTheme="majorHAnsi" w:cstheme="majorHAnsi"/>
          <w:lang w:val="en-US"/>
        </w:rPr>
        <w:t xml:space="preserve">it? </w:t>
      </w:r>
      <w:r w:rsidRPr="00061F69">
        <w:rPr>
          <w:rFonts w:asciiTheme="majorHAnsi" w:hAnsiTheme="majorHAnsi" w:cstheme="majorHAnsi"/>
          <w:i/>
          <w:iCs/>
          <w:lang w:val="en-US"/>
        </w:rPr>
        <w:t>Reading Research Quarterly, 41</w:t>
      </w:r>
      <w:r w:rsidRPr="00061F69">
        <w:rPr>
          <w:rFonts w:asciiTheme="majorHAnsi" w:hAnsiTheme="majorHAnsi" w:cstheme="majorHAnsi"/>
          <w:lang w:val="en-US"/>
        </w:rPr>
        <w:t xml:space="preserve">(1), 93-99. </w:t>
      </w:r>
      <w:hyperlink r:id="rId30" w:history="1">
        <w:r w:rsidRPr="00061F69">
          <w:rPr>
            <w:rStyle w:val="Hyperlink"/>
            <w:rFonts w:asciiTheme="majorHAnsi" w:eastAsiaTheme="majorEastAsia" w:hAnsiTheme="majorHAnsi" w:cstheme="majorHAnsi"/>
            <w:lang w:val="en-US"/>
          </w:rPr>
          <w:t>https://doi.org/10.1598/RRQ.41.1.4</w:t>
        </w:r>
      </w:hyperlink>
    </w:p>
    <w:p w14:paraId="40C7A7E4" w14:textId="660B56C1" w:rsidR="00792D51" w:rsidRDefault="00792D51" w:rsidP="00EA371F">
      <w:pPr>
        <w:pStyle w:val="Literaturverzeichnis"/>
        <w:jc w:val="both"/>
        <w:rPr>
          <w:rFonts w:asciiTheme="majorHAnsi" w:eastAsiaTheme="minorEastAsia" w:hAnsiTheme="majorHAnsi" w:cstheme="majorHAnsi"/>
          <w:color w:val="000000" w:themeColor="text1"/>
          <w:lang w:val="en-US"/>
        </w:rPr>
      </w:pPr>
      <w:r w:rsidRPr="00B74700">
        <w:rPr>
          <w:rFonts w:asciiTheme="minorHAnsi" w:hAnsiTheme="minorHAnsi" w:cstheme="minorHAnsi"/>
          <w:color w:val="222222"/>
          <w:shd w:val="clear" w:color="auto" w:fill="FFFFFF"/>
          <w:lang w:val="en-US"/>
        </w:rPr>
        <w:t>Hornby, G. (2014). </w:t>
      </w:r>
      <w:r w:rsidRPr="00B74700">
        <w:rPr>
          <w:rFonts w:asciiTheme="minorHAnsi" w:hAnsiTheme="minorHAnsi" w:cstheme="minorHAnsi"/>
          <w:i/>
          <w:iCs/>
          <w:color w:val="222222"/>
          <w:shd w:val="clear" w:color="auto" w:fill="FFFFFF"/>
          <w:lang w:val="en-US"/>
        </w:rPr>
        <w:t>Inclusive special education</w:t>
      </w:r>
      <w:r w:rsidRPr="00B74700">
        <w:rPr>
          <w:rFonts w:asciiTheme="minorHAnsi" w:hAnsiTheme="minorHAnsi" w:cstheme="minorHAnsi"/>
          <w:color w:val="222222"/>
          <w:shd w:val="clear" w:color="auto" w:fill="FFFFFF"/>
          <w:lang w:val="en-US"/>
        </w:rPr>
        <w:t xml:space="preserve">. </w:t>
      </w:r>
      <w:r w:rsidRPr="00B74700">
        <w:rPr>
          <w:rFonts w:asciiTheme="minorHAnsi" w:hAnsiTheme="minorHAnsi" w:cstheme="minorHAnsi"/>
          <w:i/>
          <w:iCs/>
          <w:color w:val="222222"/>
          <w:shd w:val="clear" w:color="auto" w:fill="FFFFFF"/>
          <w:lang w:val="en-US"/>
        </w:rPr>
        <w:t>Evidence-Based practices for children with Special Needs and Disabilities</w:t>
      </w:r>
      <w:r w:rsidRPr="00B74700">
        <w:rPr>
          <w:rFonts w:asciiTheme="minorHAnsi" w:hAnsiTheme="minorHAnsi" w:cstheme="minorHAnsi"/>
          <w:color w:val="222222"/>
          <w:shd w:val="clear" w:color="auto" w:fill="FFFFFF"/>
          <w:lang w:val="en-US"/>
        </w:rPr>
        <w:t>. New York: Springer.</w:t>
      </w:r>
    </w:p>
    <w:p w14:paraId="553CD21C" w14:textId="77777777" w:rsidR="00EA371F" w:rsidRPr="00664CA2" w:rsidRDefault="00EA371F" w:rsidP="00EA371F">
      <w:pPr>
        <w:pStyle w:val="Literaturverzeichnis"/>
        <w:jc w:val="both"/>
        <w:rPr>
          <w:rFonts w:asciiTheme="majorHAnsi" w:hAnsiTheme="majorHAnsi" w:cstheme="majorHAnsi"/>
          <w:color w:val="000000" w:themeColor="text1"/>
          <w:lang w:val="it-IT"/>
        </w:rPr>
      </w:pPr>
      <w:r w:rsidRPr="00B74700">
        <w:rPr>
          <w:rFonts w:asciiTheme="majorHAnsi" w:hAnsiTheme="majorHAnsi" w:cstheme="majorHAnsi"/>
          <w:color w:val="000000" w:themeColor="text1"/>
          <w:lang w:val="en-US"/>
        </w:rPr>
        <w:t xml:space="preserve">Lacombe, N., Juvet, M., </w:t>
      </w:r>
      <w:proofErr w:type="spellStart"/>
      <w:r w:rsidRPr="00B74700">
        <w:rPr>
          <w:rFonts w:asciiTheme="majorHAnsi" w:hAnsiTheme="majorHAnsi" w:cstheme="majorHAnsi"/>
          <w:color w:val="000000" w:themeColor="text1"/>
          <w:lang w:val="en-US"/>
        </w:rPr>
        <w:t>Straccia</w:t>
      </w:r>
      <w:proofErr w:type="spellEnd"/>
      <w:r w:rsidRPr="00B74700">
        <w:rPr>
          <w:rFonts w:asciiTheme="majorHAnsi" w:hAnsiTheme="majorHAnsi" w:cstheme="majorHAnsi"/>
          <w:color w:val="000000" w:themeColor="text1"/>
          <w:lang w:val="en-US"/>
        </w:rPr>
        <w:t xml:space="preserve">, C., &amp; </w:t>
      </w:r>
      <w:proofErr w:type="spellStart"/>
      <w:r w:rsidRPr="00B74700">
        <w:rPr>
          <w:rFonts w:asciiTheme="majorHAnsi" w:hAnsiTheme="majorHAnsi" w:cstheme="majorHAnsi"/>
          <w:color w:val="000000" w:themeColor="text1"/>
          <w:lang w:val="en-US"/>
        </w:rPr>
        <w:t>Squillaci</w:t>
      </w:r>
      <w:proofErr w:type="spellEnd"/>
      <w:r w:rsidRPr="00B74700">
        <w:rPr>
          <w:rFonts w:asciiTheme="majorHAnsi" w:hAnsiTheme="majorHAnsi" w:cstheme="majorHAnsi"/>
          <w:color w:val="000000" w:themeColor="text1"/>
          <w:lang w:val="en-US"/>
        </w:rPr>
        <w:t xml:space="preserve">, M. (sous </w:t>
      </w:r>
      <w:proofErr w:type="spellStart"/>
      <w:r w:rsidRPr="00B74700">
        <w:rPr>
          <w:rFonts w:asciiTheme="majorHAnsi" w:hAnsiTheme="majorHAnsi" w:cstheme="majorHAnsi"/>
          <w:color w:val="000000" w:themeColor="text1"/>
          <w:lang w:val="en-US"/>
        </w:rPr>
        <w:t>presse</w:t>
      </w:r>
      <w:proofErr w:type="spellEnd"/>
      <w:r w:rsidRPr="00B74700">
        <w:rPr>
          <w:rFonts w:asciiTheme="majorHAnsi" w:hAnsiTheme="majorHAnsi" w:cstheme="majorHAnsi"/>
          <w:color w:val="000000" w:themeColor="text1"/>
          <w:lang w:val="en-US"/>
        </w:rPr>
        <w:t xml:space="preserve">). </w:t>
      </w:r>
      <w:r w:rsidRPr="00061F69">
        <w:rPr>
          <w:rFonts w:asciiTheme="majorHAnsi" w:hAnsiTheme="majorHAnsi" w:cstheme="majorHAnsi"/>
          <w:color w:val="000000" w:themeColor="text1"/>
          <w:lang w:val="en-US"/>
        </w:rPr>
        <w:t xml:space="preserve">Trajectory of school burnout during the transition from primary to secondary school. The influence of students' orientation in three distinct sections according to their academic results. </w:t>
      </w:r>
      <w:r w:rsidRPr="00664CA2">
        <w:rPr>
          <w:rFonts w:asciiTheme="majorHAnsi" w:hAnsiTheme="majorHAnsi" w:cstheme="majorHAnsi"/>
          <w:color w:val="000000" w:themeColor="text1"/>
          <w:lang w:val="it-IT"/>
        </w:rPr>
        <w:t>Acta Psychologica.</w:t>
      </w:r>
    </w:p>
    <w:p w14:paraId="1C612364" w14:textId="77777777" w:rsidR="00EA371F" w:rsidRPr="00664CA2" w:rsidRDefault="00EA371F" w:rsidP="00EA371F">
      <w:pPr>
        <w:pStyle w:val="Literaturverzeichnis"/>
        <w:jc w:val="both"/>
        <w:rPr>
          <w:lang w:val="en-US"/>
        </w:rPr>
      </w:pPr>
      <w:r w:rsidRPr="00061F69">
        <w:rPr>
          <w:rFonts w:asciiTheme="majorHAnsi" w:hAnsiTheme="majorHAnsi" w:cstheme="majorHAnsi"/>
          <w:color w:val="000000" w:themeColor="text1"/>
          <w:shd w:val="clear" w:color="auto" w:fill="FFFFFF"/>
          <w:lang w:val="it-CH"/>
        </w:rPr>
        <w:t xml:space="preserve">Lacombe, N., Hey, M., Hofmann, V., Pagnotta, C., &amp; Squillaci, M. (2023). </w:t>
      </w:r>
      <w:r w:rsidRPr="00061F69">
        <w:rPr>
          <w:rFonts w:asciiTheme="majorHAnsi" w:hAnsiTheme="majorHAnsi" w:cstheme="majorHAnsi"/>
          <w:color w:val="000000" w:themeColor="text1"/>
          <w:shd w:val="clear" w:color="auto" w:fill="FFFFFF"/>
          <w:lang w:val="en-US"/>
        </w:rPr>
        <w:t xml:space="preserve">School burnout after COVID-19, prevalence and role of different risk and protective factors in preteen students. </w:t>
      </w:r>
      <w:r w:rsidRPr="00061F69">
        <w:rPr>
          <w:rFonts w:asciiTheme="majorHAnsi" w:hAnsiTheme="majorHAnsi" w:cstheme="majorHAnsi"/>
          <w:i/>
          <w:iCs/>
          <w:color w:val="000000" w:themeColor="text1"/>
          <w:shd w:val="clear" w:color="auto" w:fill="FFFFFF"/>
          <w:lang w:val="en-US"/>
        </w:rPr>
        <w:t>Children</w:t>
      </w:r>
      <w:r w:rsidRPr="00061F69">
        <w:rPr>
          <w:rFonts w:asciiTheme="majorHAnsi" w:hAnsiTheme="majorHAnsi" w:cstheme="majorHAnsi"/>
          <w:color w:val="000000" w:themeColor="text1"/>
          <w:shd w:val="clear" w:color="auto" w:fill="FFFFFF"/>
          <w:lang w:val="en-US"/>
        </w:rPr>
        <w:t xml:space="preserve">, </w:t>
      </w:r>
      <w:r w:rsidRPr="00061F69">
        <w:rPr>
          <w:rFonts w:asciiTheme="majorHAnsi" w:hAnsiTheme="majorHAnsi" w:cstheme="majorHAnsi"/>
          <w:i/>
          <w:iCs/>
          <w:color w:val="000000" w:themeColor="text1"/>
          <w:shd w:val="clear" w:color="auto" w:fill="FFFFFF"/>
          <w:lang w:val="en-US"/>
        </w:rPr>
        <w:t>10</w:t>
      </w:r>
      <w:r w:rsidRPr="00061F69">
        <w:rPr>
          <w:rFonts w:asciiTheme="majorHAnsi" w:hAnsiTheme="majorHAnsi" w:cstheme="majorHAnsi"/>
          <w:color w:val="000000" w:themeColor="text1"/>
          <w:shd w:val="clear" w:color="auto" w:fill="FFFFFF"/>
          <w:lang w:val="en-US"/>
        </w:rPr>
        <w:t>(5), 823.</w:t>
      </w:r>
      <w:r>
        <w:rPr>
          <w:rFonts w:asciiTheme="majorHAnsi" w:hAnsiTheme="majorHAnsi" w:cstheme="majorHAnsi"/>
          <w:color w:val="000000" w:themeColor="text1"/>
          <w:shd w:val="clear" w:color="auto" w:fill="FFFFFF"/>
          <w:lang w:val="en-US"/>
        </w:rPr>
        <w:t xml:space="preserve"> </w:t>
      </w:r>
      <w:hyperlink r:id="rId31" w:history="1">
        <w:r w:rsidRPr="00B44244">
          <w:rPr>
            <w:rStyle w:val="Hyperlink"/>
            <w:rFonts w:asciiTheme="majorHAnsi" w:hAnsiTheme="majorHAnsi" w:cstheme="majorHAnsi"/>
            <w:shd w:val="clear" w:color="auto" w:fill="FFFFFF"/>
            <w:lang w:val="en-US"/>
          </w:rPr>
          <w:t>https://doi.org/10.3390/children10050823</w:t>
        </w:r>
      </w:hyperlink>
    </w:p>
    <w:p w14:paraId="2E45340F" w14:textId="1D0405CD" w:rsidR="00EA371F" w:rsidRPr="00664CA2" w:rsidRDefault="00EA371F" w:rsidP="00EA371F">
      <w:pPr>
        <w:pStyle w:val="Literaturverzeichnis"/>
        <w:jc w:val="both"/>
        <w:rPr>
          <w:lang w:val="fr-CH"/>
        </w:rPr>
      </w:pPr>
      <w:r w:rsidRPr="00133602">
        <w:rPr>
          <w:rFonts w:asciiTheme="majorHAnsi" w:hAnsiTheme="majorHAnsi" w:cstheme="majorHAnsi"/>
          <w:color w:val="000000" w:themeColor="text1"/>
          <w:szCs w:val="24"/>
          <w:shd w:val="clear" w:color="auto" w:fill="FFFFFF"/>
          <w:lang w:val="en-US"/>
        </w:rPr>
        <w:t xml:space="preserve">Lebert-Charron, A., </w:t>
      </w:r>
      <w:proofErr w:type="spellStart"/>
      <w:r w:rsidRPr="00133602">
        <w:rPr>
          <w:rFonts w:asciiTheme="majorHAnsi" w:hAnsiTheme="majorHAnsi" w:cstheme="majorHAnsi"/>
          <w:color w:val="000000" w:themeColor="text1"/>
          <w:szCs w:val="24"/>
          <w:shd w:val="clear" w:color="auto" w:fill="FFFFFF"/>
          <w:lang w:val="en-US"/>
        </w:rPr>
        <w:t>Boujut</w:t>
      </w:r>
      <w:proofErr w:type="spellEnd"/>
      <w:r w:rsidRPr="00133602">
        <w:rPr>
          <w:rFonts w:asciiTheme="majorHAnsi" w:hAnsiTheme="majorHAnsi" w:cstheme="majorHAnsi"/>
          <w:color w:val="000000" w:themeColor="text1"/>
          <w:szCs w:val="24"/>
          <w:shd w:val="clear" w:color="auto" w:fill="FFFFFF"/>
          <w:lang w:val="en-US"/>
        </w:rPr>
        <w:t xml:space="preserve">, E., Beaudoin, M., &amp; Quintard, B. (2021). </w:t>
      </w:r>
      <w:r w:rsidRPr="00664CA2">
        <w:rPr>
          <w:rFonts w:asciiTheme="majorHAnsi" w:hAnsiTheme="majorHAnsi" w:cstheme="majorHAnsi"/>
          <w:color w:val="000000" w:themeColor="text1"/>
          <w:szCs w:val="24"/>
          <w:shd w:val="clear" w:color="auto" w:fill="FFFFFF"/>
          <w:lang w:val="fr-CH"/>
        </w:rPr>
        <w:t xml:space="preserve">Du stress au </w:t>
      </w:r>
      <w:r w:rsidRPr="00664CA2">
        <w:rPr>
          <w:rFonts w:asciiTheme="majorHAnsi" w:hAnsiTheme="majorHAnsi" w:cstheme="majorHAnsi"/>
          <w:i/>
          <w:iCs/>
          <w:color w:val="000000" w:themeColor="text1"/>
          <w:szCs w:val="24"/>
          <w:shd w:val="clear" w:color="auto" w:fill="FFFFFF"/>
          <w:lang w:val="fr-CH"/>
        </w:rPr>
        <w:t>burnout</w:t>
      </w:r>
      <w:r w:rsidRPr="00664CA2">
        <w:rPr>
          <w:rFonts w:asciiTheme="majorHAnsi" w:hAnsiTheme="majorHAnsi" w:cstheme="majorHAnsi"/>
          <w:color w:val="000000" w:themeColor="text1"/>
          <w:szCs w:val="24"/>
          <w:shd w:val="clear" w:color="auto" w:fill="FFFFFF"/>
          <w:lang w:val="fr-CH"/>
        </w:rPr>
        <w:t xml:space="preserve"> scolaire : Définitions, déterminants p</w:t>
      </w:r>
      <w:r w:rsidR="00EC32DB">
        <w:rPr>
          <w:rFonts w:asciiTheme="majorHAnsi" w:hAnsiTheme="majorHAnsi" w:cstheme="majorHAnsi"/>
          <w:color w:val="000000" w:themeColor="text1"/>
          <w:szCs w:val="24"/>
          <w:shd w:val="clear" w:color="auto" w:fill="FFFFFF"/>
          <w:lang w:val="fr-CH"/>
        </w:rPr>
        <w:t>s</w:t>
      </w:r>
      <w:r w:rsidRPr="00664CA2">
        <w:rPr>
          <w:rFonts w:asciiTheme="majorHAnsi" w:hAnsiTheme="majorHAnsi" w:cstheme="majorHAnsi"/>
          <w:color w:val="000000" w:themeColor="text1"/>
          <w:szCs w:val="24"/>
          <w:shd w:val="clear" w:color="auto" w:fill="FFFFFF"/>
          <w:lang w:val="fr-CH"/>
        </w:rPr>
        <w:t xml:space="preserve">ychosociaux, évaluation et pistes de prévention. </w:t>
      </w:r>
      <w:r w:rsidRPr="00664CA2">
        <w:rPr>
          <w:rFonts w:asciiTheme="majorHAnsi" w:hAnsiTheme="majorHAnsi" w:cstheme="majorHAnsi"/>
          <w:i/>
          <w:iCs/>
          <w:color w:val="000000" w:themeColor="text1"/>
          <w:szCs w:val="24"/>
          <w:shd w:val="clear" w:color="auto" w:fill="FFFFFF"/>
          <w:lang w:val="fr-CH"/>
        </w:rPr>
        <w:t>Pratiques psychologiques</w:t>
      </w:r>
      <w:r w:rsidRPr="00664CA2">
        <w:rPr>
          <w:rFonts w:asciiTheme="majorHAnsi" w:hAnsiTheme="majorHAnsi" w:cstheme="majorHAnsi"/>
          <w:color w:val="000000" w:themeColor="text1"/>
          <w:szCs w:val="24"/>
          <w:shd w:val="clear" w:color="auto" w:fill="FFFFFF"/>
          <w:lang w:val="fr-CH"/>
        </w:rPr>
        <w:t xml:space="preserve">, </w:t>
      </w:r>
      <w:r w:rsidRPr="00664CA2">
        <w:rPr>
          <w:rFonts w:asciiTheme="majorHAnsi" w:hAnsiTheme="majorHAnsi" w:cstheme="majorHAnsi"/>
          <w:i/>
          <w:iCs/>
          <w:color w:val="000000" w:themeColor="text1"/>
          <w:szCs w:val="24"/>
          <w:shd w:val="clear" w:color="auto" w:fill="FFFFFF"/>
          <w:lang w:val="fr-CH"/>
        </w:rPr>
        <w:t>27</w:t>
      </w:r>
      <w:r w:rsidRPr="00664CA2">
        <w:rPr>
          <w:rFonts w:asciiTheme="majorHAnsi" w:hAnsiTheme="majorHAnsi" w:cstheme="majorHAnsi"/>
          <w:color w:val="000000" w:themeColor="text1"/>
          <w:szCs w:val="24"/>
          <w:shd w:val="clear" w:color="auto" w:fill="FFFFFF"/>
          <w:lang w:val="fr-CH"/>
        </w:rPr>
        <w:t xml:space="preserve">(1), 57-69. </w:t>
      </w:r>
      <w:hyperlink r:id="rId32" w:history="1">
        <w:r w:rsidRPr="00664CA2">
          <w:rPr>
            <w:rStyle w:val="Hyperlink"/>
            <w:rFonts w:asciiTheme="majorHAnsi" w:hAnsiTheme="majorHAnsi" w:cstheme="majorHAnsi"/>
            <w:szCs w:val="24"/>
            <w:shd w:val="clear" w:color="auto" w:fill="FFFFFF"/>
            <w:lang w:val="fr-CH"/>
          </w:rPr>
          <w:t>https://doi.org/10.1016/j.prps.2019.02.002</w:t>
        </w:r>
      </w:hyperlink>
    </w:p>
    <w:p w14:paraId="6F34665D" w14:textId="4D0BDA62" w:rsidR="00EA371F" w:rsidRPr="00664CA2" w:rsidRDefault="00EA371F" w:rsidP="00EA371F">
      <w:pPr>
        <w:pStyle w:val="Literaturverzeichnis"/>
        <w:jc w:val="both"/>
        <w:rPr>
          <w:lang w:val="fr-CH"/>
        </w:rPr>
      </w:pPr>
      <w:r w:rsidRPr="00664CA2">
        <w:rPr>
          <w:rFonts w:asciiTheme="majorHAnsi" w:hAnsiTheme="majorHAnsi" w:cstheme="majorHAnsi"/>
          <w:color w:val="000000" w:themeColor="text1"/>
          <w:shd w:val="clear" w:color="auto" w:fill="FFFFFF"/>
          <w:lang w:val="fr-CH"/>
        </w:rPr>
        <w:t xml:space="preserve">Liu, X., Zhang, L., Wu, G., Yang, R., &amp; Liang, Y. (2021). </w:t>
      </w:r>
      <w:r w:rsidRPr="00061F69">
        <w:rPr>
          <w:rFonts w:asciiTheme="majorHAnsi" w:hAnsiTheme="majorHAnsi" w:cstheme="majorHAnsi"/>
          <w:color w:val="000000" w:themeColor="text1"/>
          <w:shd w:val="clear" w:color="auto" w:fill="FFFFFF"/>
          <w:lang w:val="en-US"/>
        </w:rPr>
        <w:t>The longitudinal relationship between sleep problems and school burnout in adolescents: A cross-lagged panel analysis. </w:t>
      </w:r>
      <w:r w:rsidRPr="00664CA2">
        <w:rPr>
          <w:rFonts w:asciiTheme="majorHAnsi" w:hAnsiTheme="majorHAnsi" w:cstheme="majorHAnsi"/>
          <w:i/>
          <w:iCs/>
          <w:color w:val="000000" w:themeColor="text1"/>
          <w:shd w:val="clear" w:color="auto" w:fill="FFFFFF"/>
          <w:lang w:val="fr-CH"/>
        </w:rPr>
        <w:t>Journal of Adolescence</w:t>
      </w:r>
      <w:r w:rsidRPr="00664CA2">
        <w:rPr>
          <w:rFonts w:asciiTheme="majorHAnsi" w:hAnsiTheme="majorHAnsi" w:cstheme="majorHAnsi"/>
          <w:color w:val="000000" w:themeColor="text1"/>
          <w:shd w:val="clear" w:color="auto" w:fill="FFFFFF"/>
          <w:lang w:val="fr-CH"/>
        </w:rPr>
        <w:t>, </w:t>
      </w:r>
      <w:r w:rsidRPr="00664CA2">
        <w:rPr>
          <w:rFonts w:asciiTheme="majorHAnsi" w:hAnsiTheme="majorHAnsi" w:cstheme="majorHAnsi"/>
          <w:i/>
          <w:iCs/>
          <w:color w:val="000000" w:themeColor="text1"/>
          <w:shd w:val="clear" w:color="auto" w:fill="FFFFFF"/>
          <w:lang w:val="fr-CH"/>
        </w:rPr>
        <w:t>88</w:t>
      </w:r>
      <w:r w:rsidRPr="00664CA2">
        <w:rPr>
          <w:rFonts w:asciiTheme="majorHAnsi" w:hAnsiTheme="majorHAnsi" w:cstheme="majorHAnsi"/>
          <w:color w:val="000000" w:themeColor="text1"/>
          <w:shd w:val="clear" w:color="auto" w:fill="FFFFFF"/>
          <w:lang w:val="fr-CH"/>
        </w:rPr>
        <w:t xml:space="preserve">(1), 14-24. </w:t>
      </w:r>
      <w:hyperlink r:id="rId33" w:history="1">
        <w:r w:rsidR="001A1204" w:rsidRPr="00AB2FB4">
          <w:rPr>
            <w:rStyle w:val="Hyperlink"/>
            <w:rFonts w:asciiTheme="majorHAnsi" w:hAnsiTheme="majorHAnsi" w:cstheme="majorHAnsi"/>
            <w:shd w:val="clear" w:color="auto" w:fill="FFFFFF"/>
            <w:lang w:val="fr-CH"/>
          </w:rPr>
          <w:t>https://doi.org/10.1016/j.adolescence.2021.02.001</w:t>
        </w:r>
      </w:hyperlink>
      <w:r w:rsidR="001A1204">
        <w:rPr>
          <w:rFonts w:asciiTheme="majorHAnsi" w:hAnsiTheme="majorHAnsi" w:cstheme="majorHAnsi"/>
          <w:bCs/>
          <w:iCs/>
          <w:shd w:val="clear" w:color="auto" w:fill="FFFFFF"/>
          <w:lang w:val="fr-CH"/>
        </w:rPr>
        <w:t xml:space="preserve"> </w:t>
      </w:r>
    </w:p>
    <w:p w14:paraId="0910F162" w14:textId="4A2AA048" w:rsidR="00EA371F" w:rsidRPr="005C4423" w:rsidRDefault="00B933C8" w:rsidP="005C4423">
      <w:pPr>
        <w:pStyle w:val="Literaturverzeichnis"/>
        <w:rPr>
          <w:lang w:val="fr-CH"/>
        </w:rPr>
      </w:pPr>
      <w:r w:rsidRPr="005C4423">
        <w:rPr>
          <w:lang w:val="fr-CH"/>
        </w:rPr>
        <w:t xml:space="preserve">Loi </w:t>
      </w:r>
      <w:r w:rsidR="00227C39" w:rsidRPr="005C4423">
        <w:rPr>
          <w:lang w:val="fr-CH"/>
        </w:rPr>
        <w:t xml:space="preserve">fribourgeoise </w:t>
      </w:r>
      <w:r w:rsidR="00C37316" w:rsidRPr="005C4423">
        <w:rPr>
          <w:lang w:val="fr-CH"/>
        </w:rPr>
        <w:t>sur la pédagogie spécialisée</w:t>
      </w:r>
      <w:r w:rsidRPr="005C4423">
        <w:rPr>
          <w:lang w:val="fr-CH"/>
        </w:rPr>
        <w:t xml:space="preserve"> (LPS) </w:t>
      </w:r>
      <w:r w:rsidR="00C37316" w:rsidRPr="005C4423">
        <w:rPr>
          <w:lang w:val="fr-CH"/>
        </w:rPr>
        <w:t xml:space="preserve">du 11.10.2017 (version entrée en vigueur le 01.09.2022) </w:t>
      </w:r>
      <w:hyperlink r:id="rId34" w:history="1">
        <w:r w:rsidR="00C37316" w:rsidRPr="005C4423">
          <w:rPr>
            <w:rStyle w:val="Hyperlink"/>
            <w:rFonts w:asciiTheme="majorHAnsi" w:hAnsiTheme="majorHAnsi" w:cstheme="majorHAnsi"/>
            <w:shd w:val="clear" w:color="auto" w:fill="FFFFFF"/>
            <w:lang w:val="fr-CH"/>
          </w:rPr>
          <w:t>https://bdlf.fr.ch/app/fr/texts_of_law/411.5.1</w:t>
        </w:r>
      </w:hyperlink>
      <w:r w:rsidR="005C4423" w:rsidRPr="005C4423">
        <w:rPr>
          <w:rStyle w:val="Hyperlink"/>
          <w:rFonts w:asciiTheme="majorHAnsi" w:hAnsiTheme="majorHAnsi" w:cstheme="majorHAnsi"/>
          <w:shd w:val="clear" w:color="auto" w:fill="FFFFFF"/>
          <w:lang w:val="fr-CH"/>
        </w:rPr>
        <w:t xml:space="preserve"> </w:t>
      </w:r>
      <w:r w:rsidR="005C4423" w:rsidRPr="005C4423">
        <w:rPr>
          <w:lang w:val="fr-CH"/>
        </w:rPr>
        <w:t xml:space="preserve">  </w:t>
      </w:r>
    </w:p>
    <w:p w14:paraId="6B0733EF" w14:textId="21FB281B" w:rsidR="00EA371F" w:rsidRPr="00664CA2" w:rsidRDefault="00EA371F" w:rsidP="00EA371F">
      <w:pPr>
        <w:pStyle w:val="Literaturverzeichnis"/>
        <w:jc w:val="both"/>
        <w:rPr>
          <w:lang w:val="en-US"/>
        </w:rPr>
      </w:pPr>
      <w:r w:rsidRPr="00061F69">
        <w:rPr>
          <w:rFonts w:asciiTheme="majorHAnsi" w:hAnsiTheme="majorHAnsi" w:cstheme="majorHAnsi"/>
          <w:color w:val="000000" w:themeColor="text1"/>
          <w:lang w:val="en-US"/>
        </w:rPr>
        <w:lastRenderedPageBreak/>
        <w:t>Maslach, C.,</w:t>
      </w:r>
      <w:r w:rsidRPr="00133602">
        <w:rPr>
          <w:rFonts w:asciiTheme="majorHAnsi" w:hAnsiTheme="majorHAnsi" w:cstheme="majorHAnsi"/>
          <w:color w:val="000000" w:themeColor="text1"/>
          <w:lang w:val="en-US"/>
        </w:rPr>
        <w:t> </w:t>
      </w:r>
      <w:r w:rsidRPr="00061F69">
        <w:rPr>
          <w:rFonts w:asciiTheme="majorHAnsi" w:hAnsiTheme="majorHAnsi" w:cstheme="majorHAnsi"/>
          <w:color w:val="000000" w:themeColor="text1"/>
          <w:lang w:val="en-US"/>
        </w:rPr>
        <w:t>&amp; Jackson, S.</w:t>
      </w:r>
      <w:r>
        <w:rPr>
          <w:rFonts w:asciiTheme="majorHAnsi" w:hAnsiTheme="majorHAnsi" w:cstheme="majorHAnsi"/>
          <w:color w:val="000000" w:themeColor="text1"/>
          <w:lang w:val="en-US"/>
        </w:rPr>
        <w:t xml:space="preserve"> E.</w:t>
      </w:r>
      <w:r w:rsidRPr="00061F69">
        <w:rPr>
          <w:rFonts w:asciiTheme="majorHAnsi" w:hAnsiTheme="majorHAnsi" w:cstheme="majorHAnsi"/>
          <w:color w:val="000000" w:themeColor="text1"/>
          <w:lang w:val="en-US"/>
        </w:rPr>
        <w:t xml:space="preserve"> (1981). The Measurement of Experienced Burnout. </w:t>
      </w:r>
      <w:r w:rsidRPr="00061F69">
        <w:rPr>
          <w:rFonts w:asciiTheme="majorHAnsi" w:hAnsiTheme="majorHAnsi" w:cstheme="majorHAnsi"/>
          <w:i/>
          <w:iCs/>
          <w:color w:val="000000" w:themeColor="text1"/>
          <w:lang w:val="en-US"/>
        </w:rPr>
        <w:t>Journal of Organizational Behavior</w:t>
      </w:r>
      <w:r w:rsidRPr="00061F69">
        <w:rPr>
          <w:rFonts w:asciiTheme="majorHAnsi" w:hAnsiTheme="majorHAnsi" w:cstheme="majorHAnsi"/>
          <w:color w:val="000000" w:themeColor="text1"/>
          <w:lang w:val="en-US"/>
        </w:rPr>
        <w:t xml:space="preserve">, </w:t>
      </w:r>
      <w:r w:rsidRPr="00061F69">
        <w:rPr>
          <w:rFonts w:asciiTheme="majorHAnsi" w:hAnsiTheme="majorHAnsi" w:cstheme="majorHAnsi"/>
          <w:i/>
          <w:iCs/>
          <w:color w:val="000000" w:themeColor="text1"/>
          <w:lang w:val="en-US"/>
        </w:rPr>
        <w:t>2</w:t>
      </w:r>
      <w:r w:rsidRPr="00061F69">
        <w:rPr>
          <w:rFonts w:asciiTheme="majorHAnsi" w:hAnsiTheme="majorHAnsi" w:cstheme="majorHAnsi"/>
          <w:color w:val="000000" w:themeColor="text1"/>
          <w:lang w:val="en-US"/>
        </w:rPr>
        <w:t>, 99</w:t>
      </w:r>
      <w:r w:rsidRPr="00061F69">
        <w:rPr>
          <w:rFonts w:ascii="Cambria Math" w:hAnsi="Cambria Math" w:cs="Cambria Math"/>
          <w:color w:val="000000" w:themeColor="text1"/>
          <w:lang w:val="en-US"/>
        </w:rPr>
        <w:t>‑</w:t>
      </w:r>
      <w:r w:rsidRPr="00061F69">
        <w:rPr>
          <w:rFonts w:asciiTheme="majorHAnsi" w:hAnsiTheme="majorHAnsi" w:cstheme="majorHAnsi"/>
          <w:color w:val="000000" w:themeColor="text1"/>
          <w:lang w:val="en-US"/>
        </w:rPr>
        <w:t xml:space="preserve">113. </w:t>
      </w:r>
      <w:hyperlink r:id="rId35" w:history="1">
        <w:r w:rsidR="00276890" w:rsidRPr="00AB2FB4">
          <w:rPr>
            <w:rStyle w:val="Hyperlink"/>
            <w:rFonts w:asciiTheme="majorHAnsi" w:hAnsiTheme="majorHAnsi" w:cstheme="majorHAnsi"/>
            <w:lang w:val="en-US"/>
          </w:rPr>
          <w:t>https://doi.org/10.1002/job.4030020205</w:t>
        </w:r>
      </w:hyperlink>
      <w:r w:rsidR="00276890">
        <w:rPr>
          <w:rFonts w:asciiTheme="majorHAnsi" w:hAnsiTheme="majorHAnsi" w:cstheme="majorHAnsi"/>
          <w:bCs/>
          <w:iCs/>
          <w:lang w:val="en-US"/>
        </w:rPr>
        <w:t xml:space="preserve"> </w:t>
      </w:r>
      <w:r w:rsidR="00276890" w:rsidRPr="005C0514">
        <w:rPr>
          <w:lang w:val="en-US"/>
        </w:rPr>
        <w:t xml:space="preserve"> </w:t>
      </w:r>
    </w:p>
    <w:p w14:paraId="37ECCA83" w14:textId="77777777" w:rsidR="00EA371F" w:rsidRPr="00664CA2" w:rsidRDefault="00EA371F" w:rsidP="00EA371F">
      <w:pPr>
        <w:pStyle w:val="Literaturverzeichnis"/>
        <w:jc w:val="both"/>
        <w:rPr>
          <w:lang w:val="en-US"/>
        </w:rPr>
      </w:pPr>
      <w:r w:rsidRPr="00061F69">
        <w:rPr>
          <w:rFonts w:asciiTheme="majorHAnsi" w:hAnsiTheme="majorHAnsi" w:cstheme="majorHAnsi"/>
          <w:color w:val="000000" w:themeColor="text1"/>
          <w:shd w:val="clear" w:color="auto" w:fill="FFFFFF"/>
          <w:lang w:val="en-US"/>
        </w:rPr>
        <w:t xml:space="preserve">Meylan, N., </w:t>
      </w:r>
      <w:proofErr w:type="spellStart"/>
      <w:r w:rsidRPr="00061F69">
        <w:rPr>
          <w:rFonts w:asciiTheme="majorHAnsi" w:hAnsiTheme="majorHAnsi" w:cstheme="majorHAnsi"/>
          <w:color w:val="000000" w:themeColor="text1"/>
          <w:shd w:val="clear" w:color="auto" w:fill="FFFFFF"/>
          <w:lang w:val="en-US"/>
        </w:rPr>
        <w:t>Doudin</w:t>
      </w:r>
      <w:proofErr w:type="spellEnd"/>
      <w:r w:rsidRPr="00061F69">
        <w:rPr>
          <w:rFonts w:asciiTheme="majorHAnsi" w:hAnsiTheme="majorHAnsi" w:cstheme="majorHAnsi"/>
          <w:color w:val="000000" w:themeColor="text1"/>
          <w:shd w:val="clear" w:color="auto" w:fill="FFFFFF"/>
          <w:lang w:val="en-US"/>
        </w:rPr>
        <w:t>, P.</w:t>
      </w:r>
      <w:r>
        <w:rPr>
          <w:rFonts w:asciiTheme="majorHAnsi" w:hAnsiTheme="majorHAnsi" w:cstheme="majorHAnsi"/>
          <w:color w:val="000000" w:themeColor="text1"/>
          <w:shd w:val="clear" w:color="auto" w:fill="FFFFFF"/>
          <w:lang w:val="en-US"/>
        </w:rPr>
        <w:t>-</w:t>
      </w:r>
      <w:r w:rsidRPr="00061F69">
        <w:rPr>
          <w:rFonts w:asciiTheme="majorHAnsi" w:hAnsiTheme="majorHAnsi" w:cstheme="majorHAnsi"/>
          <w:color w:val="000000" w:themeColor="text1"/>
          <w:shd w:val="clear" w:color="auto" w:fill="FFFFFF"/>
          <w:lang w:val="en-US"/>
        </w:rPr>
        <w:t>A., Antonietti, J.</w:t>
      </w:r>
      <w:r>
        <w:rPr>
          <w:rFonts w:asciiTheme="majorHAnsi" w:hAnsiTheme="majorHAnsi" w:cstheme="majorHAnsi"/>
          <w:color w:val="000000" w:themeColor="text1"/>
          <w:shd w:val="clear" w:color="auto" w:fill="FFFFFF"/>
          <w:lang w:val="en-US"/>
        </w:rPr>
        <w:t>-</w:t>
      </w:r>
      <w:r w:rsidRPr="00061F69">
        <w:rPr>
          <w:rFonts w:asciiTheme="majorHAnsi" w:hAnsiTheme="majorHAnsi" w:cstheme="majorHAnsi"/>
          <w:color w:val="000000" w:themeColor="text1"/>
          <w:shd w:val="clear" w:color="auto" w:fill="FFFFFF"/>
          <w:lang w:val="en-US"/>
        </w:rPr>
        <w:t>P.,</w:t>
      </w:r>
      <w:r w:rsidRPr="00133602">
        <w:rPr>
          <w:rFonts w:asciiTheme="majorHAnsi" w:hAnsiTheme="majorHAnsi" w:cstheme="majorHAnsi"/>
          <w:color w:val="000000" w:themeColor="text1"/>
          <w:shd w:val="clear" w:color="auto" w:fill="FFFFFF"/>
          <w:lang w:val="en-US"/>
        </w:rPr>
        <w:t> </w:t>
      </w:r>
      <w:r w:rsidRPr="00061F69">
        <w:rPr>
          <w:rFonts w:asciiTheme="majorHAnsi" w:hAnsiTheme="majorHAnsi" w:cstheme="majorHAnsi"/>
          <w:color w:val="000000" w:themeColor="text1"/>
          <w:shd w:val="clear" w:color="auto" w:fill="FFFFFF"/>
          <w:lang w:val="en-US"/>
        </w:rPr>
        <w:t xml:space="preserve">&amp; </w:t>
      </w:r>
      <w:proofErr w:type="spellStart"/>
      <w:r w:rsidRPr="00061F69">
        <w:rPr>
          <w:rFonts w:asciiTheme="majorHAnsi" w:hAnsiTheme="majorHAnsi" w:cstheme="majorHAnsi"/>
          <w:color w:val="000000" w:themeColor="text1"/>
          <w:shd w:val="clear" w:color="auto" w:fill="FFFFFF"/>
          <w:lang w:val="en-US"/>
        </w:rPr>
        <w:t>Stéphan</w:t>
      </w:r>
      <w:proofErr w:type="spellEnd"/>
      <w:r w:rsidRPr="00061F69">
        <w:rPr>
          <w:rFonts w:asciiTheme="majorHAnsi" w:hAnsiTheme="majorHAnsi" w:cstheme="majorHAnsi"/>
          <w:color w:val="000000" w:themeColor="text1"/>
          <w:shd w:val="clear" w:color="auto" w:fill="FFFFFF"/>
          <w:lang w:val="en-US"/>
        </w:rPr>
        <w:t xml:space="preserve">, P. (2015). French validation of the school burnout inventory. </w:t>
      </w:r>
      <w:r w:rsidRPr="00061F69">
        <w:rPr>
          <w:rFonts w:asciiTheme="majorHAnsi" w:hAnsiTheme="majorHAnsi" w:cstheme="majorHAnsi"/>
          <w:i/>
          <w:iCs/>
          <w:color w:val="000000" w:themeColor="text1"/>
          <w:shd w:val="clear" w:color="auto" w:fill="FFFFFF"/>
          <w:lang w:val="en-US"/>
        </w:rPr>
        <w:t>European Review of Applied Psychology</w:t>
      </w:r>
      <w:r w:rsidRPr="00061F69">
        <w:rPr>
          <w:rFonts w:asciiTheme="majorHAnsi" w:hAnsiTheme="majorHAnsi" w:cstheme="majorHAnsi"/>
          <w:color w:val="000000" w:themeColor="text1"/>
          <w:shd w:val="clear" w:color="auto" w:fill="FFFFFF"/>
          <w:lang w:val="en-US"/>
        </w:rPr>
        <w:t xml:space="preserve">, </w:t>
      </w:r>
      <w:r w:rsidRPr="00061F69">
        <w:rPr>
          <w:rFonts w:asciiTheme="majorHAnsi" w:hAnsiTheme="majorHAnsi" w:cstheme="majorHAnsi"/>
          <w:i/>
          <w:iCs/>
          <w:color w:val="000000" w:themeColor="text1"/>
          <w:shd w:val="clear" w:color="auto" w:fill="FFFFFF"/>
          <w:lang w:val="en-US"/>
        </w:rPr>
        <w:t>65</w:t>
      </w:r>
      <w:r w:rsidRPr="00061F69">
        <w:rPr>
          <w:rFonts w:asciiTheme="majorHAnsi" w:hAnsiTheme="majorHAnsi" w:cstheme="majorHAnsi"/>
          <w:color w:val="000000" w:themeColor="text1"/>
          <w:shd w:val="clear" w:color="auto" w:fill="FFFFFF"/>
          <w:lang w:val="en-US"/>
        </w:rPr>
        <w:t>(6), 285-293.</w:t>
      </w:r>
      <w:r>
        <w:rPr>
          <w:rFonts w:asciiTheme="majorHAnsi" w:hAnsiTheme="majorHAnsi" w:cstheme="majorHAnsi"/>
          <w:color w:val="000000" w:themeColor="text1"/>
          <w:shd w:val="clear" w:color="auto" w:fill="FFFFFF"/>
          <w:lang w:val="en-US"/>
        </w:rPr>
        <w:t xml:space="preserve"> </w:t>
      </w:r>
      <w:hyperlink r:id="rId36" w:history="1">
        <w:r w:rsidRPr="00B44244">
          <w:rPr>
            <w:rStyle w:val="Hyperlink"/>
            <w:rFonts w:asciiTheme="majorHAnsi" w:hAnsiTheme="majorHAnsi" w:cstheme="majorHAnsi"/>
            <w:shd w:val="clear" w:color="auto" w:fill="FFFFFF"/>
            <w:lang w:val="en-US"/>
          </w:rPr>
          <w:t>https://doi.org/10.1016/j.erap.2015.10.002</w:t>
        </w:r>
      </w:hyperlink>
    </w:p>
    <w:p w14:paraId="7B1683A0" w14:textId="77777777" w:rsidR="00EA371F" w:rsidRPr="00B74700" w:rsidRDefault="00EA371F" w:rsidP="00EA371F">
      <w:pPr>
        <w:pStyle w:val="Literaturverzeichnis"/>
        <w:jc w:val="both"/>
        <w:rPr>
          <w:rFonts w:asciiTheme="majorHAnsi" w:hAnsiTheme="majorHAnsi" w:cstheme="majorHAnsi"/>
          <w:lang w:val="en-US"/>
        </w:rPr>
      </w:pPr>
      <w:r w:rsidRPr="00133602">
        <w:rPr>
          <w:rFonts w:asciiTheme="majorHAnsi" w:hAnsiTheme="majorHAnsi" w:cstheme="majorHAnsi"/>
          <w:color w:val="000000" w:themeColor="text1"/>
          <w:szCs w:val="24"/>
          <w:shd w:val="clear" w:color="auto" w:fill="FFFFFF"/>
          <w:lang w:val="en-US"/>
        </w:rPr>
        <w:t xml:space="preserve">Parviainen, M., </w:t>
      </w:r>
      <w:proofErr w:type="spellStart"/>
      <w:r w:rsidRPr="00133602">
        <w:rPr>
          <w:rFonts w:asciiTheme="majorHAnsi" w:hAnsiTheme="majorHAnsi" w:cstheme="majorHAnsi"/>
          <w:color w:val="000000" w:themeColor="text1"/>
          <w:szCs w:val="24"/>
          <w:shd w:val="clear" w:color="auto" w:fill="FFFFFF"/>
          <w:lang w:val="en-US"/>
        </w:rPr>
        <w:t>Aunola</w:t>
      </w:r>
      <w:proofErr w:type="spellEnd"/>
      <w:r w:rsidRPr="00133602">
        <w:rPr>
          <w:rFonts w:asciiTheme="majorHAnsi" w:hAnsiTheme="majorHAnsi" w:cstheme="majorHAnsi"/>
          <w:color w:val="000000" w:themeColor="text1"/>
          <w:szCs w:val="24"/>
          <w:shd w:val="clear" w:color="auto" w:fill="FFFFFF"/>
          <w:lang w:val="en-US"/>
        </w:rPr>
        <w:t xml:space="preserve">, K., </w:t>
      </w:r>
      <w:proofErr w:type="spellStart"/>
      <w:r w:rsidRPr="00133602">
        <w:rPr>
          <w:rFonts w:asciiTheme="majorHAnsi" w:hAnsiTheme="majorHAnsi" w:cstheme="majorHAnsi"/>
          <w:color w:val="000000" w:themeColor="text1"/>
          <w:szCs w:val="24"/>
          <w:shd w:val="clear" w:color="auto" w:fill="FFFFFF"/>
          <w:lang w:val="en-US"/>
        </w:rPr>
        <w:t>Torppa</w:t>
      </w:r>
      <w:proofErr w:type="spellEnd"/>
      <w:r w:rsidRPr="00133602">
        <w:rPr>
          <w:rFonts w:asciiTheme="majorHAnsi" w:hAnsiTheme="majorHAnsi" w:cstheme="majorHAnsi"/>
          <w:color w:val="000000" w:themeColor="text1"/>
          <w:szCs w:val="24"/>
          <w:shd w:val="clear" w:color="auto" w:fill="FFFFFF"/>
          <w:lang w:val="en-US"/>
        </w:rPr>
        <w:t xml:space="preserve">, M., </w:t>
      </w:r>
      <w:proofErr w:type="spellStart"/>
      <w:r w:rsidRPr="00133602">
        <w:rPr>
          <w:rFonts w:asciiTheme="majorHAnsi" w:hAnsiTheme="majorHAnsi" w:cstheme="majorHAnsi"/>
          <w:color w:val="000000" w:themeColor="text1"/>
          <w:szCs w:val="24"/>
          <w:shd w:val="clear" w:color="auto" w:fill="FFFFFF"/>
          <w:lang w:val="en-US"/>
        </w:rPr>
        <w:t>Lerkkanen</w:t>
      </w:r>
      <w:proofErr w:type="spellEnd"/>
      <w:r w:rsidRPr="00133602">
        <w:rPr>
          <w:rFonts w:asciiTheme="majorHAnsi" w:hAnsiTheme="majorHAnsi" w:cstheme="majorHAnsi"/>
          <w:color w:val="000000" w:themeColor="text1"/>
          <w:szCs w:val="24"/>
          <w:shd w:val="clear" w:color="auto" w:fill="FFFFFF"/>
          <w:lang w:val="en-US"/>
        </w:rPr>
        <w:t xml:space="preserve">, M.-K., </w:t>
      </w:r>
      <w:proofErr w:type="spellStart"/>
      <w:r w:rsidRPr="00133602">
        <w:rPr>
          <w:rFonts w:asciiTheme="majorHAnsi" w:hAnsiTheme="majorHAnsi" w:cstheme="majorHAnsi"/>
          <w:color w:val="000000" w:themeColor="text1"/>
          <w:szCs w:val="24"/>
          <w:shd w:val="clear" w:color="auto" w:fill="FFFFFF"/>
          <w:lang w:val="en-US"/>
        </w:rPr>
        <w:t>Poikkeus</w:t>
      </w:r>
      <w:proofErr w:type="spellEnd"/>
      <w:r w:rsidRPr="00133602">
        <w:rPr>
          <w:rFonts w:asciiTheme="majorHAnsi" w:hAnsiTheme="majorHAnsi" w:cstheme="majorHAnsi"/>
          <w:color w:val="000000" w:themeColor="text1"/>
          <w:szCs w:val="24"/>
          <w:shd w:val="clear" w:color="auto" w:fill="FFFFFF"/>
          <w:lang w:val="en-US"/>
        </w:rPr>
        <w:t xml:space="preserve">, A.-M., &amp; </w:t>
      </w:r>
      <w:proofErr w:type="spellStart"/>
      <w:r w:rsidRPr="00133602">
        <w:rPr>
          <w:rFonts w:asciiTheme="majorHAnsi" w:hAnsiTheme="majorHAnsi" w:cstheme="majorHAnsi"/>
          <w:color w:val="000000" w:themeColor="text1"/>
          <w:szCs w:val="24"/>
          <w:shd w:val="clear" w:color="auto" w:fill="FFFFFF"/>
          <w:lang w:val="en-US"/>
        </w:rPr>
        <w:t>Vasalampi</w:t>
      </w:r>
      <w:proofErr w:type="spellEnd"/>
      <w:r w:rsidRPr="00133602">
        <w:rPr>
          <w:rFonts w:asciiTheme="majorHAnsi" w:hAnsiTheme="majorHAnsi" w:cstheme="majorHAnsi"/>
          <w:color w:val="000000" w:themeColor="text1"/>
          <w:szCs w:val="24"/>
          <w:shd w:val="clear" w:color="auto" w:fill="FFFFFF"/>
          <w:lang w:val="en-US"/>
        </w:rPr>
        <w:t xml:space="preserve">, K. (2021). </w:t>
      </w:r>
      <w:r w:rsidRPr="00061F69">
        <w:rPr>
          <w:rFonts w:asciiTheme="majorHAnsi" w:hAnsiTheme="majorHAnsi" w:cstheme="majorHAnsi"/>
          <w:color w:val="000000" w:themeColor="text1"/>
          <w:szCs w:val="24"/>
          <w:shd w:val="clear" w:color="auto" w:fill="FFFFFF"/>
          <w:lang w:val="en-US"/>
        </w:rPr>
        <w:t xml:space="preserve">Early antecedents of </w:t>
      </w:r>
      <w:r w:rsidRPr="00EA371F">
        <w:rPr>
          <w:rFonts w:asciiTheme="majorHAnsi" w:hAnsiTheme="majorHAnsi" w:cstheme="majorHAnsi"/>
          <w:color w:val="000000" w:themeColor="text1"/>
          <w:szCs w:val="24"/>
          <w:shd w:val="clear" w:color="auto" w:fill="FFFFFF"/>
          <w:lang w:val="en-US"/>
        </w:rPr>
        <w:t xml:space="preserve">school burnout in upper secondary education: A five-year longitudinal study. </w:t>
      </w:r>
      <w:r w:rsidRPr="00EA371F">
        <w:rPr>
          <w:rFonts w:asciiTheme="majorHAnsi" w:hAnsiTheme="majorHAnsi" w:cstheme="majorHAnsi"/>
          <w:i/>
          <w:iCs/>
          <w:color w:val="000000" w:themeColor="text1"/>
          <w:szCs w:val="24"/>
          <w:shd w:val="clear" w:color="auto" w:fill="FFFFFF"/>
          <w:lang w:val="en-US"/>
        </w:rPr>
        <w:t>Journal of Youth and Adolescence</w:t>
      </w:r>
      <w:r w:rsidRPr="00EA371F">
        <w:rPr>
          <w:rFonts w:asciiTheme="majorHAnsi" w:hAnsiTheme="majorHAnsi" w:cstheme="majorHAnsi"/>
          <w:color w:val="000000" w:themeColor="text1"/>
          <w:szCs w:val="24"/>
          <w:shd w:val="clear" w:color="auto" w:fill="FFFFFF"/>
          <w:lang w:val="en-US"/>
        </w:rPr>
        <w:t xml:space="preserve">, </w:t>
      </w:r>
      <w:r w:rsidRPr="00EA371F">
        <w:rPr>
          <w:rFonts w:asciiTheme="majorHAnsi" w:hAnsiTheme="majorHAnsi" w:cstheme="majorHAnsi"/>
          <w:i/>
          <w:iCs/>
          <w:color w:val="000000" w:themeColor="text1"/>
          <w:szCs w:val="24"/>
          <w:shd w:val="clear" w:color="auto" w:fill="FFFFFF"/>
          <w:lang w:val="en-US"/>
        </w:rPr>
        <w:t>50</w:t>
      </w:r>
      <w:r w:rsidRPr="00EA371F">
        <w:rPr>
          <w:rFonts w:asciiTheme="majorHAnsi" w:hAnsiTheme="majorHAnsi" w:cstheme="majorHAnsi"/>
          <w:color w:val="000000" w:themeColor="text1"/>
          <w:szCs w:val="24"/>
          <w:shd w:val="clear" w:color="auto" w:fill="FFFFFF"/>
          <w:lang w:val="en-US"/>
        </w:rPr>
        <w:t xml:space="preserve">(2), 231-245. </w:t>
      </w:r>
      <w:hyperlink r:id="rId37" w:history="1">
        <w:r w:rsidRPr="00EA371F">
          <w:rPr>
            <w:rStyle w:val="Hyperlink"/>
            <w:rFonts w:asciiTheme="majorHAnsi" w:hAnsiTheme="majorHAnsi" w:cstheme="majorHAnsi"/>
            <w:szCs w:val="24"/>
            <w:shd w:val="clear" w:color="auto" w:fill="FFFFFF"/>
            <w:lang w:val="en-US"/>
          </w:rPr>
          <w:t>https://doi.org/10.1007/s10964-020-01331-w</w:t>
        </w:r>
      </w:hyperlink>
    </w:p>
    <w:p w14:paraId="4EED4D8C" w14:textId="77777777" w:rsidR="00EA371F" w:rsidRPr="00664CA2" w:rsidRDefault="00EA371F" w:rsidP="00EA371F">
      <w:pPr>
        <w:pStyle w:val="Literaturverzeichnis"/>
        <w:jc w:val="both"/>
        <w:rPr>
          <w:rFonts w:asciiTheme="majorHAnsi" w:hAnsiTheme="majorHAnsi" w:cstheme="majorHAnsi"/>
          <w:lang w:val="en-US"/>
        </w:rPr>
      </w:pPr>
      <w:proofErr w:type="spellStart"/>
      <w:proofErr w:type="gramStart"/>
      <w:r w:rsidRPr="00EA371F">
        <w:rPr>
          <w:rFonts w:asciiTheme="majorHAnsi" w:eastAsiaTheme="minorEastAsia" w:hAnsiTheme="majorHAnsi" w:cstheme="majorHAnsi"/>
          <w:color w:val="000000" w:themeColor="text1"/>
          <w:lang w:val="en-US"/>
        </w:rPr>
        <w:t>Pijl</w:t>
      </w:r>
      <w:proofErr w:type="spellEnd"/>
      <w:r w:rsidRPr="00EA371F">
        <w:rPr>
          <w:rFonts w:asciiTheme="majorHAnsi" w:eastAsiaTheme="minorEastAsia" w:hAnsiTheme="majorHAnsi" w:cstheme="majorHAnsi"/>
          <w:color w:val="000000" w:themeColor="text1"/>
          <w:lang w:val="en-US"/>
        </w:rPr>
        <w:t xml:space="preserve"> ,</w:t>
      </w:r>
      <w:proofErr w:type="gramEnd"/>
      <w:r w:rsidRPr="00EA371F">
        <w:rPr>
          <w:rFonts w:asciiTheme="majorHAnsi" w:eastAsiaTheme="minorEastAsia" w:hAnsiTheme="majorHAnsi" w:cstheme="majorHAnsi"/>
          <w:color w:val="000000" w:themeColor="text1"/>
          <w:lang w:val="en-US"/>
        </w:rPr>
        <w:t xml:space="preserve"> S. J., &amp; </w:t>
      </w:r>
      <w:proofErr w:type="gramStart"/>
      <w:r w:rsidRPr="00EA371F">
        <w:rPr>
          <w:rFonts w:asciiTheme="majorHAnsi" w:eastAsiaTheme="minorEastAsia" w:hAnsiTheme="majorHAnsi" w:cstheme="majorHAnsi"/>
          <w:color w:val="000000" w:themeColor="text1"/>
          <w:lang w:val="en-US"/>
        </w:rPr>
        <w:t>Frostad ,</w:t>
      </w:r>
      <w:proofErr w:type="gramEnd"/>
      <w:r w:rsidRPr="00EA371F">
        <w:rPr>
          <w:rFonts w:asciiTheme="majorHAnsi" w:eastAsiaTheme="minorEastAsia" w:hAnsiTheme="majorHAnsi" w:cstheme="majorHAnsi"/>
          <w:color w:val="000000" w:themeColor="text1"/>
          <w:lang w:val="en-US"/>
        </w:rPr>
        <w:t xml:space="preserve"> P. (2010</w:t>
      </w:r>
      <w:proofErr w:type="gramStart"/>
      <w:r w:rsidRPr="00EA371F">
        <w:rPr>
          <w:rFonts w:asciiTheme="majorHAnsi" w:eastAsiaTheme="minorEastAsia" w:hAnsiTheme="majorHAnsi" w:cstheme="majorHAnsi"/>
          <w:color w:val="000000" w:themeColor="text1"/>
          <w:lang w:val="en-US"/>
        </w:rPr>
        <w:t>) .</w:t>
      </w:r>
      <w:proofErr w:type="gramEnd"/>
      <w:r w:rsidRPr="00EA371F">
        <w:rPr>
          <w:rFonts w:asciiTheme="majorHAnsi" w:eastAsiaTheme="minorEastAsia" w:hAnsiTheme="majorHAnsi" w:cstheme="majorHAnsi"/>
          <w:color w:val="000000" w:themeColor="text1"/>
          <w:lang w:val="en-US"/>
        </w:rPr>
        <w:t xml:space="preserve"> Peer acceptance and self-</w:t>
      </w:r>
      <w:proofErr w:type="gramStart"/>
      <w:r w:rsidRPr="00EA371F">
        <w:rPr>
          <w:rFonts w:asciiTheme="majorHAnsi" w:eastAsiaTheme="minorEastAsia" w:hAnsiTheme="majorHAnsi" w:cstheme="majorHAnsi"/>
          <w:color w:val="000000" w:themeColor="text1"/>
          <w:lang w:val="en-US"/>
        </w:rPr>
        <w:t>concept</w:t>
      </w:r>
      <w:proofErr w:type="gramEnd"/>
      <w:r w:rsidRPr="00EA371F">
        <w:rPr>
          <w:rFonts w:asciiTheme="majorHAnsi" w:eastAsiaTheme="minorEastAsia" w:hAnsiTheme="majorHAnsi" w:cstheme="majorHAnsi"/>
          <w:color w:val="000000" w:themeColor="text1"/>
          <w:lang w:val="en-US"/>
        </w:rPr>
        <w:t xml:space="preserve"> of students with disabilities in regular education</w:t>
      </w:r>
      <w:r w:rsidRPr="00EA371F">
        <w:rPr>
          <w:rFonts w:asciiTheme="majorHAnsi" w:eastAsiaTheme="minorEastAsia" w:hAnsiTheme="majorHAnsi" w:cstheme="majorHAnsi"/>
          <w:i/>
          <w:iCs/>
          <w:color w:val="000000" w:themeColor="text1"/>
          <w:lang w:val="en-US"/>
        </w:rPr>
        <w:t>. European Journal of Special Needs Educatio</w:t>
      </w:r>
      <w:r w:rsidRPr="00EA371F">
        <w:rPr>
          <w:rFonts w:asciiTheme="majorHAnsi" w:hAnsiTheme="majorHAnsi" w:cstheme="majorHAnsi"/>
          <w:i/>
          <w:iCs/>
          <w:color w:val="000000" w:themeColor="text1"/>
          <w:lang w:val="en-US"/>
        </w:rPr>
        <w:t>n</w:t>
      </w:r>
      <w:r w:rsidRPr="00EA371F">
        <w:rPr>
          <w:rFonts w:asciiTheme="majorHAnsi" w:eastAsiaTheme="minorEastAsia" w:hAnsiTheme="majorHAnsi" w:cstheme="majorHAnsi"/>
          <w:i/>
          <w:iCs/>
          <w:color w:val="000000" w:themeColor="text1"/>
          <w:lang w:val="en-US"/>
        </w:rPr>
        <w:t>, 25</w:t>
      </w:r>
      <w:r w:rsidRPr="00EA371F">
        <w:rPr>
          <w:rFonts w:asciiTheme="majorHAnsi" w:eastAsiaTheme="minorEastAsia" w:hAnsiTheme="majorHAnsi" w:cstheme="majorHAnsi"/>
          <w:color w:val="000000" w:themeColor="text1"/>
          <w:lang w:val="en-US"/>
        </w:rPr>
        <w:t>(1)</w:t>
      </w:r>
      <w:r w:rsidRPr="00EA371F">
        <w:rPr>
          <w:rFonts w:asciiTheme="majorHAnsi" w:hAnsiTheme="majorHAnsi" w:cstheme="majorHAnsi"/>
          <w:color w:val="000000" w:themeColor="text1"/>
          <w:lang w:val="en-US"/>
        </w:rPr>
        <w:t>,</w:t>
      </w:r>
      <w:r w:rsidRPr="00EA371F">
        <w:rPr>
          <w:rFonts w:asciiTheme="majorHAnsi" w:eastAsiaTheme="minorEastAsia" w:hAnsiTheme="majorHAnsi" w:cstheme="majorHAnsi"/>
          <w:color w:val="000000" w:themeColor="text1"/>
          <w:lang w:val="en-US"/>
        </w:rPr>
        <w:t xml:space="preserve"> 93–105</w:t>
      </w:r>
      <w:r w:rsidRPr="00EA371F">
        <w:rPr>
          <w:rFonts w:asciiTheme="majorHAnsi" w:eastAsiaTheme="minorEastAsia" w:hAnsiTheme="majorHAnsi" w:cstheme="majorHAnsi"/>
          <w:i/>
          <w:iCs/>
          <w:color w:val="000000" w:themeColor="text1"/>
          <w:lang w:val="en-US"/>
        </w:rPr>
        <w:t>.</w:t>
      </w:r>
      <w:r w:rsidRPr="00EA371F">
        <w:rPr>
          <w:rFonts w:asciiTheme="majorHAnsi" w:hAnsiTheme="majorHAnsi" w:cstheme="majorHAnsi"/>
          <w:lang w:val="en-US"/>
        </w:rPr>
        <w:t xml:space="preserve"> </w:t>
      </w:r>
      <w:hyperlink r:id="rId38" w:history="1">
        <w:r w:rsidRPr="00EA371F">
          <w:rPr>
            <w:rStyle w:val="Hyperlink"/>
            <w:rFonts w:asciiTheme="majorHAnsi" w:eastAsiaTheme="minorEastAsia" w:hAnsiTheme="majorHAnsi" w:cstheme="majorHAnsi"/>
            <w:lang w:val="en-US"/>
          </w:rPr>
          <w:t>https://psycnet.apa.org/doi/10.1080/08856250903450947</w:t>
        </w:r>
      </w:hyperlink>
    </w:p>
    <w:p w14:paraId="21A374E1" w14:textId="77777777" w:rsidR="00EA371F" w:rsidRPr="00664CA2" w:rsidRDefault="00EA371F" w:rsidP="00EA371F">
      <w:pPr>
        <w:pStyle w:val="Literaturverzeichnis"/>
        <w:jc w:val="both"/>
        <w:rPr>
          <w:rFonts w:asciiTheme="majorHAnsi" w:hAnsiTheme="majorHAnsi" w:cstheme="majorHAnsi"/>
          <w:lang w:val="en-US"/>
        </w:rPr>
      </w:pPr>
      <w:proofErr w:type="spellStart"/>
      <w:r w:rsidRPr="00EA371F">
        <w:rPr>
          <w:rFonts w:asciiTheme="majorHAnsi" w:eastAsiaTheme="minorEastAsia" w:hAnsiTheme="majorHAnsi" w:cstheme="majorHAnsi"/>
          <w:color w:val="000000" w:themeColor="text1"/>
          <w:lang w:val="en-US"/>
        </w:rPr>
        <w:t>Pijl</w:t>
      </w:r>
      <w:proofErr w:type="spellEnd"/>
      <w:r w:rsidRPr="00EA371F">
        <w:rPr>
          <w:rFonts w:asciiTheme="majorHAnsi" w:eastAsiaTheme="minorEastAsia" w:hAnsiTheme="majorHAnsi" w:cstheme="majorHAnsi"/>
          <w:color w:val="000000" w:themeColor="text1"/>
          <w:lang w:val="en-US"/>
        </w:rPr>
        <w:t>, S. J., Frostad, P., &amp; Flem, A. (2008). The social position of pupils with special needs in regular schools</w:t>
      </w:r>
      <w:r w:rsidRPr="00EA371F">
        <w:rPr>
          <w:rFonts w:asciiTheme="majorHAnsi" w:eastAsiaTheme="minorEastAsia" w:hAnsiTheme="majorHAnsi" w:cstheme="majorHAnsi"/>
          <w:i/>
          <w:iCs/>
          <w:color w:val="000000" w:themeColor="text1"/>
          <w:lang w:val="en-US"/>
        </w:rPr>
        <w:t>. Scandinavian Journal of Educational Research, 52</w:t>
      </w:r>
      <w:r w:rsidRPr="00EA371F">
        <w:rPr>
          <w:rFonts w:asciiTheme="majorHAnsi" w:eastAsiaTheme="minorEastAsia" w:hAnsiTheme="majorHAnsi" w:cstheme="majorHAnsi"/>
          <w:color w:val="000000" w:themeColor="text1"/>
          <w:lang w:val="en-US"/>
        </w:rPr>
        <w:t>(4), 387-405</w:t>
      </w:r>
      <w:r w:rsidRPr="00EA371F">
        <w:rPr>
          <w:rFonts w:asciiTheme="majorHAnsi" w:eastAsiaTheme="minorEastAsia" w:hAnsiTheme="majorHAnsi" w:cstheme="majorHAnsi"/>
          <w:i/>
          <w:iCs/>
          <w:color w:val="000000" w:themeColor="text1"/>
          <w:lang w:val="en-US"/>
        </w:rPr>
        <w:t xml:space="preserve">. </w:t>
      </w:r>
      <w:hyperlink r:id="rId39" w:history="1">
        <w:r w:rsidRPr="00EA371F">
          <w:rPr>
            <w:rStyle w:val="Hyperlink"/>
            <w:rFonts w:asciiTheme="majorHAnsi" w:eastAsiaTheme="minorEastAsia" w:hAnsiTheme="majorHAnsi" w:cstheme="majorHAnsi"/>
            <w:lang w:val="en-US"/>
          </w:rPr>
          <w:t>https://doi.org/10.1080/00313830802184558</w:t>
        </w:r>
      </w:hyperlink>
    </w:p>
    <w:p w14:paraId="61361E10" w14:textId="28D2AC37" w:rsidR="00EA371F" w:rsidRPr="00664CA2" w:rsidRDefault="00EA371F" w:rsidP="00EA371F">
      <w:pPr>
        <w:pStyle w:val="Literaturverzeichnis"/>
        <w:jc w:val="both"/>
        <w:rPr>
          <w:rFonts w:asciiTheme="majorHAnsi" w:hAnsiTheme="majorHAnsi" w:cstheme="majorHAnsi"/>
          <w:color w:val="222222"/>
          <w:shd w:val="clear" w:color="auto" w:fill="FFFFFF"/>
          <w:lang w:val="fr-CH"/>
        </w:rPr>
      </w:pPr>
      <w:proofErr w:type="spellStart"/>
      <w:r w:rsidRPr="00664CA2">
        <w:rPr>
          <w:rFonts w:asciiTheme="majorHAnsi" w:hAnsiTheme="majorHAnsi" w:cstheme="majorHAnsi"/>
          <w:color w:val="222222"/>
          <w:shd w:val="clear" w:color="auto" w:fill="FFFFFF"/>
          <w:lang w:val="en-US"/>
        </w:rPr>
        <w:t>Plancherel</w:t>
      </w:r>
      <w:proofErr w:type="spellEnd"/>
      <w:r w:rsidRPr="00664CA2">
        <w:rPr>
          <w:rFonts w:asciiTheme="majorHAnsi" w:hAnsiTheme="majorHAnsi" w:cstheme="majorHAnsi"/>
          <w:color w:val="222222"/>
          <w:shd w:val="clear" w:color="auto" w:fill="FFFFFF"/>
          <w:lang w:val="en-US"/>
        </w:rPr>
        <w:t xml:space="preserve">, B., </w:t>
      </w:r>
      <w:proofErr w:type="spellStart"/>
      <w:r w:rsidRPr="00664CA2">
        <w:rPr>
          <w:rFonts w:asciiTheme="majorHAnsi" w:hAnsiTheme="majorHAnsi" w:cstheme="majorHAnsi"/>
          <w:color w:val="222222"/>
          <w:shd w:val="clear" w:color="auto" w:fill="FFFFFF"/>
          <w:lang w:val="en-US"/>
        </w:rPr>
        <w:t>Bettschart</w:t>
      </w:r>
      <w:proofErr w:type="spellEnd"/>
      <w:r w:rsidRPr="00664CA2">
        <w:rPr>
          <w:rFonts w:asciiTheme="majorHAnsi" w:hAnsiTheme="majorHAnsi" w:cstheme="majorHAnsi"/>
          <w:color w:val="222222"/>
          <w:shd w:val="clear" w:color="auto" w:fill="FFFFFF"/>
          <w:lang w:val="en-US"/>
        </w:rPr>
        <w:t xml:space="preserve">, W., Bolognini, M., Dumont, M., &amp; Halfon, O. (1997). </w:t>
      </w:r>
      <w:r w:rsidRPr="00664CA2">
        <w:rPr>
          <w:rFonts w:asciiTheme="majorHAnsi" w:hAnsiTheme="majorHAnsi" w:cstheme="majorHAnsi"/>
          <w:color w:val="222222"/>
          <w:shd w:val="clear" w:color="auto" w:fill="FFFFFF"/>
          <w:lang w:val="fr-CH"/>
        </w:rPr>
        <w:t>Influence comparée des év</w:t>
      </w:r>
      <w:r w:rsidR="00DF03FD">
        <w:rPr>
          <w:rFonts w:asciiTheme="majorHAnsi" w:hAnsiTheme="majorHAnsi" w:cstheme="majorHAnsi"/>
          <w:color w:val="222222"/>
          <w:shd w:val="clear" w:color="auto" w:fill="FFFFFF"/>
          <w:lang w:val="fr-CH"/>
        </w:rPr>
        <w:t>è</w:t>
      </w:r>
      <w:r w:rsidRPr="00664CA2">
        <w:rPr>
          <w:rFonts w:asciiTheme="majorHAnsi" w:hAnsiTheme="majorHAnsi" w:cstheme="majorHAnsi"/>
          <w:color w:val="222222"/>
          <w:shd w:val="clear" w:color="auto" w:fill="FFFFFF"/>
          <w:lang w:val="fr-CH"/>
        </w:rPr>
        <w:t>nements existentiels et des tracas quotidiens sur la santé psychique à la préadolescence.</w:t>
      </w:r>
      <w:r w:rsidR="00DF03FD">
        <w:rPr>
          <w:rFonts w:asciiTheme="majorHAnsi" w:hAnsiTheme="majorHAnsi" w:cstheme="majorHAnsi"/>
          <w:color w:val="222222"/>
          <w:shd w:val="clear" w:color="auto" w:fill="FFFFFF"/>
          <w:lang w:val="fr-CH"/>
        </w:rPr>
        <w:t xml:space="preserve"> </w:t>
      </w:r>
      <w:r w:rsidRPr="00664CA2">
        <w:rPr>
          <w:rFonts w:asciiTheme="majorHAnsi" w:hAnsiTheme="majorHAnsi" w:cstheme="majorHAnsi"/>
          <w:i/>
          <w:iCs/>
          <w:color w:val="222222"/>
          <w:shd w:val="clear" w:color="auto" w:fill="FFFFFF"/>
          <w:lang w:val="fr-CH"/>
        </w:rPr>
        <w:t>Neuropsychiatrie de l</w:t>
      </w:r>
      <w:r w:rsidR="00F76938">
        <w:rPr>
          <w:rFonts w:asciiTheme="majorHAnsi" w:hAnsiTheme="majorHAnsi" w:cstheme="majorHAnsi"/>
          <w:i/>
          <w:iCs/>
          <w:color w:val="222222"/>
          <w:shd w:val="clear" w:color="auto" w:fill="FFFFFF"/>
          <w:lang w:val="fr-CH"/>
        </w:rPr>
        <w:t>’</w:t>
      </w:r>
      <w:r w:rsidRPr="00664CA2">
        <w:rPr>
          <w:rFonts w:asciiTheme="majorHAnsi" w:hAnsiTheme="majorHAnsi" w:cstheme="majorHAnsi"/>
          <w:i/>
          <w:iCs/>
          <w:color w:val="222222"/>
          <w:shd w:val="clear" w:color="auto" w:fill="FFFFFF"/>
          <w:lang w:val="fr-CH"/>
        </w:rPr>
        <w:t>Enfance et de l</w:t>
      </w:r>
      <w:r w:rsidR="00F76938">
        <w:rPr>
          <w:rFonts w:asciiTheme="majorHAnsi" w:hAnsiTheme="majorHAnsi" w:cstheme="majorHAnsi"/>
          <w:i/>
          <w:iCs/>
          <w:color w:val="222222"/>
          <w:shd w:val="clear" w:color="auto" w:fill="FFFFFF"/>
          <w:lang w:val="fr-CH"/>
        </w:rPr>
        <w:t>’</w:t>
      </w:r>
      <w:r w:rsidRPr="00664CA2">
        <w:rPr>
          <w:rFonts w:asciiTheme="majorHAnsi" w:hAnsiTheme="majorHAnsi" w:cstheme="majorHAnsi"/>
          <w:i/>
          <w:iCs/>
          <w:color w:val="222222"/>
          <w:shd w:val="clear" w:color="auto" w:fill="FFFFFF"/>
          <w:lang w:val="fr-CH"/>
        </w:rPr>
        <w:t>Adolescence</w:t>
      </w:r>
      <w:r w:rsidRPr="00664CA2">
        <w:rPr>
          <w:rFonts w:asciiTheme="majorHAnsi" w:hAnsiTheme="majorHAnsi" w:cstheme="majorHAnsi"/>
          <w:color w:val="222222"/>
          <w:shd w:val="clear" w:color="auto" w:fill="FFFFFF"/>
          <w:lang w:val="fr-CH"/>
        </w:rPr>
        <w:t>, </w:t>
      </w:r>
      <w:r w:rsidRPr="00664CA2">
        <w:rPr>
          <w:rFonts w:asciiTheme="majorHAnsi" w:hAnsiTheme="majorHAnsi" w:cstheme="majorHAnsi"/>
          <w:i/>
          <w:iCs/>
          <w:color w:val="222222"/>
          <w:shd w:val="clear" w:color="auto" w:fill="FFFFFF"/>
          <w:lang w:val="fr-CH"/>
        </w:rPr>
        <w:t>45</w:t>
      </w:r>
      <w:r w:rsidRPr="00664CA2">
        <w:rPr>
          <w:rFonts w:asciiTheme="majorHAnsi" w:hAnsiTheme="majorHAnsi" w:cstheme="majorHAnsi"/>
          <w:color w:val="222222"/>
          <w:shd w:val="clear" w:color="auto" w:fill="FFFFFF"/>
          <w:lang w:val="fr-CH"/>
        </w:rPr>
        <w:t>(3), 126-138.</w:t>
      </w:r>
    </w:p>
    <w:p w14:paraId="69E79563" w14:textId="77777777" w:rsidR="00EA371F" w:rsidRPr="00EA371F" w:rsidRDefault="00EA371F" w:rsidP="00EA371F">
      <w:pPr>
        <w:pStyle w:val="Literaturverzeichnis"/>
        <w:jc w:val="both"/>
        <w:rPr>
          <w:rFonts w:asciiTheme="majorHAnsi" w:hAnsiTheme="majorHAnsi" w:cstheme="majorHAnsi"/>
        </w:rPr>
      </w:pPr>
      <w:proofErr w:type="spellStart"/>
      <w:r w:rsidRPr="00664CA2">
        <w:rPr>
          <w:rFonts w:asciiTheme="majorHAnsi" w:hAnsiTheme="majorHAnsi" w:cstheme="majorHAnsi"/>
          <w:color w:val="282828"/>
          <w:lang w:val="fr-CH"/>
        </w:rPr>
        <w:t>Salmela-Aro</w:t>
      </w:r>
      <w:proofErr w:type="spellEnd"/>
      <w:r w:rsidRPr="00664CA2">
        <w:rPr>
          <w:rFonts w:asciiTheme="majorHAnsi" w:hAnsiTheme="majorHAnsi" w:cstheme="majorHAnsi"/>
          <w:color w:val="282828"/>
          <w:lang w:val="fr-CH"/>
        </w:rPr>
        <w:t xml:space="preserve">, K., </w:t>
      </w:r>
      <w:proofErr w:type="spellStart"/>
      <w:r w:rsidRPr="00664CA2">
        <w:rPr>
          <w:rFonts w:asciiTheme="majorHAnsi" w:hAnsiTheme="majorHAnsi" w:cstheme="majorHAnsi"/>
          <w:color w:val="282828"/>
          <w:lang w:val="fr-CH"/>
        </w:rPr>
        <w:t>Kiuru</w:t>
      </w:r>
      <w:proofErr w:type="spellEnd"/>
      <w:r w:rsidRPr="00664CA2">
        <w:rPr>
          <w:rFonts w:asciiTheme="majorHAnsi" w:hAnsiTheme="majorHAnsi" w:cstheme="majorHAnsi"/>
          <w:color w:val="282828"/>
          <w:lang w:val="fr-CH"/>
        </w:rPr>
        <w:t xml:space="preserve">, N., </w:t>
      </w:r>
      <w:proofErr w:type="spellStart"/>
      <w:r w:rsidRPr="00664CA2">
        <w:rPr>
          <w:rFonts w:asciiTheme="majorHAnsi" w:hAnsiTheme="majorHAnsi" w:cstheme="majorHAnsi"/>
          <w:color w:val="282828"/>
          <w:lang w:val="fr-CH"/>
        </w:rPr>
        <w:t>Pietikainen</w:t>
      </w:r>
      <w:proofErr w:type="spellEnd"/>
      <w:r w:rsidRPr="00664CA2">
        <w:rPr>
          <w:rFonts w:asciiTheme="majorHAnsi" w:hAnsiTheme="majorHAnsi" w:cstheme="majorHAnsi"/>
          <w:color w:val="282828"/>
          <w:lang w:val="fr-CH"/>
        </w:rPr>
        <w:t xml:space="preserve">, M., &amp; </w:t>
      </w:r>
      <w:proofErr w:type="spellStart"/>
      <w:r w:rsidRPr="00664CA2">
        <w:rPr>
          <w:rFonts w:asciiTheme="majorHAnsi" w:hAnsiTheme="majorHAnsi" w:cstheme="majorHAnsi"/>
          <w:color w:val="282828"/>
          <w:lang w:val="fr-CH"/>
        </w:rPr>
        <w:t>Jokela</w:t>
      </w:r>
      <w:proofErr w:type="spellEnd"/>
      <w:r w:rsidRPr="00664CA2">
        <w:rPr>
          <w:rFonts w:asciiTheme="majorHAnsi" w:hAnsiTheme="majorHAnsi" w:cstheme="majorHAnsi"/>
          <w:color w:val="282828"/>
          <w:lang w:val="fr-CH"/>
        </w:rPr>
        <w:t xml:space="preserve">, J. (2008). </w:t>
      </w:r>
      <w:r w:rsidRPr="00EA371F">
        <w:rPr>
          <w:rFonts w:asciiTheme="majorHAnsi" w:hAnsiTheme="majorHAnsi" w:cstheme="majorHAnsi"/>
          <w:color w:val="282828"/>
          <w:lang w:val="en-US"/>
        </w:rPr>
        <w:t>Does school matter? The role of school context in adolescents’ school-related burnout.</w:t>
      </w:r>
      <w:r w:rsidRPr="00EA371F">
        <w:rPr>
          <w:rStyle w:val="apple-converted-space"/>
          <w:rFonts w:asciiTheme="majorHAnsi" w:hAnsiTheme="majorHAnsi" w:cstheme="majorHAnsi"/>
          <w:color w:val="282828"/>
          <w:lang w:val="en-US"/>
        </w:rPr>
        <w:t> </w:t>
      </w:r>
      <w:r w:rsidRPr="00B74700">
        <w:rPr>
          <w:rFonts w:asciiTheme="majorHAnsi" w:hAnsiTheme="majorHAnsi" w:cstheme="majorHAnsi"/>
          <w:i/>
          <w:iCs/>
          <w:color w:val="282828"/>
          <w:lang w:val="de-DE"/>
        </w:rPr>
        <w:t xml:space="preserve">European </w:t>
      </w:r>
      <w:proofErr w:type="spellStart"/>
      <w:r w:rsidRPr="00B74700">
        <w:rPr>
          <w:rFonts w:asciiTheme="majorHAnsi" w:hAnsiTheme="majorHAnsi" w:cstheme="majorHAnsi"/>
          <w:i/>
          <w:iCs/>
          <w:color w:val="282828"/>
          <w:lang w:val="de-DE"/>
        </w:rPr>
        <w:t>Psychologist</w:t>
      </w:r>
      <w:proofErr w:type="spellEnd"/>
      <w:r w:rsidRPr="00B74700">
        <w:rPr>
          <w:rFonts w:asciiTheme="majorHAnsi" w:hAnsiTheme="majorHAnsi" w:cstheme="majorHAnsi"/>
          <w:i/>
          <w:iCs/>
          <w:color w:val="282828"/>
          <w:lang w:val="de-DE"/>
        </w:rPr>
        <w:t>,</w:t>
      </w:r>
      <w:r w:rsidRPr="00B74700">
        <w:rPr>
          <w:rStyle w:val="apple-converted-space"/>
          <w:rFonts w:asciiTheme="majorHAnsi" w:hAnsiTheme="majorHAnsi" w:cstheme="majorHAnsi"/>
          <w:color w:val="282828"/>
          <w:lang w:val="de-DE"/>
        </w:rPr>
        <w:t> </w:t>
      </w:r>
      <w:r w:rsidRPr="00B74700">
        <w:rPr>
          <w:rFonts w:asciiTheme="majorHAnsi" w:hAnsiTheme="majorHAnsi" w:cstheme="majorHAnsi"/>
          <w:i/>
          <w:iCs/>
          <w:color w:val="282828"/>
          <w:lang w:val="de-DE"/>
        </w:rPr>
        <w:t>13</w:t>
      </w:r>
      <w:r w:rsidRPr="00B74700">
        <w:rPr>
          <w:rFonts w:asciiTheme="majorHAnsi" w:hAnsiTheme="majorHAnsi" w:cstheme="majorHAnsi"/>
          <w:color w:val="282828"/>
          <w:lang w:val="de-DE"/>
        </w:rPr>
        <w:t xml:space="preserve">(1), 12–23. </w:t>
      </w:r>
      <w:hyperlink r:id="rId40" w:history="1">
        <w:r w:rsidRPr="00EA371F">
          <w:rPr>
            <w:rStyle w:val="Hyperlink"/>
            <w:rFonts w:asciiTheme="majorHAnsi" w:hAnsiTheme="majorHAnsi" w:cstheme="majorHAnsi"/>
            <w:lang w:val="de-DE"/>
          </w:rPr>
          <w:t>https://psycnet.apa.org/doi/10.1027/1016-9040.13.1.12</w:t>
        </w:r>
      </w:hyperlink>
    </w:p>
    <w:p w14:paraId="297DA63A" w14:textId="77777777" w:rsidR="00EA371F" w:rsidRPr="00EA371F" w:rsidRDefault="00EA371F" w:rsidP="00EA371F">
      <w:pPr>
        <w:pStyle w:val="Literaturverzeichnis"/>
        <w:jc w:val="both"/>
        <w:rPr>
          <w:rFonts w:asciiTheme="majorHAnsi" w:hAnsiTheme="majorHAnsi" w:cstheme="majorHAnsi"/>
        </w:rPr>
      </w:pPr>
      <w:proofErr w:type="spellStart"/>
      <w:r w:rsidRPr="00EA371F">
        <w:rPr>
          <w:rFonts w:asciiTheme="majorHAnsi" w:hAnsiTheme="majorHAnsi" w:cstheme="majorHAnsi"/>
          <w:color w:val="000000" w:themeColor="text1"/>
          <w:shd w:val="clear" w:color="auto" w:fill="FFFFFF"/>
          <w:lang w:val="de-DE"/>
        </w:rPr>
        <w:t>Salmela-Aro</w:t>
      </w:r>
      <w:proofErr w:type="spellEnd"/>
      <w:r w:rsidRPr="00EA371F">
        <w:rPr>
          <w:rFonts w:asciiTheme="majorHAnsi" w:hAnsiTheme="majorHAnsi" w:cstheme="majorHAnsi"/>
          <w:color w:val="000000" w:themeColor="text1"/>
          <w:shd w:val="clear" w:color="auto" w:fill="FFFFFF"/>
          <w:lang w:val="de-DE"/>
        </w:rPr>
        <w:t xml:space="preserve">, K., Kiuru, N., </w:t>
      </w:r>
      <w:proofErr w:type="spellStart"/>
      <w:r w:rsidRPr="00EA371F">
        <w:rPr>
          <w:rFonts w:asciiTheme="majorHAnsi" w:hAnsiTheme="majorHAnsi" w:cstheme="majorHAnsi"/>
          <w:color w:val="000000" w:themeColor="text1"/>
          <w:shd w:val="clear" w:color="auto" w:fill="FFFFFF"/>
          <w:lang w:val="de-DE"/>
        </w:rPr>
        <w:t>Leskinen</w:t>
      </w:r>
      <w:proofErr w:type="spellEnd"/>
      <w:r w:rsidRPr="00EA371F">
        <w:rPr>
          <w:rFonts w:asciiTheme="majorHAnsi" w:hAnsiTheme="majorHAnsi" w:cstheme="majorHAnsi"/>
          <w:color w:val="000000" w:themeColor="text1"/>
          <w:shd w:val="clear" w:color="auto" w:fill="FFFFFF"/>
          <w:lang w:val="de-DE"/>
        </w:rPr>
        <w:t xml:space="preserve">, E., &amp; Nurmi, J. E. (2009). </w:t>
      </w:r>
      <w:r w:rsidRPr="00EA371F">
        <w:rPr>
          <w:rFonts w:asciiTheme="majorHAnsi" w:hAnsiTheme="majorHAnsi" w:cstheme="majorHAnsi"/>
          <w:color w:val="000000" w:themeColor="text1"/>
          <w:shd w:val="clear" w:color="auto" w:fill="FFFFFF"/>
          <w:lang w:val="en-US"/>
        </w:rPr>
        <w:t xml:space="preserve">School Burnout Inventory (SBI): Reliability and Validity. </w:t>
      </w:r>
      <w:r w:rsidRPr="00EA371F">
        <w:rPr>
          <w:rFonts w:asciiTheme="majorHAnsi" w:hAnsiTheme="majorHAnsi" w:cstheme="majorHAnsi"/>
          <w:i/>
          <w:iCs/>
          <w:color w:val="000000" w:themeColor="text1"/>
          <w:shd w:val="clear" w:color="auto" w:fill="FFFFFF"/>
          <w:lang w:val="en-US"/>
        </w:rPr>
        <w:t>European Journal of Psychological Assessment</w:t>
      </w:r>
      <w:r w:rsidRPr="00EA371F">
        <w:rPr>
          <w:rFonts w:asciiTheme="majorHAnsi" w:hAnsiTheme="majorHAnsi" w:cstheme="majorHAnsi"/>
          <w:color w:val="000000" w:themeColor="text1"/>
          <w:shd w:val="clear" w:color="auto" w:fill="FFFFFF"/>
          <w:lang w:val="en-US"/>
        </w:rPr>
        <w:t xml:space="preserve">, </w:t>
      </w:r>
      <w:r w:rsidRPr="00EA371F">
        <w:rPr>
          <w:rFonts w:asciiTheme="majorHAnsi" w:hAnsiTheme="majorHAnsi" w:cstheme="majorHAnsi"/>
          <w:i/>
          <w:iCs/>
          <w:color w:val="000000" w:themeColor="text1"/>
          <w:shd w:val="clear" w:color="auto" w:fill="FFFFFF"/>
          <w:lang w:val="en-US"/>
        </w:rPr>
        <w:t>25</w:t>
      </w:r>
      <w:r w:rsidRPr="00EA371F">
        <w:rPr>
          <w:rFonts w:asciiTheme="majorHAnsi" w:hAnsiTheme="majorHAnsi" w:cstheme="majorHAnsi"/>
          <w:color w:val="000000" w:themeColor="text1"/>
          <w:shd w:val="clear" w:color="auto" w:fill="FFFFFF"/>
          <w:lang w:val="en-US"/>
        </w:rPr>
        <w:t xml:space="preserve">(1), 48-57. </w:t>
      </w:r>
      <w:hyperlink r:id="rId41" w:history="1">
        <w:r w:rsidRPr="00664CA2">
          <w:rPr>
            <w:rStyle w:val="Hyperlink"/>
            <w:rFonts w:asciiTheme="majorHAnsi" w:hAnsiTheme="majorHAnsi" w:cstheme="majorHAnsi"/>
            <w:shd w:val="clear" w:color="auto" w:fill="FFFFFF"/>
          </w:rPr>
          <w:t>https://doi.org/10.1027/1015-5759.25.1.48</w:t>
        </w:r>
      </w:hyperlink>
    </w:p>
    <w:p w14:paraId="46BE4414" w14:textId="77777777" w:rsidR="00EA371F" w:rsidRPr="00664CA2" w:rsidRDefault="00EA371F" w:rsidP="00EA371F">
      <w:pPr>
        <w:pStyle w:val="Literaturverzeichnis"/>
        <w:jc w:val="both"/>
        <w:rPr>
          <w:rFonts w:asciiTheme="majorHAnsi" w:hAnsiTheme="majorHAnsi" w:cstheme="majorHAnsi"/>
          <w:lang w:val="en-US"/>
        </w:rPr>
      </w:pPr>
      <w:proofErr w:type="spellStart"/>
      <w:r w:rsidRPr="00664CA2">
        <w:rPr>
          <w:rFonts w:asciiTheme="majorHAnsi" w:hAnsiTheme="majorHAnsi" w:cstheme="majorHAnsi"/>
          <w:color w:val="000000" w:themeColor="text1"/>
          <w:shd w:val="clear" w:color="auto" w:fill="FFFFFF"/>
        </w:rPr>
        <w:t>Salmela-Aro</w:t>
      </w:r>
      <w:proofErr w:type="spellEnd"/>
      <w:r w:rsidRPr="00664CA2">
        <w:rPr>
          <w:rFonts w:asciiTheme="majorHAnsi" w:hAnsiTheme="majorHAnsi" w:cstheme="majorHAnsi"/>
          <w:color w:val="000000" w:themeColor="text1"/>
          <w:shd w:val="clear" w:color="auto" w:fill="FFFFFF"/>
        </w:rPr>
        <w:t xml:space="preserve">, K., </w:t>
      </w:r>
      <w:proofErr w:type="spellStart"/>
      <w:r w:rsidRPr="00664CA2">
        <w:rPr>
          <w:rFonts w:asciiTheme="majorHAnsi" w:hAnsiTheme="majorHAnsi" w:cstheme="majorHAnsi"/>
          <w:color w:val="000000" w:themeColor="text1"/>
          <w:shd w:val="clear" w:color="auto" w:fill="FFFFFF"/>
        </w:rPr>
        <w:t>Upadyaya</w:t>
      </w:r>
      <w:proofErr w:type="spellEnd"/>
      <w:r w:rsidRPr="00664CA2">
        <w:rPr>
          <w:rFonts w:asciiTheme="majorHAnsi" w:hAnsiTheme="majorHAnsi" w:cstheme="majorHAnsi"/>
          <w:color w:val="000000" w:themeColor="text1"/>
          <w:shd w:val="clear" w:color="auto" w:fill="FFFFFF"/>
        </w:rPr>
        <w:t xml:space="preserve">, K., </w:t>
      </w:r>
      <w:proofErr w:type="spellStart"/>
      <w:r w:rsidRPr="00664CA2">
        <w:rPr>
          <w:rFonts w:asciiTheme="majorHAnsi" w:hAnsiTheme="majorHAnsi" w:cstheme="majorHAnsi"/>
          <w:color w:val="000000" w:themeColor="text1"/>
          <w:shd w:val="clear" w:color="auto" w:fill="FFFFFF"/>
        </w:rPr>
        <w:t>Hakkarainen</w:t>
      </w:r>
      <w:proofErr w:type="spellEnd"/>
      <w:r w:rsidRPr="00664CA2">
        <w:rPr>
          <w:rFonts w:asciiTheme="majorHAnsi" w:hAnsiTheme="majorHAnsi" w:cstheme="majorHAnsi"/>
          <w:color w:val="000000" w:themeColor="text1"/>
          <w:shd w:val="clear" w:color="auto" w:fill="FFFFFF"/>
        </w:rPr>
        <w:t xml:space="preserve">, K., </w:t>
      </w:r>
      <w:proofErr w:type="spellStart"/>
      <w:r w:rsidRPr="00664CA2">
        <w:rPr>
          <w:rFonts w:asciiTheme="majorHAnsi" w:hAnsiTheme="majorHAnsi" w:cstheme="majorHAnsi"/>
          <w:color w:val="000000" w:themeColor="text1"/>
          <w:shd w:val="clear" w:color="auto" w:fill="FFFFFF"/>
        </w:rPr>
        <w:t>Lonka</w:t>
      </w:r>
      <w:proofErr w:type="spellEnd"/>
      <w:r w:rsidRPr="00664CA2">
        <w:rPr>
          <w:rFonts w:asciiTheme="majorHAnsi" w:hAnsiTheme="majorHAnsi" w:cstheme="majorHAnsi"/>
          <w:color w:val="000000" w:themeColor="text1"/>
          <w:shd w:val="clear" w:color="auto" w:fill="FFFFFF"/>
        </w:rPr>
        <w:t xml:space="preserve">, K., &amp; </w:t>
      </w:r>
      <w:proofErr w:type="spellStart"/>
      <w:r w:rsidRPr="00664CA2">
        <w:rPr>
          <w:rFonts w:asciiTheme="majorHAnsi" w:hAnsiTheme="majorHAnsi" w:cstheme="majorHAnsi"/>
          <w:color w:val="000000" w:themeColor="text1"/>
          <w:shd w:val="clear" w:color="auto" w:fill="FFFFFF"/>
        </w:rPr>
        <w:t>Alho</w:t>
      </w:r>
      <w:proofErr w:type="spellEnd"/>
      <w:r w:rsidRPr="00664CA2">
        <w:rPr>
          <w:rFonts w:asciiTheme="majorHAnsi" w:hAnsiTheme="majorHAnsi" w:cstheme="majorHAnsi"/>
          <w:color w:val="000000" w:themeColor="text1"/>
          <w:shd w:val="clear" w:color="auto" w:fill="FFFFFF"/>
        </w:rPr>
        <w:t xml:space="preserve">, K. (2017). </w:t>
      </w:r>
      <w:r w:rsidRPr="00EA371F">
        <w:rPr>
          <w:rFonts w:asciiTheme="majorHAnsi" w:hAnsiTheme="majorHAnsi" w:cstheme="majorHAnsi"/>
          <w:color w:val="000000" w:themeColor="text1"/>
          <w:shd w:val="clear" w:color="auto" w:fill="FFFFFF"/>
          <w:lang w:val="en-US"/>
        </w:rPr>
        <w:t xml:space="preserve">The Dark Side of Internet Use: Two Longitudinal Studies of Excessive Internet Use, Depressive Symptoms, School Burnout and Engagement Among Finnish Early and Late Adolescents. </w:t>
      </w:r>
      <w:r w:rsidRPr="00EA371F">
        <w:rPr>
          <w:rFonts w:asciiTheme="majorHAnsi" w:hAnsiTheme="majorHAnsi" w:cstheme="majorHAnsi"/>
          <w:i/>
          <w:iCs/>
          <w:color w:val="000000" w:themeColor="text1"/>
          <w:shd w:val="clear" w:color="auto" w:fill="FFFFFF"/>
          <w:lang w:val="en-US"/>
        </w:rPr>
        <w:t>Journal of youth and adolescence</w:t>
      </w:r>
      <w:r w:rsidRPr="00EA371F">
        <w:rPr>
          <w:rFonts w:asciiTheme="majorHAnsi" w:hAnsiTheme="majorHAnsi" w:cstheme="majorHAnsi"/>
          <w:color w:val="000000" w:themeColor="text1"/>
          <w:shd w:val="clear" w:color="auto" w:fill="FFFFFF"/>
          <w:lang w:val="en-US"/>
        </w:rPr>
        <w:t xml:space="preserve">, </w:t>
      </w:r>
      <w:r w:rsidRPr="00EA371F">
        <w:rPr>
          <w:rFonts w:asciiTheme="majorHAnsi" w:hAnsiTheme="majorHAnsi" w:cstheme="majorHAnsi"/>
          <w:i/>
          <w:iCs/>
          <w:color w:val="000000" w:themeColor="text1"/>
          <w:shd w:val="clear" w:color="auto" w:fill="FFFFFF"/>
          <w:lang w:val="en-US"/>
        </w:rPr>
        <w:t>46</w:t>
      </w:r>
      <w:r w:rsidRPr="00EA371F">
        <w:rPr>
          <w:rFonts w:asciiTheme="majorHAnsi" w:hAnsiTheme="majorHAnsi" w:cstheme="majorHAnsi"/>
          <w:color w:val="000000" w:themeColor="text1"/>
          <w:shd w:val="clear" w:color="auto" w:fill="FFFFFF"/>
          <w:lang w:val="en-US"/>
        </w:rPr>
        <w:t xml:space="preserve">(2), 343-357. </w:t>
      </w:r>
      <w:hyperlink r:id="rId42" w:history="1">
        <w:r w:rsidRPr="00EA371F">
          <w:rPr>
            <w:rStyle w:val="Hyperlink"/>
            <w:rFonts w:asciiTheme="majorHAnsi" w:hAnsiTheme="majorHAnsi" w:cstheme="majorHAnsi"/>
            <w:shd w:val="clear" w:color="auto" w:fill="FFFFFF"/>
            <w:lang w:val="en-US"/>
          </w:rPr>
          <w:t>https://doi.org/10.1007/s10964-016-0494-2</w:t>
        </w:r>
      </w:hyperlink>
    </w:p>
    <w:p w14:paraId="1B918023" w14:textId="77777777" w:rsidR="00EA371F" w:rsidRPr="00664CA2" w:rsidRDefault="00EA371F" w:rsidP="00EA371F">
      <w:pPr>
        <w:pStyle w:val="Literaturverzeichnis"/>
        <w:jc w:val="both"/>
        <w:rPr>
          <w:rFonts w:asciiTheme="majorHAnsi" w:hAnsiTheme="majorHAnsi" w:cstheme="majorHAnsi"/>
          <w:lang w:val="fr-CH"/>
        </w:rPr>
      </w:pPr>
      <w:proofErr w:type="spellStart"/>
      <w:r w:rsidRPr="00EA371F">
        <w:rPr>
          <w:rFonts w:asciiTheme="majorHAnsi" w:hAnsiTheme="majorHAnsi" w:cstheme="majorHAnsi"/>
          <w:color w:val="000000" w:themeColor="text1"/>
          <w:shd w:val="clear" w:color="auto" w:fill="FFFFFF"/>
          <w:lang w:val="en-US"/>
        </w:rPr>
        <w:t>Vansoeterstede</w:t>
      </w:r>
      <w:proofErr w:type="spellEnd"/>
      <w:r w:rsidRPr="00EA371F">
        <w:rPr>
          <w:rFonts w:asciiTheme="majorHAnsi" w:hAnsiTheme="majorHAnsi" w:cstheme="majorHAnsi"/>
          <w:color w:val="000000" w:themeColor="text1"/>
          <w:shd w:val="clear" w:color="auto" w:fill="FFFFFF"/>
          <w:lang w:val="en-US"/>
        </w:rPr>
        <w:t xml:space="preserve">, A., Cappe, E., Lichtle, J., &amp; </w:t>
      </w:r>
      <w:proofErr w:type="spellStart"/>
      <w:r w:rsidRPr="00EA371F">
        <w:rPr>
          <w:rFonts w:asciiTheme="majorHAnsi" w:hAnsiTheme="majorHAnsi" w:cstheme="majorHAnsi"/>
          <w:color w:val="000000" w:themeColor="text1"/>
          <w:shd w:val="clear" w:color="auto" w:fill="FFFFFF"/>
          <w:lang w:val="en-US"/>
        </w:rPr>
        <w:t>Boujut</w:t>
      </w:r>
      <w:proofErr w:type="spellEnd"/>
      <w:r w:rsidRPr="00EA371F">
        <w:rPr>
          <w:rFonts w:asciiTheme="majorHAnsi" w:hAnsiTheme="majorHAnsi" w:cstheme="majorHAnsi"/>
          <w:color w:val="000000" w:themeColor="text1"/>
          <w:shd w:val="clear" w:color="auto" w:fill="FFFFFF"/>
          <w:lang w:val="en-US"/>
        </w:rPr>
        <w:t xml:space="preserve">, E. (2023). A systematic review of longitudinal changes in school burnout among adolescents: Trajectories, predictors, and outcomes. </w:t>
      </w:r>
      <w:r w:rsidRPr="00664CA2">
        <w:rPr>
          <w:rFonts w:asciiTheme="majorHAnsi" w:hAnsiTheme="majorHAnsi" w:cstheme="majorHAnsi"/>
          <w:i/>
          <w:iCs/>
          <w:color w:val="000000" w:themeColor="text1"/>
          <w:shd w:val="clear" w:color="auto" w:fill="FFFFFF"/>
          <w:lang w:val="fr-CH"/>
        </w:rPr>
        <w:t>Journal of Adolescence</w:t>
      </w:r>
      <w:r w:rsidRPr="00664CA2">
        <w:rPr>
          <w:rFonts w:asciiTheme="majorHAnsi" w:hAnsiTheme="majorHAnsi" w:cstheme="majorHAnsi"/>
          <w:color w:val="000000" w:themeColor="text1"/>
          <w:shd w:val="clear" w:color="auto" w:fill="FFFFFF"/>
          <w:lang w:val="fr-CH"/>
        </w:rPr>
        <w:t xml:space="preserve">, </w:t>
      </w:r>
      <w:r w:rsidRPr="00664CA2">
        <w:rPr>
          <w:rFonts w:asciiTheme="majorHAnsi" w:hAnsiTheme="majorHAnsi" w:cstheme="majorHAnsi"/>
          <w:i/>
          <w:iCs/>
          <w:color w:val="000000" w:themeColor="text1"/>
          <w:shd w:val="clear" w:color="auto" w:fill="FFFFFF"/>
          <w:lang w:val="fr-CH"/>
        </w:rPr>
        <w:t>95</w:t>
      </w:r>
      <w:r w:rsidRPr="00664CA2">
        <w:rPr>
          <w:rFonts w:asciiTheme="majorHAnsi" w:hAnsiTheme="majorHAnsi" w:cstheme="majorHAnsi"/>
          <w:color w:val="000000" w:themeColor="text1"/>
          <w:shd w:val="clear" w:color="auto" w:fill="FFFFFF"/>
          <w:lang w:val="fr-CH"/>
        </w:rPr>
        <w:t xml:space="preserve">(2), 224-247. </w:t>
      </w:r>
      <w:hyperlink r:id="rId43" w:history="1">
        <w:r w:rsidRPr="00664CA2">
          <w:rPr>
            <w:rStyle w:val="Hyperlink"/>
            <w:rFonts w:asciiTheme="majorHAnsi" w:hAnsiTheme="majorHAnsi" w:cstheme="majorHAnsi"/>
            <w:shd w:val="clear" w:color="auto" w:fill="FFFFFF"/>
            <w:lang w:val="fr-CH"/>
          </w:rPr>
          <w:t>http://dx.doi.org/10.1002/jad.12121</w:t>
        </w:r>
      </w:hyperlink>
    </w:p>
    <w:p w14:paraId="1FCCC64E" w14:textId="77777777" w:rsidR="00EA371F" w:rsidRPr="00664CA2" w:rsidRDefault="00EA371F" w:rsidP="00EA371F">
      <w:pPr>
        <w:pStyle w:val="Literaturverzeichnis"/>
        <w:jc w:val="both"/>
        <w:rPr>
          <w:rFonts w:asciiTheme="majorHAnsi" w:hAnsiTheme="majorHAnsi" w:cstheme="majorHAnsi"/>
          <w:lang w:val="en-US"/>
        </w:rPr>
      </w:pPr>
      <w:r w:rsidRPr="00664CA2">
        <w:rPr>
          <w:rFonts w:asciiTheme="majorHAnsi" w:hAnsiTheme="majorHAnsi" w:cstheme="majorHAnsi"/>
          <w:color w:val="000000" w:themeColor="text1"/>
          <w:lang w:val="fr-CH"/>
        </w:rPr>
        <w:t xml:space="preserve">Virtanen, T. E., </w:t>
      </w:r>
      <w:proofErr w:type="spellStart"/>
      <w:r w:rsidRPr="00664CA2">
        <w:rPr>
          <w:rFonts w:asciiTheme="majorHAnsi" w:hAnsiTheme="majorHAnsi" w:cstheme="majorHAnsi"/>
          <w:color w:val="000000" w:themeColor="text1"/>
          <w:lang w:val="fr-CH"/>
        </w:rPr>
        <w:t>Vasalampi</w:t>
      </w:r>
      <w:proofErr w:type="spellEnd"/>
      <w:r w:rsidRPr="00664CA2">
        <w:rPr>
          <w:rFonts w:asciiTheme="majorHAnsi" w:hAnsiTheme="majorHAnsi" w:cstheme="majorHAnsi"/>
          <w:color w:val="000000" w:themeColor="text1"/>
          <w:lang w:val="fr-CH"/>
        </w:rPr>
        <w:t xml:space="preserve">, K., </w:t>
      </w:r>
      <w:proofErr w:type="spellStart"/>
      <w:r w:rsidRPr="00664CA2">
        <w:rPr>
          <w:rFonts w:asciiTheme="majorHAnsi" w:hAnsiTheme="majorHAnsi" w:cstheme="majorHAnsi"/>
          <w:color w:val="000000" w:themeColor="text1"/>
          <w:lang w:val="fr-CH"/>
        </w:rPr>
        <w:t>Kiuru</w:t>
      </w:r>
      <w:proofErr w:type="spellEnd"/>
      <w:r w:rsidRPr="00664CA2">
        <w:rPr>
          <w:rFonts w:asciiTheme="majorHAnsi" w:hAnsiTheme="majorHAnsi" w:cstheme="majorHAnsi"/>
          <w:color w:val="000000" w:themeColor="text1"/>
          <w:lang w:val="fr-CH"/>
        </w:rPr>
        <w:t xml:space="preserve">, N., </w:t>
      </w:r>
      <w:proofErr w:type="spellStart"/>
      <w:r w:rsidRPr="00664CA2">
        <w:rPr>
          <w:rFonts w:asciiTheme="majorHAnsi" w:hAnsiTheme="majorHAnsi" w:cstheme="majorHAnsi"/>
          <w:color w:val="000000" w:themeColor="text1"/>
          <w:lang w:val="fr-CH"/>
        </w:rPr>
        <w:t>Lerkkanen</w:t>
      </w:r>
      <w:proofErr w:type="spellEnd"/>
      <w:r w:rsidRPr="00664CA2">
        <w:rPr>
          <w:rFonts w:asciiTheme="majorHAnsi" w:hAnsiTheme="majorHAnsi" w:cstheme="majorHAnsi"/>
          <w:color w:val="000000" w:themeColor="text1"/>
          <w:lang w:val="fr-CH"/>
        </w:rPr>
        <w:t xml:space="preserve">, M.-K., &amp; </w:t>
      </w:r>
      <w:proofErr w:type="spellStart"/>
      <w:r w:rsidRPr="00664CA2">
        <w:rPr>
          <w:rFonts w:asciiTheme="majorHAnsi" w:hAnsiTheme="majorHAnsi" w:cstheme="majorHAnsi"/>
          <w:color w:val="000000" w:themeColor="text1"/>
          <w:lang w:val="fr-CH"/>
        </w:rPr>
        <w:t>Poikkeus</w:t>
      </w:r>
      <w:proofErr w:type="spellEnd"/>
      <w:r w:rsidRPr="00664CA2">
        <w:rPr>
          <w:rFonts w:asciiTheme="majorHAnsi" w:hAnsiTheme="majorHAnsi" w:cstheme="majorHAnsi"/>
          <w:color w:val="000000" w:themeColor="text1"/>
          <w:lang w:val="fr-CH"/>
        </w:rPr>
        <w:t xml:space="preserve">, A.-M. (2020). </w:t>
      </w:r>
      <w:r w:rsidRPr="00EA371F">
        <w:rPr>
          <w:rFonts w:asciiTheme="majorHAnsi" w:hAnsiTheme="majorHAnsi" w:cstheme="majorHAnsi"/>
          <w:color w:val="000000" w:themeColor="text1"/>
          <w:lang w:val="en-US"/>
        </w:rPr>
        <w:t xml:space="preserve">The role of perceived social support as a contributor to the successful transition from primary to lower secondary school. </w:t>
      </w:r>
      <w:r w:rsidRPr="00EA371F">
        <w:rPr>
          <w:rFonts w:asciiTheme="majorHAnsi" w:hAnsiTheme="majorHAnsi" w:cstheme="majorHAnsi"/>
          <w:i/>
          <w:iCs/>
          <w:color w:val="000000" w:themeColor="text1"/>
          <w:lang w:val="en-US"/>
        </w:rPr>
        <w:t>Scandinavian Journal of Educational Research</w:t>
      </w:r>
      <w:r w:rsidRPr="00EA371F">
        <w:rPr>
          <w:rFonts w:asciiTheme="majorHAnsi" w:hAnsiTheme="majorHAnsi" w:cstheme="majorHAnsi"/>
          <w:color w:val="000000" w:themeColor="text1"/>
          <w:lang w:val="en-US"/>
        </w:rPr>
        <w:t xml:space="preserve">, </w:t>
      </w:r>
      <w:r w:rsidRPr="00EA371F">
        <w:rPr>
          <w:rFonts w:asciiTheme="majorHAnsi" w:hAnsiTheme="majorHAnsi" w:cstheme="majorHAnsi"/>
          <w:i/>
          <w:iCs/>
          <w:color w:val="000000" w:themeColor="text1"/>
          <w:lang w:val="en-US"/>
        </w:rPr>
        <w:t>64</w:t>
      </w:r>
      <w:r w:rsidRPr="00EA371F">
        <w:rPr>
          <w:rFonts w:asciiTheme="majorHAnsi" w:hAnsiTheme="majorHAnsi" w:cstheme="majorHAnsi"/>
          <w:color w:val="000000" w:themeColor="text1"/>
          <w:lang w:val="en-US"/>
        </w:rPr>
        <w:t xml:space="preserve">(7), 967-983. </w:t>
      </w:r>
      <w:hyperlink r:id="rId44" w:history="1">
        <w:r w:rsidRPr="00EA371F">
          <w:rPr>
            <w:rStyle w:val="Hyperlink"/>
            <w:rFonts w:asciiTheme="majorHAnsi" w:hAnsiTheme="majorHAnsi" w:cstheme="majorHAnsi"/>
            <w:lang w:val="en-US"/>
          </w:rPr>
          <w:t>https://doi.org/10.1080/00313831.2019.1639816</w:t>
        </w:r>
      </w:hyperlink>
    </w:p>
    <w:p w14:paraId="74FD6640" w14:textId="1CD42463" w:rsidR="00EA371F" w:rsidRPr="00664CA2" w:rsidRDefault="00EA371F" w:rsidP="00EA371F">
      <w:pPr>
        <w:pStyle w:val="Literaturverzeichnis"/>
        <w:jc w:val="both"/>
        <w:rPr>
          <w:rFonts w:asciiTheme="majorHAnsi" w:hAnsiTheme="majorHAnsi" w:cstheme="majorHAnsi"/>
          <w:lang w:val="fr-CH"/>
        </w:rPr>
      </w:pPr>
      <w:r w:rsidRPr="00EA371F">
        <w:rPr>
          <w:rFonts w:asciiTheme="majorHAnsi" w:hAnsiTheme="majorHAnsi" w:cstheme="majorHAnsi"/>
          <w:color w:val="000000" w:themeColor="text1"/>
          <w:shd w:val="clear" w:color="auto" w:fill="FFFFFF"/>
          <w:lang w:val="en-US"/>
        </w:rPr>
        <w:t xml:space="preserve">Walburg, V., Zakari, S., &amp; Chabrol, H. (2014). </w:t>
      </w:r>
      <w:r w:rsidRPr="00664CA2">
        <w:rPr>
          <w:rFonts w:asciiTheme="majorHAnsi" w:hAnsiTheme="majorHAnsi" w:cstheme="majorHAnsi"/>
          <w:color w:val="000000" w:themeColor="text1"/>
          <w:shd w:val="clear" w:color="auto" w:fill="FFFFFF"/>
          <w:lang w:val="fr-CH"/>
        </w:rPr>
        <w:t xml:space="preserve">Rôle du </w:t>
      </w:r>
      <w:r w:rsidRPr="00664CA2">
        <w:rPr>
          <w:rFonts w:asciiTheme="majorHAnsi" w:hAnsiTheme="majorHAnsi" w:cstheme="majorHAnsi"/>
          <w:i/>
          <w:iCs/>
          <w:color w:val="000000" w:themeColor="text1"/>
          <w:shd w:val="clear" w:color="auto" w:fill="FFFFFF"/>
          <w:lang w:val="fr-CH"/>
        </w:rPr>
        <w:t>burnout</w:t>
      </w:r>
      <w:r w:rsidRPr="00664CA2">
        <w:rPr>
          <w:rFonts w:asciiTheme="majorHAnsi" w:hAnsiTheme="majorHAnsi" w:cstheme="majorHAnsi"/>
          <w:color w:val="000000" w:themeColor="text1"/>
          <w:shd w:val="clear" w:color="auto" w:fill="FFFFFF"/>
          <w:lang w:val="fr-CH"/>
        </w:rPr>
        <w:t xml:space="preserve"> scolaire dans les idées de suicide des adolescents. </w:t>
      </w:r>
      <w:r w:rsidRPr="00664CA2">
        <w:rPr>
          <w:rFonts w:asciiTheme="majorHAnsi" w:hAnsiTheme="majorHAnsi" w:cstheme="majorHAnsi"/>
          <w:i/>
          <w:iCs/>
          <w:color w:val="000000" w:themeColor="text1"/>
          <w:shd w:val="clear" w:color="auto" w:fill="FFFFFF"/>
          <w:lang w:val="fr-CH"/>
        </w:rPr>
        <w:t>Neuropsychiatrie de l</w:t>
      </w:r>
      <w:r w:rsidR="00F76938">
        <w:rPr>
          <w:rFonts w:asciiTheme="majorHAnsi" w:hAnsiTheme="majorHAnsi" w:cstheme="majorHAnsi"/>
          <w:i/>
          <w:iCs/>
          <w:color w:val="000000" w:themeColor="text1"/>
          <w:shd w:val="clear" w:color="auto" w:fill="FFFFFF"/>
          <w:lang w:val="fr-CH"/>
        </w:rPr>
        <w:t>’</w:t>
      </w:r>
      <w:r w:rsidRPr="00664CA2">
        <w:rPr>
          <w:rFonts w:asciiTheme="majorHAnsi" w:hAnsiTheme="majorHAnsi" w:cstheme="majorHAnsi"/>
          <w:i/>
          <w:iCs/>
          <w:color w:val="000000" w:themeColor="text1"/>
          <w:shd w:val="clear" w:color="auto" w:fill="FFFFFF"/>
          <w:lang w:val="fr-CH"/>
        </w:rPr>
        <w:t>Enfance et de l</w:t>
      </w:r>
      <w:r w:rsidR="00F76938">
        <w:rPr>
          <w:rFonts w:asciiTheme="majorHAnsi" w:hAnsiTheme="majorHAnsi" w:cstheme="majorHAnsi"/>
          <w:i/>
          <w:iCs/>
          <w:color w:val="000000" w:themeColor="text1"/>
          <w:shd w:val="clear" w:color="auto" w:fill="FFFFFF"/>
          <w:lang w:val="fr-CH"/>
        </w:rPr>
        <w:t>’</w:t>
      </w:r>
      <w:r w:rsidRPr="00664CA2">
        <w:rPr>
          <w:rFonts w:asciiTheme="majorHAnsi" w:hAnsiTheme="majorHAnsi" w:cstheme="majorHAnsi"/>
          <w:i/>
          <w:iCs/>
          <w:color w:val="000000" w:themeColor="text1"/>
          <w:shd w:val="clear" w:color="auto" w:fill="FFFFFF"/>
          <w:lang w:val="fr-CH"/>
        </w:rPr>
        <w:t>Adolescence</w:t>
      </w:r>
      <w:r w:rsidRPr="00664CA2">
        <w:rPr>
          <w:rFonts w:asciiTheme="majorHAnsi" w:hAnsiTheme="majorHAnsi" w:cstheme="majorHAnsi"/>
          <w:color w:val="000000" w:themeColor="text1"/>
          <w:shd w:val="clear" w:color="auto" w:fill="FFFFFF"/>
          <w:lang w:val="fr-CH"/>
        </w:rPr>
        <w:t>, </w:t>
      </w:r>
      <w:r w:rsidRPr="00664CA2">
        <w:rPr>
          <w:rFonts w:asciiTheme="majorHAnsi" w:hAnsiTheme="majorHAnsi" w:cstheme="majorHAnsi"/>
          <w:i/>
          <w:iCs/>
          <w:color w:val="000000" w:themeColor="text1"/>
          <w:shd w:val="clear" w:color="auto" w:fill="FFFFFF"/>
          <w:lang w:val="fr-CH"/>
        </w:rPr>
        <w:t>62</w:t>
      </w:r>
      <w:r w:rsidRPr="00664CA2">
        <w:rPr>
          <w:rFonts w:asciiTheme="majorHAnsi" w:hAnsiTheme="majorHAnsi" w:cstheme="majorHAnsi"/>
          <w:color w:val="000000" w:themeColor="text1"/>
          <w:shd w:val="clear" w:color="auto" w:fill="FFFFFF"/>
          <w:lang w:val="fr-CH"/>
        </w:rPr>
        <w:t xml:space="preserve">(1), 28-32. </w:t>
      </w:r>
      <w:hyperlink r:id="rId45" w:history="1">
        <w:r w:rsidRPr="00664CA2">
          <w:rPr>
            <w:rStyle w:val="Hyperlink"/>
            <w:rFonts w:asciiTheme="majorHAnsi" w:hAnsiTheme="majorHAnsi" w:cstheme="majorHAnsi"/>
            <w:shd w:val="clear" w:color="auto" w:fill="FFFFFF"/>
            <w:lang w:val="fr-CH"/>
          </w:rPr>
          <w:t>https://doi.org/10.1016/j.neurenf.2013.08.002</w:t>
        </w:r>
      </w:hyperlink>
    </w:p>
    <w:p w14:paraId="72F3CBF5" w14:textId="4AC4C9D5" w:rsidR="00870508" w:rsidRPr="00582627" w:rsidRDefault="00EA371F" w:rsidP="00EA371F">
      <w:pPr>
        <w:pStyle w:val="Literaturverzeichnis"/>
        <w:jc w:val="both"/>
        <w:rPr>
          <w:rFonts w:asciiTheme="majorHAnsi" w:hAnsiTheme="majorHAnsi" w:cstheme="majorHAnsi"/>
          <w:lang w:val="en-US"/>
        </w:rPr>
      </w:pPr>
      <w:r w:rsidRPr="00EA371F">
        <w:rPr>
          <w:rFonts w:asciiTheme="majorHAnsi" w:hAnsiTheme="majorHAnsi" w:cstheme="majorHAnsi"/>
          <w:color w:val="222222"/>
          <w:shd w:val="clear" w:color="auto" w:fill="FFFFFF"/>
          <w:lang w:val="en-US"/>
        </w:rPr>
        <w:t xml:space="preserve">Warnock, M., &amp; Norwich, B. (2010). </w:t>
      </w:r>
      <w:r w:rsidRPr="00EA371F">
        <w:rPr>
          <w:rFonts w:asciiTheme="majorHAnsi" w:hAnsiTheme="majorHAnsi" w:cstheme="majorHAnsi"/>
          <w:i/>
          <w:iCs/>
          <w:color w:val="222222"/>
          <w:shd w:val="clear" w:color="auto" w:fill="FFFFFF"/>
          <w:lang w:val="en-US"/>
        </w:rPr>
        <w:t>Special educational needs: A new look</w:t>
      </w:r>
      <w:r w:rsidRPr="00EA371F">
        <w:rPr>
          <w:rFonts w:asciiTheme="majorHAnsi" w:hAnsiTheme="majorHAnsi" w:cstheme="majorHAnsi"/>
          <w:color w:val="222222"/>
          <w:shd w:val="clear" w:color="auto" w:fill="FFFFFF"/>
          <w:lang w:val="en-US"/>
        </w:rPr>
        <w:t xml:space="preserve"> (2e</w:t>
      </w:r>
      <w:r w:rsidR="00582627">
        <w:rPr>
          <w:rFonts w:asciiTheme="majorHAnsi" w:hAnsiTheme="majorHAnsi" w:cstheme="majorHAnsi"/>
          <w:color w:val="222222"/>
          <w:shd w:val="clear" w:color="auto" w:fill="FFFFFF"/>
          <w:lang w:val="en-US"/>
        </w:rPr>
        <w:t> </w:t>
      </w:r>
      <w:proofErr w:type="spellStart"/>
      <w:r w:rsidRPr="00EA371F">
        <w:rPr>
          <w:rFonts w:asciiTheme="majorHAnsi" w:hAnsiTheme="majorHAnsi" w:cstheme="majorHAnsi"/>
          <w:color w:val="222222"/>
          <w:shd w:val="clear" w:color="auto" w:fill="FFFFFF"/>
          <w:lang w:val="en-US"/>
        </w:rPr>
        <w:t>éd</w:t>
      </w:r>
      <w:proofErr w:type="spellEnd"/>
      <w:r w:rsidRPr="00EA371F">
        <w:rPr>
          <w:rFonts w:asciiTheme="majorHAnsi" w:hAnsiTheme="majorHAnsi" w:cstheme="majorHAnsi"/>
          <w:color w:val="222222"/>
          <w:shd w:val="clear" w:color="auto" w:fill="FFFFFF"/>
          <w:lang w:val="en-US"/>
        </w:rPr>
        <w:t xml:space="preserve">.). </w:t>
      </w:r>
      <w:r w:rsidRPr="00582627">
        <w:rPr>
          <w:rFonts w:asciiTheme="majorHAnsi" w:hAnsiTheme="majorHAnsi" w:cstheme="majorHAnsi"/>
          <w:color w:val="222222"/>
          <w:shd w:val="clear" w:color="auto" w:fill="FFFFFF"/>
          <w:lang w:val="en-US"/>
        </w:rPr>
        <w:t>Bloomsbury Publishing</w:t>
      </w:r>
    </w:p>
    <w:sectPr w:rsidR="00870508" w:rsidRPr="00582627" w:rsidSect="005D08D2">
      <w:headerReference w:type="default" r:id="rId46"/>
      <w:footerReference w:type="default" r:id="rId47"/>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995A" w14:textId="77777777" w:rsidR="00E04218" w:rsidRDefault="00E04218">
      <w:pPr>
        <w:spacing w:line="240" w:lineRule="auto"/>
      </w:pPr>
      <w:r>
        <w:separator/>
      </w:r>
    </w:p>
  </w:endnote>
  <w:endnote w:type="continuationSeparator" w:id="0">
    <w:p w14:paraId="0A08B8A2" w14:textId="77777777" w:rsidR="00E04218" w:rsidRDefault="00E04218">
      <w:pPr>
        <w:spacing w:line="240" w:lineRule="auto"/>
      </w:pPr>
      <w:r>
        <w:continuationSeparator/>
      </w:r>
    </w:p>
  </w:endnote>
  <w:endnote w:type="continuationNotice" w:id="1">
    <w:p w14:paraId="0DED0B56" w14:textId="77777777" w:rsidR="00E04218" w:rsidRDefault="00E042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FB34564-473A-4872-8318-CDA55BC4468B}"/>
    <w:embedBold r:id="rId2" w:fontKey="{BBEEB2CF-081F-4CD4-989C-550A6EA7A33B}"/>
    <w:embedItalic r:id="rId3" w:fontKey="{77A9D562-B11F-4956-907D-5C8D2CD10CBB}"/>
    <w:embedBoldItalic r:id="rId4" w:fontKey="{0863B0AB-0C4C-4107-A5A4-D1B8C7B14F03}"/>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9250BC66-4ACD-41A3-8CB1-0E0D2087AC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EF29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DC7BDAE" wp14:editId="42C46A4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B291" w14:textId="77777777" w:rsidR="00E04218" w:rsidRPr="00777A2F" w:rsidRDefault="00E0421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2F97CE" w14:textId="77777777" w:rsidR="00E04218" w:rsidRDefault="00E04218">
      <w:r>
        <w:continuationSeparator/>
      </w:r>
    </w:p>
  </w:footnote>
  <w:footnote w:type="continuationNotice" w:id="1">
    <w:p w14:paraId="5E60FE69" w14:textId="77777777" w:rsidR="00E04218" w:rsidRDefault="00E042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B07" w14:textId="3DC29BA4"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5B07EA3A" wp14:editId="59B19C5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A200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Revue Suisse de Pédagogie Spécialisée, Vol.</w:t>
    </w:r>
    <w:r w:rsidR="00633ABD">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0731F430"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87E0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10.75pt;height:11.35pt;visibility:visible;mso-wrap-style:square">
            <v:imagedata r:id="rId1" o:title=""/>
          </v:shape>
        </w:pict>
      </mc:Choice>
      <mc:Fallback>
        <w:drawing>
          <wp:inline distT="0" distB="0" distL="0" distR="0" wp14:anchorId="6518FCE9" wp14:editId="0AAB5761">
            <wp:extent cx="136800" cy="144000"/>
            <wp:effectExtent l="0" t="0" r="0" b="8890"/>
            <wp:docPr id="7608955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9082" name=""/>
                    <pic:cNvPicPr/>
                  </pic:nvPicPr>
                  <pic:blipFill>
                    <a:blip r:embed="rId2"/>
                    <a:stretch>
                      <a:fillRect/>
                    </a:stretch>
                  </pic:blipFill>
                  <pic:spPr>
                    <a:xfrm>
                      <a:off x="0" y="0"/>
                      <a:ext cx="136800" cy="144000"/>
                    </a:xfrm>
                    <a:prstGeom prst="rect">
                      <a:avLst/>
                    </a:prstGeom>
                  </pic:spPr>
                </pic:pic>
              </a:graphicData>
            </a:graphic>
          </wp:inline>
        </w:drawing>
      </mc:Fallback>
    </mc:AlternateContent>
  </w:numPicBullet>
  <w:abstractNum w:abstractNumId="0" w15:restartNumberingAfterBreak="0">
    <w:nsid w:val="FFFFFF7C"/>
    <w:multiLevelType w:val="singleLevel"/>
    <w:tmpl w:val="F8CEA8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2EDAD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E2E2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07C506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5BAE01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A46DDE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B5CE16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FD14F61"/>
    <w:multiLevelType w:val="hybridMultilevel"/>
    <w:tmpl w:val="199829A6"/>
    <w:lvl w:ilvl="0" w:tplc="40C63D4A">
      <w:start w:val="1"/>
      <w:numFmt w:val="bullet"/>
      <w:lvlText w:val=""/>
      <w:lvlPicBulletId w:val="0"/>
      <w:lvlJc w:val="left"/>
      <w:pPr>
        <w:tabs>
          <w:tab w:val="num" w:pos="720"/>
        </w:tabs>
        <w:ind w:left="720" w:hanging="360"/>
      </w:pPr>
      <w:rPr>
        <w:rFonts w:ascii="Symbol" w:hAnsi="Symbol" w:hint="default"/>
      </w:rPr>
    </w:lvl>
    <w:lvl w:ilvl="1" w:tplc="CD3888A4" w:tentative="1">
      <w:start w:val="1"/>
      <w:numFmt w:val="bullet"/>
      <w:lvlText w:val=""/>
      <w:lvlJc w:val="left"/>
      <w:pPr>
        <w:tabs>
          <w:tab w:val="num" w:pos="1440"/>
        </w:tabs>
        <w:ind w:left="1440" w:hanging="360"/>
      </w:pPr>
      <w:rPr>
        <w:rFonts w:ascii="Symbol" w:hAnsi="Symbol" w:hint="default"/>
      </w:rPr>
    </w:lvl>
    <w:lvl w:ilvl="2" w:tplc="A5BA5134" w:tentative="1">
      <w:start w:val="1"/>
      <w:numFmt w:val="bullet"/>
      <w:lvlText w:val=""/>
      <w:lvlJc w:val="left"/>
      <w:pPr>
        <w:tabs>
          <w:tab w:val="num" w:pos="2160"/>
        </w:tabs>
        <w:ind w:left="2160" w:hanging="360"/>
      </w:pPr>
      <w:rPr>
        <w:rFonts w:ascii="Symbol" w:hAnsi="Symbol" w:hint="default"/>
      </w:rPr>
    </w:lvl>
    <w:lvl w:ilvl="3" w:tplc="A7AA9030" w:tentative="1">
      <w:start w:val="1"/>
      <w:numFmt w:val="bullet"/>
      <w:lvlText w:val=""/>
      <w:lvlJc w:val="left"/>
      <w:pPr>
        <w:tabs>
          <w:tab w:val="num" w:pos="2880"/>
        </w:tabs>
        <w:ind w:left="2880" w:hanging="360"/>
      </w:pPr>
      <w:rPr>
        <w:rFonts w:ascii="Symbol" w:hAnsi="Symbol" w:hint="default"/>
      </w:rPr>
    </w:lvl>
    <w:lvl w:ilvl="4" w:tplc="E6C6BF22" w:tentative="1">
      <w:start w:val="1"/>
      <w:numFmt w:val="bullet"/>
      <w:lvlText w:val=""/>
      <w:lvlJc w:val="left"/>
      <w:pPr>
        <w:tabs>
          <w:tab w:val="num" w:pos="3600"/>
        </w:tabs>
        <w:ind w:left="3600" w:hanging="360"/>
      </w:pPr>
      <w:rPr>
        <w:rFonts w:ascii="Symbol" w:hAnsi="Symbol" w:hint="default"/>
      </w:rPr>
    </w:lvl>
    <w:lvl w:ilvl="5" w:tplc="351268E2" w:tentative="1">
      <w:start w:val="1"/>
      <w:numFmt w:val="bullet"/>
      <w:lvlText w:val=""/>
      <w:lvlJc w:val="left"/>
      <w:pPr>
        <w:tabs>
          <w:tab w:val="num" w:pos="4320"/>
        </w:tabs>
        <w:ind w:left="4320" w:hanging="360"/>
      </w:pPr>
      <w:rPr>
        <w:rFonts w:ascii="Symbol" w:hAnsi="Symbol" w:hint="default"/>
      </w:rPr>
    </w:lvl>
    <w:lvl w:ilvl="6" w:tplc="438A8680" w:tentative="1">
      <w:start w:val="1"/>
      <w:numFmt w:val="bullet"/>
      <w:lvlText w:val=""/>
      <w:lvlJc w:val="left"/>
      <w:pPr>
        <w:tabs>
          <w:tab w:val="num" w:pos="5040"/>
        </w:tabs>
        <w:ind w:left="5040" w:hanging="360"/>
      </w:pPr>
      <w:rPr>
        <w:rFonts w:ascii="Symbol" w:hAnsi="Symbol" w:hint="default"/>
      </w:rPr>
    </w:lvl>
    <w:lvl w:ilvl="7" w:tplc="59EAF3EC" w:tentative="1">
      <w:start w:val="1"/>
      <w:numFmt w:val="bullet"/>
      <w:lvlText w:val=""/>
      <w:lvlJc w:val="left"/>
      <w:pPr>
        <w:tabs>
          <w:tab w:val="num" w:pos="5760"/>
        </w:tabs>
        <w:ind w:left="5760" w:hanging="360"/>
      </w:pPr>
      <w:rPr>
        <w:rFonts w:ascii="Symbol" w:hAnsi="Symbol" w:hint="default"/>
      </w:rPr>
    </w:lvl>
    <w:lvl w:ilvl="8" w:tplc="3AE6DD8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0960DFA"/>
    <w:multiLevelType w:val="hybridMultilevel"/>
    <w:tmpl w:val="B04E187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9161870"/>
    <w:multiLevelType w:val="multilevel"/>
    <w:tmpl w:val="A63492A4"/>
    <w:lvl w:ilvl="0">
      <w:start w:val="1"/>
      <w:numFmt w:val="decimal"/>
      <w:pStyle w:val="Bibliographie1"/>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944834"/>
    <w:multiLevelType w:val="hybridMultilevel"/>
    <w:tmpl w:val="7D5CD3F4"/>
    <w:lvl w:ilvl="0" w:tplc="B6D0ED8C">
      <w:start w:val="1"/>
      <w:numFmt w:val="bullet"/>
      <w:lvlText w:val=""/>
      <w:lvlPicBulletId w:val="0"/>
      <w:lvlJc w:val="left"/>
      <w:pPr>
        <w:tabs>
          <w:tab w:val="num" w:pos="720"/>
        </w:tabs>
        <w:ind w:left="720" w:hanging="360"/>
      </w:pPr>
      <w:rPr>
        <w:rFonts w:ascii="Symbol" w:hAnsi="Symbol" w:hint="default"/>
      </w:rPr>
    </w:lvl>
    <w:lvl w:ilvl="1" w:tplc="C90EA142" w:tentative="1">
      <w:start w:val="1"/>
      <w:numFmt w:val="bullet"/>
      <w:lvlText w:val=""/>
      <w:lvlJc w:val="left"/>
      <w:pPr>
        <w:tabs>
          <w:tab w:val="num" w:pos="1440"/>
        </w:tabs>
        <w:ind w:left="1440" w:hanging="360"/>
      </w:pPr>
      <w:rPr>
        <w:rFonts w:ascii="Symbol" w:hAnsi="Symbol" w:hint="default"/>
      </w:rPr>
    </w:lvl>
    <w:lvl w:ilvl="2" w:tplc="DB2A679C" w:tentative="1">
      <w:start w:val="1"/>
      <w:numFmt w:val="bullet"/>
      <w:lvlText w:val=""/>
      <w:lvlJc w:val="left"/>
      <w:pPr>
        <w:tabs>
          <w:tab w:val="num" w:pos="2160"/>
        </w:tabs>
        <w:ind w:left="2160" w:hanging="360"/>
      </w:pPr>
      <w:rPr>
        <w:rFonts w:ascii="Symbol" w:hAnsi="Symbol" w:hint="default"/>
      </w:rPr>
    </w:lvl>
    <w:lvl w:ilvl="3" w:tplc="5FD04AD8" w:tentative="1">
      <w:start w:val="1"/>
      <w:numFmt w:val="bullet"/>
      <w:lvlText w:val=""/>
      <w:lvlJc w:val="left"/>
      <w:pPr>
        <w:tabs>
          <w:tab w:val="num" w:pos="2880"/>
        </w:tabs>
        <w:ind w:left="2880" w:hanging="360"/>
      </w:pPr>
      <w:rPr>
        <w:rFonts w:ascii="Symbol" w:hAnsi="Symbol" w:hint="default"/>
      </w:rPr>
    </w:lvl>
    <w:lvl w:ilvl="4" w:tplc="B0C4C944" w:tentative="1">
      <w:start w:val="1"/>
      <w:numFmt w:val="bullet"/>
      <w:lvlText w:val=""/>
      <w:lvlJc w:val="left"/>
      <w:pPr>
        <w:tabs>
          <w:tab w:val="num" w:pos="3600"/>
        </w:tabs>
        <w:ind w:left="3600" w:hanging="360"/>
      </w:pPr>
      <w:rPr>
        <w:rFonts w:ascii="Symbol" w:hAnsi="Symbol" w:hint="default"/>
      </w:rPr>
    </w:lvl>
    <w:lvl w:ilvl="5" w:tplc="C3A29388" w:tentative="1">
      <w:start w:val="1"/>
      <w:numFmt w:val="bullet"/>
      <w:lvlText w:val=""/>
      <w:lvlJc w:val="left"/>
      <w:pPr>
        <w:tabs>
          <w:tab w:val="num" w:pos="4320"/>
        </w:tabs>
        <w:ind w:left="4320" w:hanging="360"/>
      </w:pPr>
      <w:rPr>
        <w:rFonts w:ascii="Symbol" w:hAnsi="Symbol" w:hint="default"/>
      </w:rPr>
    </w:lvl>
    <w:lvl w:ilvl="6" w:tplc="61B83472" w:tentative="1">
      <w:start w:val="1"/>
      <w:numFmt w:val="bullet"/>
      <w:lvlText w:val=""/>
      <w:lvlJc w:val="left"/>
      <w:pPr>
        <w:tabs>
          <w:tab w:val="num" w:pos="5040"/>
        </w:tabs>
        <w:ind w:left="5040" w:hanging="360"/>
      </w:pPr>
      <w:rPr>
        <w:rFonts w:ascii="Symbol" w:hAnsi="Symbol" w:hint="default"/>
      </w:rPr>
    </w:lvl>
    <w:lvl w:ilvl="7" w:tplc="618EE020" w:tentative="1">
      <w:start w:val="1"/>
      <w:numFmt w:val="bullet"/>
      <w:lvlText w:val=""/>
      <w:lvlJc w:val="left"/>
      <w:pPr>
        <w:tabs>
          <w:tab w:val="num" w:pos="5760"/>
        </w:tabs>
        <w:ind w:left="5760" w:hanging="360"/>
      </w:pPr>
      <w:rPr>
        <w:rFonts w:ascii="Symbol" w:hAnsi="Symbol" w:hint="default"/>
      </w:rPr>
    </w:lvl>
    <w:lvl w:ilvl="8" w:tplc="B006465A" w:tentative="1">
      <w:start w:val="1"/>
      <w:numFmt w:val="bullet"/>
      <w:lvlText w:val=""/>
      <w:lvlJc w:val="left"/>
      <w:pPr>
        <w:tabs>
          <w:tab w:val="num" w:pos="6480"/>
        </w:tabs>
        <w:ind w:left="6480" w:hanging="360"/>
      </w:pPr>
      <w:rPr>
        <w:rFonts w:ascii="Symbol" w:hAnsi="Symbol" w:hint="default"/>
      </w:rPr>
    </w:lvl>
  </w:abstractNum>
  <w:num w:numId="1" w16cid:durableId="1816487952">
    <w:abstractNumId w:val="8"/>
  </w:num>
  <w:num w:numId="2" w16cid:durableId="379716589">
    <w:abstractNumId w:val="12"/>
  </w:num>
  <w:num w:numId="3" w16cid:durableId="1479614155">
    <w:abstractNumId w:val="7"/>
  </w:num>
  <w:num w:numId="4" w16cid:durableId="995303504">
    <w:abstractNumId w:val="10"/>
  </w:num>
  <w:num w:numId="5" w16cid:durableId="686978525">
    <w:abstractNumId w:val="11"/>
  </w:num>
  <w:num w:numId="6" w16cid:durableId="606276944">
    <w:abstractNumId w:val="9"/>
  </w:num>
  <w:num w:numId="7" w16cid:durableId="520751376">
    <w:abstractNumId w:val="13"/>
  </w:num>
  <w:num w:numId="8" w16cid:durableId="2114015771">
    <w:abstractNumId w:val="6"/>
  </w:num>
  <w:num w:numId="9" w16cid:durableId="979072643">
    <w:abstractNumId w:val="5"/>
  </w:num>
  <w:num w:numId="10" w16cid:durableId="2001150602">
    <w:abstractNumId w:val="4"/>
  </w:num>
  <w:num w:numId="11" w16cid:durableId="1497040160">
    <w:abstractNumId w:val="3"/>
  </w:num>
  <w:num w:numId="12" w16cid:durableId="420491393">
    <w:abstractNumId w:val="2"/>
  </w:num>
  <w:num w:numId="13" w16cid:durableId="1936134754">
    <w:abstractNumId w:val="1"/>
  </w:num>
  <w:num w:numId="14" w16cid:durableId="1117991888">
    <w:abstractNumId w:val="0"/>
  </w:num>
  <w:num w:numId="15" w16cid:durableId="1810591991">
    <w:abstractNumId w:val="1"/>
  </w:num>
  <w:num w:numId="16" w16cid:durableId="237634537">
    <w:abstractNumId w:val="0"/>
  </w:num>
  <w:num w:numId="17" w16cid:durableId="1841312336">
    <w:abstractNumId w:val="1"/>
  </w:num>
  <w:num w:numId="18" w16cid:durableId="572205388">
    <w:abstractNumId w:val="0"/>
  </w:num>
  <w:num w:numId="19" w16cid:durableId="553850323">
    <w:abstractNumId w:val="1"/>
  </w:num>
  <w:num w:numId="20" w16cid:durableId="1470590296">
    <w:abstractNumId w:val="0"/>
  </w:num>
  <w:num w:numId="21" w16cid:durableId="142894150">
    <w:abstractNumId w:val="1"/>
  </w:num>
  <w:num w:numId="22" w16cid:durableId="1436513457">
    <w:abstractNumId w:val="0"/>
  </w:num>
  <w:num w:numId="23" w16cid:durableId="552238063">
    <w:abstractNumId w:val="1"/>
  </w:num>
  <w:num w:numId="24" w16cid:durableId="308940267">
    <w:abstractNumId w:val="0"/>
  </w:num>
  <w:num w:numId="25" w16cid:durableId="20208153">
    <w:abstractNumId w:val="1"/>
  </w:num>
  <w:num w:numId="26" w16cid:durableId="1454906828">
    <w:abstractNumId w:val="0"/>
  </w:num>
  <w:num w:numId="27" w16cid:durableId="2136875166">
    <w:abstractNumId w:val="1"/>
  </w:num>
  <w:num w:numId="28" w16cid:durableId="184828505">
    <w:abstractNumId w:val="0"/>
  </w:num>
  <w:num w:numId="29" w16cid:durableId="302391230">
    <w:abstractNumId w:val="1"/>
  </w:num>
  <w:num w:numId="30" w16cid:durableId="1234391500">
    <w:abstractNumId w:val="0"/>
  </w:num>
  <w:num w:numId="31" w16cid:durableId="2115636775">
    <w:abstractNumId w:val="1"/>
  </w:num>
  <w:num w:numId="32" w16cid:durableId="888107941">
    <w:abstractNumId w:val="0"/>
  </w:num>
  <w:num w:numId="33" w16cid:durableId="1588614854">
    <w:abstractNumId w:val="1"/>
  </w:num>
  <w:num w:numId="34" w16cid:durableId="226570674">
    <w:abstractNumId w:val="0"/>
  </w:num>
  <w:num w:numId="35" w16cid:durableId="1925456440">
    <w:abstractNumId w:val="1"/>
  </w:num>
  <w:num w:numId="36" w16cid:durableId="127554913">
    <w:abstractNumId w:val="0"/>
  </w:num>
  <w:num w:numId="37" w16cid:durableId="1056974906">
    <w:abstractNumId w:val="1"/>
  </w:num>
  <w:num w:numId="38" w16cid:durableId="831869646">
    <w:abstractNumId w:val="0"/>
  </w:num>
  <w:num w:numId="39" w16cid:durableId="621691279">
    <w:abstractNumId w:val="1"/>
  </w:num>
  <w:num w:numId="40" w16cid:durableId="1057126891">
    <w:abstractNumId w:val="0"/>
  </w:num>
  <w:num w:numId="41" w16cid:durableId="894510857">
    <w:abstractNumId w:val="1"/>
  </w:num>
  <w:num w:numId="42" w16cid:durableId="1720858590">
    <w:abstractNumId w:val="0"/>
  </w:num>
  <w:num w:numId="43" w16cid:durableId="1260944306">
    <w:abstractNumId w:val="1"/>
  </w:num>
  <w:num w:numId="44" w16cid:durableId="1898128959">
    <w:abstractNumId w:val="0"/>
  </w:num>
  <w:num w:numId="45" w16cid:durableId="612395927">
    <w:abstractNumId w:val="1"/>
  </w:num>
  <w:num w:numId="46" w16cid:durableId="6713698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8D"/>
    <w:rsid w:val="000011C9"/>
    <w:rsid w:val="00001656"/>
    <w:rsid w:val="00002AFB"/>
    <w:rsid w:val="00016BFF"/>
    <w:rsid w:val="00024143"/>
    <w:rsid w:val="00027F14"/>
    <w:rsid w:val="000302CB"/>
    <w:rsid w:val="0003314D"/>
    <w:rsid w:val="00034134"/>
    <w:rsid w:val="000352CE"/>
    <w:rsid w:val="00037AE3"/>
    <w:rsid w:val="000412A2"/>
    <w:rsid w:val="00044652"/>
    <w:rsid w:val="00046BAC"/>
    <w:rsid w:val="00053353"/>
    <w:rsid w:val="000759D7"/>
    <w:rsid w:val="00096F04"/>
    <w:rsid w:val="000A7A79"/>
    <w:rsid w:val="000B5BB8"/>
    <w:rsid w:val="000D218D"/>
    <w:rsid w:val="000D401D"/>
    <w:rsid w:val="000E3714"/>
    <w:rsid w:val="000E6A66"/>
    <w:rsid w:val="000F0956"/>
    <w:rsid w:val="000F4B54"/>
    <w:rsid w:val="000F5288"/>
    <w:rsid w:val="000F639D"/>
    <w:rsid w:val="000F78A6"/>
    <w:rsid w:val="000F7957"/>
    <w:rsid w:val="0010334E"/>
    <w:rsid w:val="001114E2"/>
    <w:rsid w:val="001150A5"/>
    <w:rsid w:val="00115EF5"/>
    <w:rsid w:val="001161D6"/>
    <w:rsid w:val="00120652"/>
    <w:rsid w:val="00120CBF"/>
    <w:rsid w:val="00134530"/>
    <w:rsid w:val="001460D8"/>
    <w:rsid w:val="00151BCA"/>
    <w:rsid w:val="00152443"/>
    <w:rsid w:val="00153133"/>
    <w:rsid w:val="00155D7B"/>
    <w:rsid w:val="00157D7E"/>
    <w:rsid w:val="001666E8"/>
    <w:rsid w:val="00167858"/>
    <w:rsid w:val="0018320F"/>
    <w:rsid w:val="00186DC2"/>
    <w:rsid w:val="001A1204"/>
    <w:rsid w:val="001A2EEC"/>
    <w:rsid w:val="001B05BD"/>
    <w:rsid w:val="001B16E8"/>
    <w:rsid w:val="001B25F3"/>
    <w:rsid w:val="001B775A"/>
    <w:rsid w:val="001B7781"/>
    <w:rsid w:val="001D0E8A"/>
    <w:rsid w:val="001D3BFB"/>
    <w:rsid w:val="001E36FE"/>
    <w:rsid w:val="001E3BE9"/>
    <w:rsid w:val="001F0828"/>
    <w:rsid w:val="001F4BA0"/>
    <w:rsid w:val="00202A19"/>
    <w:rsid w:val="0020467E"/>
    <w:rsid w:val="0022028B"/>
    <w:rsid w:val="00227C39"/>
    <w:rsid w:val="00235A6C"/>
    <w:rsid w:val="00236B81"/>
    <w:rsid w:val="002413DA"/>
    <w:rsid w:val="002443A6"/>
    <w:rsid w:val="00245764"/>
    <w:rsid w:val="00246E69"/>
    <w:rsid w:val="00272B18"/>
    <w:rsid w:val="00276890"/>
    <w:rsid w:val="00276B2C"/>
    <w:rsid w:val="00284EA0"/>
    <w:rsid w:val="002862AA"/>
    <w:rsid w:val="002A0A4E"/>
    <w:rsid w:val="002A4819"/>
    <w:rsid w:val="002B63AB"/>
    <w:rsid w:val="002C5235"/>
    <w:rsid w:val="002D7226"/>
    <w:rsid w:val="002E13B6"/>
    <w:rsid w:val="002E5374"/>
    <w:rsid w:val="002E640D"/>
    <w:rsid w:val="0030447C"/>
    <w:rsid w:val="00307EC7"/>
    <w:rsid w:val="00322024"/>
    <w:rsid w:val="003222A6"/>
    <w:rsid w:val="00323A66"/>
    <w:rsid w:val="003542CD"/>
    <w:rsid w:val="003624BD"/>
    <w:rsid w:val="0036365D"/>
    <w:rsid w:val="00365730"/>
    <w:rsid w:val="00366614"/>
    <w:rsid w:val="00372E16"/>
    <w:rsid w:val="003819B7"/>
    <w:rsid w:val="00382314"/>
    <w:rsid w:val="00383074"/>
    <w:rsid w:val="00386CFF"/>
    <w:rsid w:val="00396354"/>
    <w:rsid w:val="0039657A"/>
    <w:rsid w:val="003A0EA7"/>
    <w:rsid w:val="003A2717"/>
    <w:rsid w:val="003B4C81"/>
    <w:rsid w:val="003C5175"/>
    <w:rsid w:val="003D221C"/>
    <w:rsid w:val="003D502F"/>
    <w:rsid w:val="003E022D"/>
    <w:rsid w:val="003E0578"/>
    <w:rsid w:val="003E5599"/>
    <w:rsid w:val="003F11F8"/>
    <w:rsid w:val="003F5B1B"/>
    <w:rsid w:val="003F6A6B"/>
    <w:rsid w:val="003F78C2"/>
    <w:rsid w:val="00401236"/>
    <w:rsid w:val="00402760"/>
    <w:rsid w:val="004027D5"/>
    <w:rsid w:val="00404F18"/>
    <w:rsid w:val="00406419"/>
    <w:rsid w:val="004108D3"/>
    <w:rsid w:val="004136BC"/>
    <w:rsid w:val="00414332"/>
    <w:rsid w:val="004147D8"/>
    <w:rsid w:val="00416C8A"/>
    <w:rsid w:val="004172B3"/>
    <w:rsid w:val="0041794E"/>
    <w:rsid w:val="00421D05"/>
    <w:rsid w:val="0042486F"/>
    <w:rsid w:val="00426606"/>
    <w:rsid w:val="00431A10"/>
    <w:rsid w:val="00441F45"/>
    <w:rsid w:val="0045144F"/>
    <w:rsid w:val="00454BCF"/>
    <w:rsid w:val="00460C27"/>
    <w:rsid w:val="00463907"/>
    <w:rsid w:val="00467E46"/>
    <w:rsid w:val="0047168D"/>
    <w:rsid w:val="004779A2"/>
    <w:rsid w:val="00486270"/>
    <w:rsid w:val="004A2854"/>
    <w:rsid w:val="004A421C"/>
    <w:rsid w:val="004B1834"/>
    <w:rsid w:val="004B29F8"/>
    <w:rsid w:val="004B3001"/>
    <w:rsid w:val="004B3A29"/>
    <w:rsid w:val="004C13EB"/>
    <w:rsid w:val="004C4A76"/>
    <w:rsid w:val="004D542D"/>
    <w:rsid w:val="004D58AC"/>
    <w:rsid w:val="004E1B0B"/>
    <w:rsid w:val="004E232F"/>
    <w:rsid w:val="004E307D"/>
    <w:rsid w:val="004F5C23"/>
    <w:rsid w:val="004F72ED"/>
    <w:rsid w:val="005055D5"/>
    <w:rsid w:val="00520B68"/>
    <w:rsid w:val="00521559"/>
    <w:rsid w:val="0052495B"/>
    <w:rsid w:val="00530E98"/>
    <w:rsid w:val="00533DA1"/>
    <w:rsid w:val="005424CB"/>
    <w:rsid w:val="00546490"/>
    <w:rsid w:val="00547865"/>
    <w:rsid w:val="0055561F"/>
    <w:rsid w:val="005574F8"/>
    <w:rsid w:val="0056578A"/>
    <w:rsid w:val="0056595B"/>
    <w:rsid w:val="005668D1"/>
    <w:rsid w:val="00567272"/>
    <w:rsid w:val="0057094A"/>
    <w:rsid w:val="00571C0D"/>
    <w:rsid w:val="00572C4C"/>
    <w:rsid w:val="005742DA"/>
    <w:rsid w:val="00574A99"/>
    <w:rsid w:val="0057605E"/>
    <w:rsid w:val="00576E09"/>
    <w:rsid w:val="00577261"/>
    <w:rsid w:val="00581DB2"/>
    <w:rsid w:val="00582627"/>
    <w:rsid w:val="00585ED0"/>
    <w:rsid w:val="00594747"/>
    <w:rsid w:val="00594844"/>
    <w:rsid w:val="00595850"/>
    <w:rsid w:val="00596844"/>
    <w:rsid w:val="005A11D0"/>
    <w:rsid w:val="005A646E"/>
    <w:rsid w:val="005A64FB"/>
    <w:rsid w:val="005A6F41"/>
    <w:rsid w:val="005A7992"/>
    <w:rsid w:val="005A7AE7"/>
    <w:rsid w:val="005B4ED6"/>
    <w:rsid w:val="005C0514"/>
    <w:rsid w:val="005C0F16"/>
    <w:rsid w:val="005C4423"/>
    <w:rsid w:val="005D08D2"/>
    <w:rsid w:val="005D15B8"/>
    <w:rsid w:val="005E150A"/>
    <w:rsid w:val="005E2040"/>
    <w:rsid w:val="005E7DD5"/>
    <w:rsid w:val="00601F10"/>
    <w:rsid w:val="006111D5"/>
    <w:rsid w:val="006111F5"/>
    <w:rsid w:val="006142BC"/>
    <w:rsid w:val="00623E11"/>
    <w:rsid w:val="00623FB4"/>
    <w:rsid w:val="00633ABD"/>
    <w:rsid w:val="006411DE"/>
    <w:rsid w:val="00641AF6"/>
    <w:rsid w:val="006448C5"/>
    <w:rsid w:val="00644B76"/>
    <w:rsid w:val="00644BAD"/>
    <w:rsid w:val="006555BD"/>
    <w:rsid w:val="006644A2"/>
    <w:rsid w:val="00664CA2"/>
    <w:rsid w:val="00666183"/>
    <w:rsid w:val="006676E2"/>
    <w:rsid w:val="00667E88"/>
    <w:rsid w:val="00670300"/>
    <w:rsid w:val="0067483E"/>
    <w:rsid w:val="00681FA7"/>
    <w:rsid w:val="00682B8C"/>
    <w:rsid w:val="00685EB4"/>
    <w:rsid w:val="00692EF2"/>
    <w:rsid w:val="0069601C"/>
    <w:rsid w:val="006A113E"/>
    <w:rsid w:val="006A2BB4"/>
    <w:rsid w:val="006A4C05"/>
    <w:rsid w:val="006B2320"/>
    <w:rsid w:val="006B5540"/>
    <w:rsid w:val="006C2B84"/>
    <w:rsid w:val="006C3DFC"/>
    <w:rsid w:val="006D1180"/>
    <w:rsid w:val="006D5D28"/>
    <w:rsid w:val="006E210A"/>
    <w:rsid w:val="006E260B"/>
    <w:rsid w:val="00702BE5"/>
    <w:rsid w:val="00706F7B"/>
    <w:rsid w:val="007155B8"/>
    <w:rsid w:val="0071569E"/>
    <w:rsid w:val="0072165F"/>
    <w:rsid w:val="0072387F"/>
    <w:rsid w:val="00735BD1"/>
    <w:rsid w:val="007373E7"/>
    <w:rsid w:val="00740EAE"/>
    <w:rsid w:val="0074167D"/>
    <w:rsid w:val="007424F5"/>
    <w:rsid w:val="007441B5"/>
    <w:rsid w:val="0074442C"/>
    <w:rsid w:val="007471BF"/>
    <w:rsid w:val="00754503"/>
    <w:rsid w:val="007703F2"/>
    <w:rsid w:val="00771D10"/>
    <w:rsid w:val="00771F40"/>
    <w:rsid w:val="00777A2F"/>
    <w:rsid w:val="0078108D"/>
    <w:rsid w:val="007858D0"/>
    <w:rsid w:val="00787A36"/>
    <w:rsid w:val="00787B6E"/>
    <w:rsid w:val="00792D51"/>
    <w:rsid w:val="007A3489"/>
    <w:rsid w:val="007A75E1"/>
    <w:rsid w:val="007B448B"/>
    <w:rsid w:val="007B4F54"/>
    <w:rsid w:val="007B5701"/>
    <w:rsid w:val="007B62B5"/>
    <w:rsid w:val="007C5AB3"/>
    <w:rsid w:val="007C5D5B"/>
    <w:rsid w:val="007E78D0"/>
    <w:rsid w:val="007F2B37"/>
    <w:rsid w:val="007F43B0"/>
    <w:rsid w:val="007F5E1D"/>
    <w:rsid w:val="00811C2F"/>
    <w:rsid w:val="008152E5"/>
    <w:rsid w:val="00822118"/>
    <w:rsid w:val="00830771"/>
    <w:rsid w:val="00830A17"/>
    <w:rsid w:val="008351F7"/>
    <w:rsid w:val="00842519"/>
    <w:rsid w:val="00842BD7"/>
    <w:rsid w:val="00853805"/>
    <w:rsid w:val="00855097"/>
    <w:rsid w:val="00870508"/>
    <w:rsid w:val="00882B9B"/>
    <w:rsid w:val="008854C8"/>
    <w:rsid w:val="00891E7D"/>
    <w:rsid w:val="008924D4"/>
    <w:rsid w:val="008934B9"/>
    <w:rsid w:val="008A17E2"/>
    <w:rsid w:val="008A2229"/>
    <w:rsid w:val="008A45D3"/>
    <w:rsid w:val="008B6755"/>
    <w:rsid w:val="008C6B1E"/>
    <w:rsid w:val="008C6EDB"/>
    <w:rsid w:val="008D1807"/>
    <w:rsid w:val="008D1ED9"/>
    <w:rsid w:val="008D2183"/>
    <w:rsid w:val="008D5616"/>
    <w:rsid w:val="008D5D95"/>
    <w:rsid w:val="008D67FE"/>
    <w:rsid w:val="008E7AD4"/>
    <w:rsid w:val="008F10B6"/>
    <w:rsid w:val="008F2E4E"/>
    <w:rsid w:val="008F43A8"/>
    <w:rsid w:val="008F4CF9"/>
    <w:rsid w:val="00900C97"/>
    <w:rsid w:val="00905B3E"/>
    <w:rsid w:val="00911AD9"/>
    <w:rsid w:val="00912E02"/>
    <w:rsid w:val="00920846"/>
    <w:rsid w:val="00920A21"/>
    <w:rsid w:val="00926C40"/>
    <w:rsid w:val="00940D7D"/>
    <w:rsid w:val="00941660"/>
    <w:rsid w:val="00942AC9"/>
    <w:rsid w:val="00942CCB"/>
    <w:rsid w:val="00943B46"/>
    <w:rsid w:val="009552F9"/>
    <w:rsid w:val="0095653F"/>
    <w:rsid w:val="00964AF3"/>
    <w:rsid w:val="009660DC"/>
    <w:rsid w:val="00967D5F"/>
    <w:rsid w:val="00982173"/>
    <w:rsid w:val="00985126"/>
    <w:rsid w:val="009A0395"/>
    <w:rsid w:val="009A3C94"/>
    <w:rsid w:val="009A7FF6"/>
    <w:rsid w:val="009B5212"/>
    <w:rsid w:val="009B6ED2"/>
    <w:rsid w:val="009B7EB6"/>
    <w:rsid w:val="009C2B59"/>
    <w:rsid w:val="009C34E0"/>
    <w:rsid w:val="009C6886"/>
    <w:rsid w:val="009D4CCF"/>
    <w:rsid w:val="009E5005"/>
    <w:rsid w:val="009F16F2"/>
    <w:rsid w:val="009F4CD6"/>
    <w:rsid w:val="009F6A07"/>
    <w:rsid w:val="00A0266E"/>
    <w:rsid w:val="00A10362"/>
    <w:rsid w:val="00A11404"/>
    <w:rsid w:val="00A20C54"/>
    <w:rsid w:val="00A26A65"/>
    <w:rsid w:val="00A37E53"/>
    <w:rsid w:val="00A41271"/>
    <w:rsid w:val="00A50A1E"/>
    <w:rsid w:val="00A543D6"/>
    <w:rsid w:val="00A55E72"/>
    <w:rsid w:val="00A56D5F"/>
    <w:rsid w:val="00A61330"/>
    <w:rsid w:val="00A64AF0"/>
    <w:rsid w:val="00A67912"/>
    <w:rsid w:val="00A746EC"/>
    <w:rsid w:val="00A77C5A"/>
    <w:rsid w:val="00A804E9"/>
    <w:rsid w:val="00A81B47"/>
    <w:rsid w:val="00A876F0"/>
    <w:rsid w:val="00A952CF"/>
    <w:rsid w:val="00A97E37"/>
    <w:rsid w:val="00AA2F41"/>
    <w:rsid w:val="00AA3192"/>
    <w:rsid w:val="00AA7D4C"/>
    <w:rsid w:val="00AB641A"/>
    <w:rsid w:val="00AB7501"/>
    <w:rsid w:val="00AC20F1"/>
    <w:rsid w:val="00AD1145"/>
    <w:rsid w:val="00AD1AC0"/>
    <w:rsid w:val="00AD43F2"/>
    <w:rsid w:val="00AE583E"/>
    <w:rsid w:val="00AE5D15"/>
    <w:rsid w:val="00AE631D"/>
    <w:rsid w:val="00AF00F3"/>
    <w:rsid w:val="00AF05B3"/>
    <w:rsid w:val="00AF16EB"/>
    <w:rsid w:val="00AF34B3"/>
    <w:rsid w:val="00B10D14"/>
    <w:rsid w:val="00B131F4"/>
    <w:rsid w:val="00B1383A"/>
    <w:rsid w:val="00B1785D"/>
    <w:rsid w:val="00B23FEC"/>
    <w:rsid w:val="00B3082A"/>
    <w:rsid w:val="00B50E21"/>
    <w:rsid w:val="00B54BA9"/>
    <w:rsid w:val="00B54E5C"/>
    <w:rsid w:val="00B56C07"/>
    <w:rsid w:val="00B67FBD"/>
    <w:rsid w:val="00B71621"/>
    <w:rsid w:val="00B74700"/>
    <w:rsid w:val="00B7489C"/>
    <w:rsid w:val="00B74F64"/>
    <w:rsid w:val="00B7596B"/>
    <w:rsid w:val="00B8385B"/>
    <w:rsid w:val="00B933C8"/>
    <w:rsid w:val="00BA34B8"/>
    <w:rsid w:val="00BA60E7"/>
    <w:rsid w:val="00BB3270"/>
    <w:rsid w:val="00BC32F4"/>
    <w:rsid w:val="00BC3436"/>
    <w:rsid w:val="00BC417D"/>
    <w:rsid w:val="00BD2A3D"/>
    <w:rsid w:val="00BD4FAD"/>
    <w:rsid w:val="00BD74F7"/>
    <w:rsid w:val="00BF274C"/>
    <w:rsid w:val="00BF2EFC"/>
    <w:rsid w:val="00BF3B68"/>
    <w:rsid w:val="00C00650"/>
    <w:rsid w:val="00C1005D"/>
    <w:rsid w:val="00C16195"/>
    <w:rsid w:val="00C17C36"/>
    <w:rsid w:val="00C201F8"/>
    <w:rsid w:val="00C208F2"/>
    <w:rsid w:val="00C21839"/>
    <w:rsid w:val="00C24833"/>
    <w:rsid w:val="00C350DC"/>
    <w:rsid w:val="00C37316"/>
    <w:rsid w:val="00C43705"/>
    <w:rsid w:val="00C50710"/>
    <w:rsid w:val="00C55C02"/>
    <w:rsid w:val="00C56DD7"/>
    <w:rsid w:val="00C63ADB"/>
    <w:rsid w:val="00C77A77"/>
    <w:rsid w:val="00C77E9C"/>
    <w:rsid w:val="00C85052"/>
    <w:rsid w:val="00C90953"/>
    <w:rsid w:val="00C92B30"/>
    <w:rsid w:val="00C9392D"/>
    <w:rsid w:val="00CA3B5E"/>
    <w:rsid w:val="00CA68CD"/>
    <w:rsid w:val="00CC1689"/>
    <w:rsid w:val="00CE3AF2"/>
    <w:rsid w:val="00CF4C21"/>
    <w:rsid w:val="00CF6323"/>
    <w:rsid w:val="00CF788D"/>
    <w:rsid w:val="00D02DE1"/>
    <w:rsid w:val="00D1573F"/>
    <w:rsid w:val="00D17F8E"/>
    <w:rsid w:val="00D2577A"/>
    <w:rsid w:val="00D30491"/>
    <w:rsid w:val="00D33603"/>
    <w:rsid w:val="00D3466C"/>
    <w:rsid w:val="00D34728"/>
    <w:rsid w:val="00D45554"/>
    <w:rsid w:val="00D51A12"/>
    <w:rsid w:val="00D55316"/>
    <w:rsid w:val="00D60596"/>
    <w:rsid w:val="00D614DC"/>
    <w:rsid w:val="00D65100"/>
    <w:rsid w:val="00D75B90"/>
    <w:rsid w:val="00D777E8"/>
    <w:rsid w:val="00D85C4D"/>
    <w:rsid w:val="00D9463F"/>
    <w:rsid w:val="00D969AF"/>
    <w:rsid w:val="00DA3CEB"/>
    <w:rsid w:val="00DA6F88"/>
    <w:rsid w:val="00DA7DF7"/>
    <w:rsid w:val="00DB085C"/>
    <w:rsid w:val="00DB1F8B"/>
    <w:rsid w:val="00DB5151"/>
    <w:rsid w:val="00DB5232"/>
    <w:rsid w:val="00DB5625"/>
    <w:rsid w:val="00DC0AB5"/>
    <w:rsid w:val="00DC399A"/>
    <w:rsid w:val="00DC593F"/>
    <w:rsid w:val="00DD0AD1"/>
    <w:rsid w:val="00DD7897"/>
    <w:rsid w:val="00DE02B5"/>
    <w:rsid w:val="00DE3661"/>
    <w:rsid w:val="00DE6B7F"/>
    <w:rsid w:val="00DE7621"/>
    <w:rsid w:val="00DF03FD"/>
    <w:rsid w:val="00DF11B1"/>
    <w:rsid w:val="00DF5157"/>
    <w:rsid w:val="00E03695"/>
    <w:rsid w:val="00E04218"/>
    <w:rsid w:val="00E173ED"/>
    <w:rsid w:val="00E23124"/>
    <w:rsid w:val="00E263AD"/>
    <w:rsid w:val="00E2679B"/>
    <w:rsid w:val="00E269BE"/>
    <w:rsid w:val="00E26F3D"/>
    <w:rsid w:val="00E3102A"/>
    <w:rsid w:val="00E31225"/>
    <w:rsid w:val="00E3164F"/>
    <w:rsid w:val="00E40053"/>
    <w:rsid w:val="00E418BD"/>
    <w:rsid w:val="00E42E44"/>
    <w:rsid w:val="00E45DB3"/>
    <w:rsid w:val="00E519CD"/>
    <w:rsid w:val="00E54DD0"/>
    <w:rsid w:val="00E5517E"/>
    <w:rsid w:val="00E6236B"/>
    <w:rsid w:val="00E63F00"/>
    <w:rsid w:val="00E72087"/>
    <w:rsid w:val="00E7780E"/>
    <w:rsid w:val="00E80C6E"/>
    <w:rsid w:val="00E8625B"/>
    <w:rsid w:val="00E9142E"/>
    <w:rsid w:val="00E96E69"/>
    <w:rsid w:val="00EA1C48"/>
    <w:rsid w:val="00EA371F"/>
    <w:rsid w:val="00EA4676"/>
    <w:rsid w:val="00EA484D"/>
    <w:rsid w:val="00EB0252"/>
    <w:rsid w:val="00EB2800"/>
    <w:rsid w:val="00EC0A4F"/>
    <w:rsid w:val="00EC32DB"/>
    <w:rsid w:val="00ED473A"/>
    <w:rsid w:val="00EF2A3A"/>
    <w:rsid w:val="00EF4C1D"/>
    <w:rsid w:val="00EF7CFB"/>
    <w:rsid w:val="00F00AC5"/>
    <w:rsid w:val="00F063B6"/>
    <w:rsid w:val="00F160C2"/>
    <w:rsid w:val="00F1657B"/>
    <w:rsid w:val="00F31BA7"/>
    <w:rsid w:val="00F47AD4"/>
    <w:rsid w:val="00F56CE5"/>
    <w:rsid w:val="00F65C65"/>
    <w:rsid w:val="00F66671"/>
    <w:rsid w:val="00F7206D"/>
    <w:rsid w:val="00F7215B"/>
    <w:rsid w:val="00F74EB9"/>
    <w:rsid w:val="00F767F6"/>
    <w:rsid w:val="00F76938"/>
    <w:rsid w:val="00F76CB2"/>
    <w:rsid w:val="00F805C2"/>
    <w:rsid w:val="00F83A13"/>
    <w:rsid w:val="00F9027D"/>
    <w:rsid w:val="00FA2404"/>
    <w:rsid w:val="00FB1835"/>
    <w:rsid w:val="00FB2600"/>
    <w:rsid w:val="00FB2DAA"/>
    <w:rsid w:val="00FB48D2"/>
    <w:rsid w:val="00FB7742"/>
    <w:rsid w:val="00FC7953"/>
    <w:rsid w:val="00FD11BD"/>
    <w:rsid w:val="00FD5708"/>
    <w:rsid w:val="00FE57F9"/>
    <w:rsid w:val="00FF0CA1"/>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D30F1"/>
  <w15:docId w15:val="{7F97821B-1FEA-49BA-A6BE-8C23A35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18320F"/>
    <w:pPr>
      <w:spacing w:after="0"/>
    </w:pPr>
    <w:rPr>
      <w:lang w:val="de-CH"/>
    </w:rPr>
  </w:style>
  <w:style w:type="character" w:styleId="Hervorhebung">
    <w:name w:val="Emphasis"/>
    <w:basedOn w:val="Absatz-Standardschriftart"/>
    <w:uiPriority w:val="20"/>
    <w:qFormat/>
    <w:rsid w:val="00EA371F"/>
    <w:rPr>
      <w:i/>
      <w:iCs/>
    </w:rPr>
  </w:style>
  <w:style w:type="paragraph" w:customStyle="1" w:styleId="Bibliographie1">
    <w:name w:val="Bibliographie1"/>
    <w:basedOn w:val="Standard"/>
    <w:uiPriority w:val="13"/>
    <w:qFormat/>
    <w:rsid w:val="00EA371F"/>
    <w:pPr>
      <w:numPr>
        <w:numId w:val="5"/>
      </w:numPr>
      <w:tabs>
        <w:tab w:val="clear" w:pos="567"/>
        <w:tab w:val="left" w:pos="794"/>
      </w:tabs>
      <w:spacing w:after="120" w:line="360" w:lineRule="auto"/>
      <w:ind w:left="794" w:hanging="794"/>
      <w:jc w:val="both"/>
    </w:pPr>
    <w:rPr>
      <w:rFonts w:ascii="Times New Roman" w:eastAsia="Times New Roman" w:hAnsi="Times New Roman" w:cs="Times New Roman"/>
      <w:spacing w:val="0"/>
      <w:sz w:val="24"/>
      <w:lang w:val="fr-CH" w:eastAsia="fr-CH"/>
    </w:rPr>
  </w:style>
  <w:style w:type="character" w:customStyle="1" w:styleId="apple-converted-space">
    <w:name w:val="apple-converted-space"/>
    <w:basedOn w:val="Absatz-Standardschriftart"/>
    <w:rsid w:val="00EA371F"/>
  </w:style>
  <w:style w:type="paragraph" w:customStyle="1" w:styleId="referencescopy1">
    <w:name w:val="referencescopy1"/>
    <w:basedOn w:val="Standard"/>
    <w:rsid w:val="00EA371F"/>
    <w:pPr>
      <w:spacing w:before="100" w:beforeAutospacing="1" w:after="100" w:afterAutospacing="1" w:line="240" w:lineRule="auto"/>
    </w:pPr>
    <w:rPr>
      <w:rFonts w:ascii="Times New Roman" w:eastAsia="Times New Roman" w:hAnsi="Times New Roman" w:cs="Times New Roman"/>
      <w:spacing w:val="0"/>
      <w:sz w:val="24"/>
      <w:szCs w:val="24"/>
      <w:lang w:val="fr-CH" w:eastAsia="fr-FR"/>
    </w:rPr>
  </w:style>
  <w:style w:type="table" w:styleId="Gitternetztabelle4Akzent4">
    <w:name w:val="Grid Table 4 Accent 4"/>
    <w:basedOn w:val="NormaleTabelle"/>
    <w:uiPriority w:val="49"/>
    <w:rsid w:val="0074167D"/>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color w:val="FFFFFF" w:themeColor="background1"/>
      </w:rPr>
      <w:tblPr/>
      <w:tcPr>
        <w:tcBorders>
          <w:top w:val="single" w:sz="4" w:space="0" w:color="51A66D" w:themeColor="accent4"/>
          <w:left w:val="single" w:sz="4" w:space="0" w:color="51A66D" w:themeColor="accent4"/>
          <w:bottom w:val="single" w:sz="4" w:space="0" w:color="51A66D" w:themeColor="accent4"/>
          <w:right w:val="single" w:sz="4" w:space="0" w:color="51A66D" w:themeColor="accent4"/>
          <w:insideH w:val="nil"/>
          <w:insideV w:val="nil"/>
        </w:tcBorders>
        <w:shd w:val="clear" w:color="auto" w:fill="51A66D" w:themeFill="accent4"/>
      </w:tcPr>
    </w:tblStylePr>
    <w:tblStylePr w:type="lastRow">
      <w:rPr>
        <w:b/>
        <w:bCs/>
      </w:rPr>
      <w:tblPr/>
      <w:tcPr>
        <w:tcBorders>
          <w:top w:val="doub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8.png"/><Relationship Id="rId26" Type="http://schemas.openxmlformats.org/officeDocument/2006/relationships/hyperlink" Target="https://doi.org/10.3917/es.040.0089" TargetMode="External"/><Relationship Id="rId39" Type="http://schemas.openxmlformats.org/officeDocument/2006/relationships/hyperlink" Target="https://doi.org/10.1080/00313830802184558" TargetMode="External"/><Relationship Id="rId3" Type="http://schemas.openxmlformats.org/officeDocument/2006/relationships/customXml" Target="../customXml/item3.xml"/><Relationship Id="rId21" Type="http://schemas.openxmlformats.org/officeDocument/2006/relationships/hyperlink" Target="https://doi.org/10.1007/s10212-012-0126-5" TargetMode="External"/><Relationship Id="rId34" Type="http://schemas.openxmlformats.org/officeDocument/2006/relationships/hyperlink" Target="https://bdlf.fr.ch/app/fr/texts_of_law/411.5.1" TargetMode="External"/><Relationship Id="rId42" Type="http://schemas.openxmlformats.org/officeDocument/2006/relationships/hyperlink" Target="https://doi.org/10.1007/s10964-016-0494-2" TargetMode="External"/><Relationship Id="rId47"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doi.org/10.36253/me-12569" TargetMode="External"/><Relationship Id="rId33" Type="http://schemas.openxmlformats.org/officeDocument/2006/relationships/hyperlink" Target="https://doi.org/10.1016/j.adolescence.2021.02.001" TargetMode="External"/><Relationship Id="rId38" Type="http://schemas.openxmlformats.org/officeDocument/2006/relationships/hyperlink" Target="https://psycnet.apa.org/doi/10.1080/08856250903450947"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myriam.squillaci@unifr.ch" TargetMode="External"/><Relationship Id="rId29" Type="http://schemas.openxmlformats.org/officeDocument/2006/relationships/hyperlink" Target="https://doi.org/10.1007/s12529-016-9562-y" TargetMode="External"/><Relationship Id="rId41" Type="http://schemas.openxmlformats.org/officeDocument/2006/relationships/hyperlink" Target="https://doi.org/10.1027/1015-5759.25.1.4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4" TargetMode="External"/><Relationship Id="rId24" Type="http://schemas.openxmlformats.org/officeDocument/2006/relationships/hyperlink" Target="https://doi.org/10.3917/anpsy1.222.0301" TargetMode="External"/><Relationship Id="rId32" Type="http://schemas.openxmlformats.org/officeDocument/2006/relationships/hyperlink" Target="https://doi.org/10.1016/j.prps.2019.02.002" TargetMode="External"/><Relationship Id="rId37" Type="http://schemas.openxmlformats.org/officeDocument/2006/relationships/hyperlink" Target="https://doi.org/10.1007/s10964-020-01331-w" TargetMode="External"/><Relationship Id="rId40" Type="http://schemas.openxmlformats.org/officeDocument/2006/relationships/hyperlink" Target="https://psycnet.apa.org/doi/10.1027/1016-9040.13.1.12" TargetMode="External"/><Relationship Id="rId45" Type="http://schemas.openxmlformats.org/officeDocument/2006/relationships/hyperlink" Target="https://doi.org/10.1016/j.neurenf.2013.08.002" TargetMode="External"/><Relationship Id="rId5" Type="http://schemas.openxmlformats.org/officeDocument/2006/relationships/numbering" Target="numbering.xml"/><Relationship Id="rId15" Type="http://schemas.openxmlformats.org/officeDocument/2006/relationships/image" Target="media/image6.svg"/><Relationship Id="rId23" Type="http://schemas.openxmlformats.org/officeDocument/2006/relationships/hyperlink" Target="https://psycnet.apa.org/doi/10.1037/0021-9010.86.3.499" TargetMode="External"/><Relationship Id="rId28" Type="http://schemas.openxmlformats.org/officeDocument/2006/relationships/hyperlink" Target="https://doi.org/10.1016/j.ijer.2017.04.001" TargetMode="External"/><Relationship Id="rId36" Type="http://schemas.openxmlformats.org/officeDocument/2006/relationships/hyperlink" Target="https://doi.org/10.1016/j.erap.2015.10.002"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oemie.lacombe@unifr.ch" TargetMode="External"/><Relationship Id="rId31" Type="http://schemas.openxmlformats.org/officeDocument/2006/relationships/hyperlink" Target="https://doi.org/10.3390/children10050823" TargetMode="External"/><Relationship Id="rId44" Type="http://schemas.openxmlformats.org/officeDocument/2006/relationships/hyperlink" Target="https://doi.org/10.1080/00313831.2019.16398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doi.org/10.3390/ijerph16112024" TargetMode="External"/><Relationship Id="rId27" Type="http://schemas.openxmlformats.org/officeDocument/2006/relationships/hyperlink" Target="https://doi.org/10.1016/j.jsp.2019.07.012" TargetMode="External"/><Relationship Id="rId30" Type="http://schemas.openxmlformats.org/officeDocument/2006/relationships/hyperlink" Target="https://doi.org/10.1598/RRQ.41.1.4" TargetMode="External"/><Relationship Id="rId35" Type="http://schemas.openxmlformats.org/officeDocument/2006/relationships/hyperlink" Target="https://doi.org/10.1002/job.4030020205" TargetMode="External"/><Relationship Id="rId43" Type="http://schemas.openxmlformats.org/officeDocument/2006/relationships/hyperlink" Target="http://dx.doi.org/10.1002/jad.12121"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8DB63A31-CA72-4104-B7C5-257F7957F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R02.2025</Template>
  <TotalTime>0</TotalTime>
  <Pages>9</Pages>
  <Words>4400</Words>
  <Characters>24204</Characters>
  <Application>Microsoft Office Word</Application>
  <DocSecurity>0</DocSecurity>
  <Lines>201</Lines>
  <Paragraphs>57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Quels sont les facteurs de risque et de protection du burnout scolaire ?_x000d_</vt:lpstr>
      <vt:lpstr>Quels sont les facteurs de risque et de protection du burnout scolaire ?_x000d_</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Quels sont les facteurs de risque et de protection du burnout scolaire ?_x000d_</dc:title>
  <dc:creator>Noémie Lacombe;Myriam Squillaci _x000d_</dc:creator>
  <cp:keywords>burnout, santé mentale, élève, facteur de risque, facteur de protection / Burnout, psychische Gesundheit, Schüler, Risikofaktor, Schutzfaktor</cp:keywords>
  <cp:lastModifiedBy>Winkler, Elodie</cp:lastModifiedBy>
  <cp:revision>79</cp:revision>
  <cp:lastPrinted>2022-07-01T12:31:00Z</cp:lastPrinted>
  <dcterms:created xsi:type="dcterms:W3CDTF">2025-05-14T09:32:00Z</dcterms:created>
  <dcterms:modified xsi:type="dcterms:W3CDTF">2025-05-28T08:42:00Z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