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7AA2C" w14:textId="1E751B6B" w:rsidR="004F2D13" w:rsidRPr="00330A7C" w:rsidRDefault="00253CEA" w:rsidP="00595B2F">
      <w:pPr>
        <w:pStyle w:val="Titel"/>
        <w:rPr>
          <w:lang w:val="en-US"/>
        </w:rPr>
      </w:pPr>
      <w:r w:rsidRPr="00330A7C">
        <w:rPr>
          <w:lang w:val="en-US"/>
        </w:rPr>
        <w:t xml:space="preserve">Universal Design for Learning Observation </w:t>
      </w:r>
      <w:r w:rsidR="004F2D13" w:rsidRPr="00330A7C">
        <w:rPr>
          <w:lang w:val="en-US"/>
        </w:rPr>
        <w:t xml:space="preserve">– </w:t>
      </w:r>
      <w:r w:rsidRPr="00330A7C">
        <w:rPr>
          <w:lang w:val="en-US"/>
        </w:rPr>
        <w:t>Measurement Tool</w:t>
      </w:r>
    </w:p>
    <w:p w14:paraId="04F6A2B2" w14:textId="4EC3A85A" w:rsidR="001114E2" w:rsidRPr="00330A7C" w:rsidRDefault="004F2D13" w:rsidP="002E5374">
      <w:pPr>
        <w:pStyle w:val="Untertitel"/>
        <w:rPr>
          <w:rFonts w:cs="Open Sans SemiCondensed"/>
          <w:lang w:val="fr-CH"/>
        </w:rPr>
      </w:pPr>
      <w:r w:rsidRPr="00330A7C">
        <w:rPr>
          <w:rFonts w:cs="Open Sans SemiCondensed"/>
          <w:lang w:val="fr-CH"/>
        </w:rPr>
        <w:t>Traduction et adaptation interculturelle en français et en italien</w:t>
      </w:r>
    </w:p>
    <w:p w14:paraId="04CC3A4B" w14:textId="517AB816" w:rsidR="001114E2" w:rsidRPr="00330A7C" w:rsidRDefault="00253CEA" w:rsidP="006C2B84">
      <w:pPr>
        <w:pStyle w:val="Author"/>
        <w:rPr>
          <w:rFonts w:cs="Open Sans SemiCondensed"/>
          <w:lang w:val="it-CH"/>
        </w:rPr>
      </w:pPr>
      <w:r w:rsidRPr="00330A7C">
        <w:rPr>
          <w:rFonts w:cs="Open Sans SemiCondensed"/>
          <w:lang w:val="it-CH"/>
        </w:rPr>
        <w:t>Laura</w:t>
      </w:r>
      <w:r w:rsidR="007B4E91" w:rsidRPr="00330A7C">
        <w:rPr>
          <w:rFonts w:cs="Open Sans SemiCondensed"/>
          <w:lang w:val="it-CH"/>
        </w:rPr>
        <w:t> </w:t>
      </w:r>
      <w:r w:rsidRPr="00330A7C">
        <w:rPr>
          <w:rFonts w:cs="Open Sans SemiCondensed"/>
          <w:lang w:val="it-CH"/>
        </w:rPr>
        <w:t>Rusconi et Daniela</w:t>
      </w:r>
      <w:r w:rsidR="007B4E91" w:rsidRPr="00330A7C">
        <w:rPr>
          <w:rFonts w:cs="Open Sans SemiCondensed"/>
          <w:lang w:val="it-CH"/>
        </w:rPr>
        <w:t> </w:t>
      </w:r>
      <w:proofErr w:type="spellStart"/>
      <w:r w:rsidRPr="00330A7C">
        <w:rPr>
          <w:rFonts w:cs="Open Sans SemiCondensed"/>
          <w:lang w:val="it-CH"/>
        </w:rPr>
        <w:t>Gäng</w:t>
      </w:r>
      <w:proofErr w:type="spellEnd"/>
      <w:r w:rsidRPr="00330A7C">
        <w:rPr>
          <w:rFonts w:cs="Open Sans SemiCondensed"/>
          <w:lang w:val="it-CH"/>
        </w:rPr>
        <w:t>-Pacifico</w:t>
      </w:r>
    </w:p>
    <w:p w14:paraId="29E5087E" w14:textId="41C8EF4A" w:rsidR="000352CE" w:rsidRPr="00330A7C" w:rsidRDefault="004C13EB" w:rsidP="000352CE">
      <w:pPr>
        <w:pStyle w:val="Abstract"/>
        <w:rPr>
          <w:rFonts w:cs="Open Sans SemiCondensed"/>
          <w:lang w:val="fr-CH"/>
        </w:rPr>
      </w:pPr>
      <w:r w:rsidRPr="00330A7C">
        <w:rPr>
          <w:rFonts w:cs="Open Sans SemiCondensed"/>
          <w:lang w:val="fr-CH"/>
        </w:rPr>
        <w:t>Résumé</w:t>
      </w:r>
      <w:r w:rsidR="000352CE" w:rsidRPr="00330A7C">
        <w:rPr>
          <w:rFonts w:cs="Open Sans SemiCondensed"/>
          <w:lang w:val="fr-CH"/>
        </w:rPr>
        <w:br/>
      </w:r>
      <w:r w:rsidR="00253CEA" w:rsidRPr="00330A7C">
        <w:rPr>
          <w:lang w:val="fr-CH"/>
        </w:rPr>
        <w:t>La Conception universelle de l</w:t>
      </w:r>
      <w:r w:rsidR="001F04CF" w:rsidRPr="00330A7C">
        <w:rPr>
          <w:lang w:val="fr-CH"/>
        </w:rPr>
        <w:t>’</w:t>
      </w:r>
      <w:r w:rsidR="00253CEA" w:rsidRPr="00330A7C">
        <w:rPr>
          <w:lang w:val="fr-CH"/>
        </w:rPr>
        <w:t xml:space="preserve">apprentissage (CUA) se profile comme un cadre possible pour concevoir des environnements scolaires flexibles et inclusifs. Sa mise en œuvre en classe peut être parfois difficile à mesurer. Le </w:t>
      </w:r>
      <w:r w:rsidR="00253CEA" w:rsidRPr="00330A7C">
        <w:rPr>
          <w:iCs/>
          <w:lang w:val="fr-CH"/>
        </w:rPr>
        <w:t xml:space="preserve">Universal Design for Learning Observation – </w:t>
      </w:r>
      <w:proofErr w:type="spellStart"/>
      <w:r w:rsidR="00253CEA" w:rsidRPr="00330A7C">
        <w:rPr>
          <w:iCs/>
          <w:lang w:val="fr-CH"/>
        </w:rPr>
        <w:t>Measurement</w:t>
      </w:r>
      <w:proofErr w:type="spellEnd"/>
      <w:r w:rsidR="00253CEA" w:rsidRPr="00330A7C">
        <w:rPr>
          <w:iCs/>
          <w:lang w:val="fr-CH"/>
        </w:rPr>
        <w:t xml:space="preserve"> Tool</w:t>
      </w:r>
      <w:r w:rsidR="00253CEA" w:rsidRPr="00330A7C">
        <w:rPr>
          <w:lang w:val="fr-CH"/>
        </w:rPr>
        <w:t xml:space="preserve"> (UDL-OMT) est un outil conçu pour observer et mesurer la présence de la CUA dans les séquences d</w:t>
      </w:r>
      <w:r w:rsidR="001F04CF" w:rsidRPr="00330A7C">
        <w:rPr>
          <w:lang w:val="fr-CH"/>
        </w:rPr>
        <w:t>’</w:t>
      </w:r>
      <w:r w:rsidR="00253CEA" w:rsidRPr="00330A7C">
        <w:rPr>
          <w:lang w:val="fr-CH"/>
        </w:rPr>
        <w:t>enseignement. Cet outil a été traduit et adapté de l’anglais au français et à l’italien. Il est en cours de validation. Cette contribution présente l’UDL-OMT, ainsi que les étapes et les résultats principaux de la procédure de traduction.</w:t>
      </w:r>
    </w:p>
    <w:p w14:paraId="40CA8A30" w14:textId="77777777" w:rsidR="00033609" w:rsidRPr="0052125C" w:rsidRDefault="00033609" w:rsidP="00033609">
      <w:pPr>
        <w:pStyle w:val="Abstract"/>
        <w:rPr>
          <w:rFonts w:cs="Open Sans SemiCondensed"/>
        </w:rPr>
      </w:pPr>
      <w:r w:rsidRPr="0052125C">
        <w:rPr>
          <w:rFonts w:cs="Open Sans SemiCondensed"/>
        </w:rPr>
        <w:t>Zusammenfassung</w:t>
      </w:r>
      <w:r w:rsidRPr="0052125C">
        <w:rPr>
          <w:rFonts w:cs="Open Sans SemiCondensed"/>
        </w:rPr>
        <w:br/>
        <w:t xml:space="preserve">Das Universal Design </w:t>
      </w:r>
      <w:proofErr w:type="spellStart"/>
      <w:r w:rsidRPr="0052125C">
        <w:rPr>
          <w:rFonts w:cs="Open Sans SemiCondensed"/>
        </w:rPr>
        <w:t>for</w:t>
      </w:r>
      <w:proofErr w:type="spellEnd"/>
      <w:r w:rsidRPr="0052125C">
        <w:rPr>
          <w:rFonts w:cs="Open Sans SemiCondensed"/>
        </w:rPr>
        <w:t xml:space="preserve"> Learning (UDL) ist eine Möglichkeit, um Schulumgebungen flexibel und inklusiv zu gestalten. Seine Umsetzung im Unterricht kann manchmal schwer zu messen sein. Das «Universal Design </w:t>
      </w:r>
      <w:proofErr w:type="spellStart"/>
      <w:r w:rsidRPr="0052125C">
        <w:rPr>
          <w:rFonts w:cs="Open Sans SemiCondensed"/>
        </w:rPr>
        <w:t>for</w:t>
      </w:r>
      <w:proofErr w:type="spellEnd"/>
      <w:r w:rsidRPr="0052125C">
        <w:rPr>
          <w:rFonts w:cs="Open Sans SemiCondensed"/>
        </w:rPr>
        <w:t xml:space="preserve"> Learning Observation – Measurement Tool» (UDL-OMT) ist ein Instrument, um das UDL in Unterrichtssequenzen zu beobachten und zu messen. Das Tool wurde aus dem Englischen ins Französische und Italienische übersetzt und angepasst. Es befindet sich derzeit in der Validierungsphase. In diesem Beitrag werden das UDL-OMT sowie die wichtigsten Schritte und Ergebnisse des Übersetzungsprozesses vorgestellt.</w:t>
      </w:r>
    </w:p>
    <w:p w14:paraId="35242B68" w14:textId="77777777" w:rsidR="00033609" w:rsidRPr="005B2AA1" w:rsidRDefault="00033609" w:rsidP="00033609">
      <w:pPr>
        <w:pStyle w:val="Textkrper3"/>
        <w:jc w:val="both"/>
      </w:pPr>
      <w:r w:rsidRPr="0052125C">
        <w:rPr>
          <w:rStyle w:val="Fett"/>
          <w:rFonts w:cs="Open Sans SemiCondensed"/>
        </w:rPr>
        <w:t>Keywords</w:t>
      </w:r>
      <w:r w:rsidRPr="0052125C">
        <w:t xml:space="preserve">: </w:t>
      </w:r>
      <w:proofErr w:type="spellStart"/>
      <w:r w:rsidRPr="0052125C">
        <w:t>Conception</w:t>
      </w:r>
      <w:proofErr w:type="spellEnd"/>
      <w:r w:rsidRPr="0052125C">
        <w:t xml:space="preserve"> universelle de </w:t>
      </w:r>
      <w:proofErr w:type="spellStart"/>
      <w:r w:rsidRPr="0052125C">
        <w:t>l’apprentissage</w:t>
      </w:r>
      <w:proofErr w:type="spellEnd"/>
      <w:r w:rsidRPr="0052125C">
        <w:t xml:space="preserve">, </w:t>
      </w:r>
      <w:proofErr w:type="spellStart"/>
      <w:r w:rsidRPr="0052125C">
        <w:t>enseignement</w:t>
      </w:r>
      <w:proofErr w:type="spellEnd"/>
      <w:r w:rsidRPr="0052125C">
        <w:t xml:space="preserve"> </w:t>
      </w:r>
      <w:proofErr w:type="spellStart"/>
      <w:r w:rsidRPr="0052125C">
        <w:t>inclusif</w:t>
      </w:r>
      <w:proofErr w:type="spellEnd"/>
      <w:r w:rsidRPr="0052125C">
        <w:t xml:space="preserve">, grille </w:t>
      </w:r>
      <w:proofErr w:type="spellStart"/>
      <w:r w:rsidRPr="0052125C">
        <w:t>d’observation</w:t>
      </w:r>
      <w:proofErr w:type="spellEnd"/>
      <w:r w:rsidRPr="0052125C">
        <w:t xml:space="preserve">, </w:t>
      </w:r>
      <w:proofErr w:type="spellStart"/>
      <w:r w:rsidRPr="0052125C">
        <w:t>traduction</w:t>
      </w:r>
      <w:proofErr w:type="spellEnd"/>
      <w:r w:rsidRPr="0052125C">
        <w:t xml:space="preserve">, </w:t>
      </w:r>
      <w:proofErr w:type="spellStart"/>
      <w:r w:rsidRPr="0052125C">
        <w:t>adaptation</w:t>
      </w:r>
      <w:proofErr w:type="spellEnd"/>
      <w:r w:rsidRPr="0052125C">
        <w:t xml:space="preserve"> </w:t>
      </w:r>
      <w:proofErr w:type="spellStart"/>
      <w:r w:rsidRPr="0052125C">
        <w:t>interculturelle</w:t>
      </w:r>
      <w:proofErr w:type="spellEnd"/>
      <w:r w:rsidRPr="0052125C">
        <w:t xml:space="preserve"> / Beobachtungsraster, inklusiver Unterricht, interkulturelle Übersetzung und Anpassung</w:t>
      </w:r>
      <w:proofErr w:type="gramStart"/>
      <w:r w:rsidRPr="0052125C">
        <w:t>, ,</w:t>
      </w:r>
      <w:proofErr w:type="gramEnd"/>
      <w:r w:rsidRPr="0052125C">
        <w:t xml:space="preserve"> Universal Design </w:t>
      </w:r>
      <w:proofErr w:type="spellStart"/>
      <w:r w:rsidRPr="0052125C">
        <w:t>for</w:t>
      </w:r>
      <w:proofErr w:type="spellEnd"/>
      <w:r w:rsidRPr="0052125C">
        <w:t xml:space="preserve"> Learning</w:t>
      </w:r>
    </w:p>
    <w:p w14:paraId="7A35F0D3" w14:textId="1CEF4F42" w:rsidR="001D3BFB" w:rsidRPr="00330A7C" w:rsidRDefault="00EA4676" w:rsidP="00C24833">
      <w:pPr>
        <w:pStyle w:val="Textkrper3"/>
        <w:rPr>
          <w:rFonts w:cs="Open Sans SemiCondensed"/>
          <w:bCs/>
          <w:iCs/>
          <w:color w:val="CF3649"/>
          <w:lang w:val="fr-CH"/>
        </w:rPr>
      </w:pPr>
      <w:proofErr w:type="gramStart"/>
      <w:r w:rsidRPr="00330A7C">
        <w:rPr>
          <w:rStyle w:val="Fett"/>
          <w:rFonts w:cs="Open Sans SemiCondensed"/>
          <w:lang w:val="fr-CH"/>
        </w:rPr>
        <w:t>DOI</w:t>
      </w:r>
      <w:r w:rsidRPr="00330A7C">
        <w:rPr>
          <w:rFonts w:cs="Open Sans SemiCondensed"/>
          <w:lang w:val="fr-CH"/>
        </w:rPr>
        <w:t>:</w:t>
      </w:r>
      <w:proofErr w:type="gramEnd"/>
      <w:r w:rsidRPr="00330A7C">
        <w:rPr>
          <w:rFonts w:cs="Open Sans SemiCondensed"/>
          <w:lang w:val="fr-CH"/>
        </w:rPr>
        <w:t xml:space="preserve"> </w:t>
      </w:r>
      <w:hyperlink r:id="rId11" w:history="1">
        <w:r w:rsidR="008D5E53" w:rsidRPr="00330A7C">
          <w:rPr>
            <w:rStyle w:val="Hyperlink"/>
            <w:rFonts w:cs="Open Sans SemiCondensed"/>
            <w:lang w:val="fr-CH"/>
          </w:rPr>
          <w:t>https://doi.org/10.57161/r2024-03-03</w:t>
        </w:r>
      </w:hyperlink>
      <w:r w:rsidR="008D5E53" w:rsidRPr="00330A7C">
        <w:rPr>
          <w:rStyle w:val="Hyperlink"/>
          <w:rFonts w:cs="Open Sans SemiCondensed"/>
          <w:lang w:val="fr-CH"/>
        </w:rPr>
        <w:t xml:space="preserve"> </w:t>
      </w:r>
      <w:r w:rsidR="0055561F" w:rsidRPr="00330A7C">
        <w:rPr>
          <w:rStyle w:val="Hyperlink"/>
          <w:rFonts w:cs="Open Sans SemiCondensed"/>
          <w:lang w:val="fr-CH"/>
        </w:rPr>
        <w:t xml:space="preserve"> </w:t>
      </w:r>
    </w:p>
    <w:p w14:paraId="0264BE26" w14:textId="539E3891" w:rsidR="00EA4676" w:rsidRPr="00330A7C" w:rsidRDefault="00EA4676" w:rsidP="00C24833">
      <w:pPr>
        <w:pStyle w:val="Textkrper3"/>
        <w:rPr>
          <w:lang w:val="fr-CH"/>
        </w:rPr>
      </w:pPr>
      <w:r w:rsidRPr="00330A7C">
        <w:rPr>
          <w:lang w:val="fr-CH"/>
        </w:rPr>
        <w:t>Revue Suisse de Pédagogie Spécialisée, Vol.</w:t>
      </w:r>
      <w:r w:rsidR="00F20355" w:rsidRPr="00330A7C">
        <w:rPr>
          <w:lang w:val="fr-CH"/>
        </w:rPr>
        <w:t> </w:t>
      </w:r>
      <w:r w:rsidR="00037AE3" w:rsidRPr="00330A7C">
        <w:rPr>
          <w:lang w:val="fr-CH"/>
        </w:rPr>
        <w:t>14</w:t>
      </w:r>
      <w:r w:rsidRPr="00330A7C">
        <w:rPr>
          <w:lang w:val="fr-CH"/>
        </w:rPr>
        <w:t xml:space="preserve">, </w:t>
      </w:r>
      <w:r w:rsidR="00037AE3" w:rsidRPr="00330A7C">
        <w:rPr>
          <w:lang w:val="fr-CH"/>
        </w:rPr>
        <w:t>0</w:t>
      </w:r>
      <w:r w:rsidR="008D5E53" w:rsidRPr="00330A7C">
        <w:rPr>
          <w:lang w:val="fr-CH"/>
        </w:rPr>
        <w:t>3</w:t>
      </w:r>
      <w:r w:rsidRPr="00330A7C">
        <w:rPr>
          <w:lang w:val="fr-CH"/>
        </w:rPr>
        <w:t>/</w:t>
      </w:r>
      <w:r w:rsidR="00037AE3" w:rsidRPr="00330A7C">
        <w:rPr>
          <w:lang w:val="fr-CH"/>
        </w:rPr>
        <w:t>2024</w:t>
      </w:r>
    </w:p>
    <w:p w14:paraId="6DDF7611" w14:textId="350C5C7E" w:rsidR="000E6A66" w:rsidRPr="00330A7C" w:rsidRDefault="000E6A66" w:rsidP="00C24833">
      <w:pPr>
        <w:pStyle w:val="Textkrper3"/>
        <w:rPr>
          <w:lang w:val="fr-CH"/>
        </w:rPr>
      </w:pPr>
      <w:r w:rsidRPr="00330A7C">
        <w:rPr>
          <w:noProof/>
          <w:lang w:val="fr-CH"/>
        </w:rPr>
        <w:drawing>
          <wp:inline distT="0" distB="0" distL="0" distR="0" wp14:anchorId="7879D5D5" wp14:editId="156F6AD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DAFD45C" w14:textId="562597F9" w:rsidR="00253CEA" w:rsidRPr="00330A7C" w:rsidRDefault="00253CEA" w:rsidP="00253CEA">
      <w:pPr>
        <w:pStyle w:val="berschrift1"/>
        <w:rPr>
          <w:lang w:val="fr-CH"/>
        </w:rPr>
      </w:pPr>
      <w:r w:rsidRPr="00330A7C">
        <w:rPr>
          <w:lang w:val="fr-CH"/>
        </w:rPr>
        <w:t>Introduction</w:t>
      </w:r>
    </w:p>
    <w:p w14:paraId="43C0858F" w14:textId="7294B6D9" w:rsidR="00EE67B2" w:rsidRPr="00330A7C" w:rsidRDefault="00253CEA" w:rsidP="00EE67B2">
      <w:pPr>
        <w:pStyle w:val="Textkrper"/>
        <w:rPr>
          <w:lang w:val="fr-CH"/>
        </w:rPr>
      </w:pPr>
      <w:r w:rsidRPr="00330A7C">
        <w:rPr>
          <w:lang w:val="fr-CH"/>
        </w:rPr>
        <w:t>Depuis trente ans, le domaine de la pédagogie spécialisée a évolué et accorde une attention toujours plus croissante aux politiques d</w:t>
      </w:r>
      <w:r w:rsidR="001F04CF" w:rsidRPr="00330A7C">
        <w:rPr>
          <w:lang w:val="fr-CH"/>
        </w:rPr>
        <w:t>’</w:t>
      </w:r>
      <w:r w:rsidRPr="00330A7C">
        <w:rPr>
          <w:lang w:val="fr-CH"/>
        </w:rPr>
        <w:t>inclusion pour les élèves bénéficiant d’un soutien éducatif (</w:t>
      </w:r>
      <w:r w:rsidRPr="00330A7C">
        <w:rPr>
          <w:i/>
          <w:iCs/>
          <w:lang w:val="fr-CH"/>
        </w:rPr>
        <w:t xml:space="preserve">United Nations </w:t>
      </w:r>
      <w:proofErr w:type="spellStart"/>
      <w:r w:rsidRPr="00330A7C">
        <w:rPr>
          <w:i/>
          <w:iCs/>
          <w:lang w:val="fr-CH"/>
        </w:rPr>
        <w:t>Educational</w:t>
      </w:r>
      <w:proofErr w:type="spellEnd"/>
      <w:r w:rsidRPr="00330A7C">
        <w:rPr>
          <w:i/>
          <w:iCs/>
          <w:lang w:val="fr-CH"/>
        </w:rPr>
        <w:t xml:space="preserve">, Scientific and Cultural </w:t>
      </w:r>
      <w:proofErr w:type="spellStart"/>
      <w:r w:rsidRPr="00330A7C">
        <w:rPr>
          <w:i/>
          <w:iCs/>
          <w:lang w:val="fr-CH"/>
        </w:rPr>
        <w:t>Organization</w:t>
      </w:r>
      <w:proofErr w:type="spellEnd"/>
      <w:r w:rsidRPr="00330A7C">
        <w:rPr>
          <w:lang w:val="fr-CH"/>
        </w:rPr>
        <w:t xml:space="preserve"> [UNESCO], 1994). Cette évolution est soutenue entre autres par la Convention des Nations unies relative aux droits des personnes handicapées (CDPH) de l’Organisation des Nations Unies (ONU, 2006) et la Déclaration de Salamanque de l</w:t>
      </w:r>
      <w:r w:rsidR="001F04CF" w:rsidRPr="00330A7C">
        <w:rPr>
          <w:lang w:val="fr-CH"/>
        </w:rPr>
        <w:t>’</w:t>
      </w:r>
      <w:r w:rsidRPr="00330A7C">
        <w:rPr>
          <w:lang w:val="fr-CH"/>
        </w:rPr>
        <w:t>UNESCO (1994). L’inclusion scolaire des élèves bénéficiant d’un soutien éducatif suscite des attentes élevées en termes d’éducation adaptée et de progression scolaire de la part du corps enseignant et des parents (Brillante &amp; Nemeth, 2018). Les bienfaits de l’inclusion scolaire ne sont plus à démontrer. Toutefois, la diversité des capacités scolaires demeure encore un défi important à relever pour les enseignantes et enseignants. L’objectif principal de l</w:t>
      </w:r>
      <w:r w:rsidR="001F04CF" w:rsidRPr="00330A7C">
        <w:rPr>
          <w:lang w:val="fr-CH"/>
        </w:rPr>
        <w:t>’</w:t>
      </w:r>
      <w:r w:rsidRPr="00330A7C">
        <w:rPr>
          <w:lang w:val="fr-CH"/>
        </w:rPr>
        <w:t>inclusion scolaire, qui vise à améliorer les opportunités d</w:t>
      </w:r>
      <w:r w:rsidR="001F04CF" w:rsidRPr="00330A7C">
        <w:rPr>
          <w:lang w:val="fr-CH"/>
        </w:rPr>
        <w:t>’</w:t>
      </w:r>
      <w:r w:rsidRPr="00330A7C">
        <w:rPr>
          <w:lang w:val="fr-CH"/>
        </w:rPr>
        <w:t>apprentissage et rendre les systèmes scolaires accessibles à l’ensemble des élèves (</w:t>
      </w:r>
      <w:proofErr w:type="spellStart"/>
      <w:r w:rsidRPr="00330A7C">
        <w:rPr>
          <w:lang w:val="fr-CH"/>
        </w:rPr>
        <w:t>Navaitienė</w:t>
      </w:r>
      <w:proofErr w:type="spellEnd"/>
      <w:r w:rsidRPr="00330A7C">
        <w:rPr>
          <w:lang w:val="fr-CH"/>
        </w:rPr>
        <w:t xml:space="preserve"> &amp; </w:t>
      </w:r>
      <w:proofErr w:type="spellStart"/>
      <w:r w:rsidRPr="00330A7C">
        <w:rPr>
          <w:lang w:val="fr-CH"/>
        </w:rPr>
        <w:t>Stasiūnaitienė</w:t>
      </w:r>
      <w:proofErr w:type="spellEnd"/>
      <w:r w:rsidRPr="00330A7C">
        <w:rPr>
          <w:lang w:val="fr-CH"/>
        </w:rPr>
        <w:t>), peine parfois à se réaliser. Dans la pratique, l’expérience scolaire</w:t>
      </w:r>
      <w:r w:rsidRPr="00330A7C">
        <w:rPr>
          <w:i/>
          <w:iCs/>
          <w:lang w:val="fr-CH"/>
        </w:rPr>
        <w:t xml:space="preserve"> </w:t>
      </w:r>
      <w:r w:rsidRPr="00330A7C">
        <w:rPr>
          <w:lang w:val="fr-CH"/>
        </w:rPr>
        <w:t xml:space="preserve">de certains élèves bénéficiant d’un soutien éducatif n’a d’inclusion que son libellé (Florian, 2010). Ces changements de paradigme nécessitent des modifications structurelles dans les rôles et les fonctions de chacune et chacun. </w:t>
      </w:r>
    </w:p>
    <w:p w14:paraId="2C3DCF70" w14:textId="15001472" w:rsidR="00253CEA" w:rsidRPr="00330A7C" w:rsidRDefault="00253CEA" w:rsidP="009F448A">
      <w:pPr>
        <w:pStyle w:val="Textkrper"/>
        <w:rPr>
          <w:lang w:val="fr-CH"/>
        </w:rPr>
      </w:pPr>
      <w:r w:rsidRPr="00330A7C">
        <w:rPr>
          <w:lang w:val="fr-CH"/>
        </w:rPr>
        <w:t>Pour que le corps enseignant puisse répondre équitablement et adéquatement aux besoins individuels de chaque apprenante et apprenant (Tremblay, 2015), l’inclusion requiert qu’il soit capable de concevoir des environnements d</w:t>
      </w:r>
      <w:r w:rsidR="001F04CF" w:rsidRPr="00330A7C">
        <w:rPr>
          <w:lang w:val="fr-CH"/>
        </w:rPr>
        <w:t>’</w:t>
      </w:r>
      <w:r w:rsidRPr="00330A7C">
        <w:rPr>
          <w:lang w:val="fr-CH"/>
        </w:rPr>
        <w:t>apprentissage flexibles pour l</w:t>
      </w:r>
      <w:r w:rsidR="001F04CF" w:rsidRPr="00330A7C">
        <w:rPr>
          <w:lang w:val="fr-CH"/>
        </w:rPr>
        <w:t>’</w:t>
      </w:r>
      <w:r w:rsidRPr="00330A7C">
        <w:rPr>
          <w:lang w:val="fr-CH"/>
        </w:rPr>
        <w:t>ensemble des élèves (</w:t>
      </w:r>
      <w:proofErr w:type="spellStart"/>
      <w:r w:rsidRPr="00330A7C">
        <w:rPr>
          <w:lang w:val="fr-CH"/>
        </w:rPr>
        <w:t>Lakkala</w:t>
      </w:r>
      <w:proofErr w:type="spellEnd"/>
      <w:r w:rsidRPr="00330A7C">
        <w:rPr>
          <w:lang w:val="fr-CH"/>
        </w:rPr>
        <w:t xml:space="preserve"> &amp; </w:t>
      </w:r>
      <w:proofErr w:type="spellStart"/>
      <w:r w:rsidRPr="00330A7C">
        <w:rPr>
          <w:lang w:val="fr-CH"/>
        </w:rPr>
        <w:t>Kyrö-Ämmälä</w:t>
      </w:r>
      <w:proofErr w:type="spellEnd"/>
      <w:r w:rsidRPr="00330A7C">
        <w:rPr>
          <w:lang w:val="fr-CH"/>
        </w:rPr>
        <w:t>, 2021). Pour aménager efficacement cet environnement, les enseignantes et les enseignants ont besoin d</w:t>
      </w:r>
      <w:r w:rsidR="001F04CF" w:rsidRPr="00330A7C">
        <w:rPr>
          <w:lang w:val="fr-CH"/>
        </w:rPr>
        <w:t>’</w:t>
      </w:r>
      <w:r w:rsidRPr="00330A7C">
        <w:rPr>
          <w:lang w:val="fr-CH"/>
        </w:rPr>
        <w:t>approches pédagogiques fondées sur des données probantes, ainsi que des opportunités de formation et des outils de développement personnel (</w:t>
      </w:r>
      <w:proofErr w:type="spellStart"/>
      <w:r w:rsidRPr="00330A7C">
        <w:rPr>
          <w:lang w:val="fr-CH"/>
        </w:rPr>
        <w:t>Kurniawati</w:t>
      </w:r>
      <w:proofErr w:type="spellEnd"/>
      <w:r w:rsidRPr="00330A7C">
        <w:rPr>
          <w:lang w:val="fr-CH"/>
        </w:rPr>
        <w:t xml:space="preserve">, 2014). La </w:t>
      </w:r>
      <w:r w:rsidRPr="00330A7C">
        <w:rPr>
          <w:lang w:val="fr-CH"/>
        </w:rPr>
        <w:lastRenderedPageBreak/>
        <w:t>Conception universelle de l</w:t>
      </w:r>
      <w:r w:rsidR="001F04CF" w:rsidRPr="00330A7C">
        <w:rPr>
          <w:lang w:val="fr-CH"/>
        </w:rPr>
        <w:t>’</w:t>
      </w:r>
      <w:r w:rsidRPr="00330A7C">
        <w:rPr>
          <w:lang w:val="fr-CH"/>
        </w:rPr>
        <w:t>apprentissage (CUA) pourrait offrir ce cadre efficace pour améliorer l</w:t>
      </w:r>
      <w:r w:rsidR="001F04CF" w:rsidRPr="00330A7C">
        <w:rPr>
          <w:lang w:val="fr-CH"/>
        </w:rPr>
        <w:t>’</w:t>
      </w:r>
      <w:r w:rsidRPr="00330A7C">
        <w:rPr>
          <w:lang w:val="fr-CH"/>
        </w:rPr>
        <w:t xml:space="preserve">accès et les progrès de l’ensemble des élèves dans un contexte d’inclusion en classe ordinaire (Meyer et al., 2014). Alors que la CUA semble bien ancrée dans les pratiques pédagogiques aux </w:t>
      </w:r>
      <w:r w:rsidR="00986049" w:rsidRPr="00330A7C">
        <w:rPr>
          <w:lang w:val="fr-CH"/>
        </w:rPr>
        <w:t>É</w:t>
      </w:r>
      <w:r w:rsidRPr="00330A7C">
        <w:rPr>
          <w:lang w:val="fr-CH"/>
        </w:rPr>
        <w:t>tats-Unis (King-Sears et al., 2023 ; Rao, 2015), son adoption plus récente en Europe est en constante progression (</w:t>
      </w:r>
      <w:proofErr w:type="spellStart"/>
      <w:r w:rsidRPr="00330A7C">
        <w:rPr>
          <w:lang w:val="fr-CH"/>
        </w:rPr>
        <w:t>Knarlag</w:t>
      </w:r>
      <w:proofErr w:type="spellEnd"/>
      <w:r w:rsidRPr="00330A7C">
        <w:rPr>
          <w:lang w:val="fr-CH"/>
        </w:rPr>
        <w:t xml:space="preserve"> &amp; Waters, 2016). Se pose la question de son adaptabilité dans la diversité des systèmes scolaires européens et suisses en termes de supports et d’outils pour faciliter sa mise en œuvre et l’évaluation de son efficacité. </w:t>
      </w:r>
    </w:p>
    <w:p w14:paraId="5A4BB4DB" w14:textId="77777777" w:rsidR="00253CEA" w:rsidRPr="00330A7C" w:rsidRDefault="00253CEA" w:rsidP="00253CEA">
      <w:pPr>
        <w:pStyle w:val="berschrift1"/>
        <w:rPr>
          <w:lang w:val="fr-CH"/>
        </w:rPr>
      </w:pPr>
      <w:r w:rsidRPr="00330A7C">
        <w:rPr>
          <w:lang w:val="fr-CH"/>
        </w:rPr>
        <w:t>Conception Universelle de l’apprentissage</w:t>
      </w:r>
    </w:p>
    <w:p w14:paraId="21558C38" w14:textId="77777777" w:rsidR="00207FDA" w:rsidRDefault="006F088B" w:rsidP="00207FDA">
      <w:pPr>
        <w:pStyle w:val="Textkrper"/>
        <w:rPr>
          <w:lang w:val="fr-CH"/>
        </w:rPr>
      </w:pPr>
      <w:r w:rsidRPr="00330A7C">
        <w:rPr>
          <w:lang w:val="fr-CH"/>
        </w:rPr>
        <w:t>La CUA se définit comme un ensemble de principes pédagogiques permettant de concevoir des méthodes d</w:t>
      </w:r>
      <w:r w:rsidR="001F04CF" w:rsidRPr="00330A7C">
        <w:rPr>
          <w:lang w:val="fr-CH"/>
        </w:rPr>
        <w:t>’</w:t>
      </w:r>
      <w:r w:rsidRPr="00330A7C">
        <w:rPr>
          <w:lang w:val="fr-CH"/>
        </w:rPr>
        <w:t>enseignement et d</w:t>
      </w:r>
      <w:r w:rsidR="001F04CF" w:rsidRPr="00330A7C">
        <w:rPr>
          <w:lang w:val="fr-CH"/>
        </w:rPr>
        <w:t>’</w:t>
      </w:r>
      <w:r w:rsidRPr="00330A7C">
        <w:rPr>
          <w:lang w:val="fr-CH"/>
        </w:rPr>
        <w:t xml:space="preserve">apprentissage flexibles qui tiennent compte de la diversité des élèves (Capp, 2017 ; </w:t>
      </w:r>
      <w:proofErr w:type="spellStart"/>
      <w:r w:rsidRPr="00330A7C">
        <w:rPr>
          <w:lang w:val="fr-CH"/>
        </w:rPr>
        <w:t>Chita-Tegmark</w:t>
      </w:r>
      <w:proofErr w:type="spellEnd"/>
      <w:r w:rsidRPr="00330A7C">
        <w:rPr>
          <w:lang w:val="fr-CH"/>
        </w:rPr>
        <w:t xml:space="preserve"> et al., 2012</w:t>
      </w:r>
      <w:r w:rsidR="00066580" w:rsidRPr="00330A7C">
        <w:rPr>
          <w:lang w:val="fr-CH"/>
        </w:rPr>
        <w:t> </w:t>
      </w:r>
      <w:r w:rsidRPr="00330A7C">
        <w:rPr>
          <w:lang w:val="fr-CH"/>
        </w:rPr>
        <w:t>; Rao, 2015). Dans la pratique, la flexibilité se traduit par une adaptation des objectifs d</w:t>
      </w:r>
      <w:r w:rsidR="001F04CF" w:rsidRPr="00330A7C">
        <w:rPr>
          <w:lang w:val="fr-CH"/>
        </w:rPr>
        <w:t>’</w:t>
      </w:r>
      <w:r w:rsidRPr="00330A7C">
        <w:rPr>
          <w:lang w:val="fr-CH"/>
        </w:rPr>
        <w:t>apprentissage, des évaluations, des méthodes d</w:t>
      </w:r>
      <w:r w:rsidR="001F04CF" w:rsidRPr="00330A7C">
        <w:rPr>
          <w:lang w:val="fr-CH"/>
        </w:rPr>
        <w:t>’</w:t>
      </w:r>
      <w:r w:rsidRPr="00330A7C">
        <w:rPr>
          <w:lang w:val="fr-CH"/>
        </w:rPr>
        <w:t xml:space="preserve">enseignement et du matériel pour répondre aux divers besoins (Zhang et al., 2022). Son cadre conceptuel, défini par les membres du </w:t>
      </w:r>
      <w:r w:rsidRPr="00330A7C">
        <w:rPr>
          <w:i/>
          <w:iCs/>
          <w:lang w:val="fr-CH"/>
        </w:rPr>
        <w:t xml:space="preserve">Center for </w:t>
      </w:r>
      <w:proofErr w:type="spellStart"/>
      <w:r w:rsidRPr="00330A7C">
        <w:rPr>
          <w:i/>
          <w:iCs/>
          <w:lang w:val="fr-CH"/>
        </w:rPr>
        <w:t>Applied</w:t>
      </w:r>
      <w:proofErr w:type="spellEnd"/>
      <w:r w:rsidRPr="00330A7C">
        <w:rPr>
          <w:i/>
          <w:iCs/>
          <w:lang w:val="fr-CH"/>
        </w:rPr>
        <w:t xml:space="preserve"> </w:t>
      </w:r>
      <w:proofErr w:type="spellStart"/>
      <w:r w:rsidRPr="00330A7C">
        <w:rPr>
          <w:i/>
          <w:iCs/>
          <w:lang w:val="fr-CH"/>
        </w:rPr>
        <w:t>Special</w:t>
      </w:r>
      <w:proofErr w:type="spellEnd"/>
      <w:r w:rsidRPr="00330A7C">
        <w:rPr>
          <w:i/>
          <w:iCs/>
          <w:lang w:val="fr-CH"/>
        </w:rPr>
        <w:t xml:space="preserve"> </w:t>
      </w:r>
      <w:proofErr w:type="spellStart"/>
      <w:r w:rsidRPr="00330A7C">
        <w:rPr>
          <w:i/>
          <w:iCs/>
          <w:lang w:val="fr-CH"/>
        </w:rPr>
        <w:t>Technology</w:t>
      </w:r>
      <w:proofErr w:type="spellEnd"/>
      <w:r w:rsidRPr="00330A7C">
        <w:rPr>
          <w:lang w:val="fr-CH"/>
        </w:rPr>
        <w:t xml:space="preserve"> (CAST), vise à supprimer les obstacles à l’apprentissage et fournir divers moyens pour répondre à la variabilité des élèves en adaptant les programmes et l</w:t>
      </w:r>
      <w:r w:rsidR="001F04CF" w:rsidRPr="00330A7C">
        <w:rPr>
          <w:lang w:val="fr-CH"/>
        </w:rPr>
        <w:t>’</w:t>
      </w:r>
      <w:r w:rsidRPr="00330A7C">
        <w:rPr>
          <w:lang w:val="fr-CH"/>
        </w:rPr>
        <w:t>enseignement (Rose &amp; Gravel, 2009). Comme le montre la Figure</w:t>
      </w:r>
      <w:r w:rsidR="00F20355" w:rsidRPr="00330A7C">
        <w:rPr>
          <w:lang w:val="fr-CH"/>
        </w:rPr>
        <w:t> </w:t>
      </w:r>
      <w:r w:rsidRPr="00330A7C">
        <w:rPr>
          <w:lang w:val="fr-CH"/>
        </w:rPr>
        <w:t xml:space="preserve">1, </w:t>
      </w:r>
      <w:r w:rsidR="005E29E8" w:rsidRPr="00330A7C">
        <w:rPr>
          <w:lang w:val="fr-CH"/>
        </w:rPr>
        <w:t>la CUA s</w:t>
      </w:r>
      <w:r w:rsidR="001F04CF" w:rsidRPr="00330A7C">
        <w:rPr>
          <w:lang w:val="fr-CH"/>
        </w:rPr>
        <w:t>’</w:t>
      </w:r>
      <w:r w:rsidR="005E29E8" w:rsidRPr="00330A7C">
        <w:rPr>
          <w:lang w:val="fr-CH"/>
        </w:rPr>
        <w:t>articule autour de trois grands principes, déclinés en neuf lignes directrices</w:t>
      </w:r>
      <w:r w:rsidR="00285E3F" w:rsidRPr="00330A7C">
        <w:rPr>
          <w:lang w:val="fr-CH"/>
        </w:rPr>
        <w:t xml:space="preserve"> qui sont composées de plusieurs points de contrôle</w:t>
      </w:r>
      <w:r w:rsidR="00C013DA" w:rsidRPr="00330A7C">
        <w:rPr>
          <w:lang w:val="fr-CH"/>
        </w:rPr>
        <w:t xml:space="preserve"> (</w:t>
      </w:r>
      <w:hyperlink r:id="rId14" w:history="1">
        <w:r w:rsidR="00285E3F" w:rsidRPr="00330A7C">
          <w:rPr>
            <w:rStyle w:val="Hyperlink"/>
            <w:lang w:val="fr-CH"/>
          </w:rPr>
          <w:t>https://udlguidelines.cast.org/</w:t>
        </w:r>
      </w:hyperlink>
      <w:r w:rsidR="002E7093" w:rsidRPr="00330A7C">
        <w:rPr>
          <w:bCs/>
          <w:iCs/>
          <w:lang w:val="fr-CH"/>
        </w:rPr>
        <w:t>)</w:t>
      </w:r>
      <w:r w:rsidR="00285E3F" w:rsidRPr="00330A7C">
        <w:rPr>
          <w:lang w:val="fr-CH"/>
        </w:rPr>
        <w:t>.</w:t>
      </w:r>
    </w:p>
    <w:p w14:paraId="4AD51A9D" w14:textId="3C90FD63" w:rsidR="00413AB6" w:rsidRPr="00207FDA" w:rsidRDefault="00413AB6" w:rsidP="00207FDA">
      <w:pPr>
        <w:pStyle w:val="LegendeAbbildung"/>
      </w:pPr>
      <w:r w:rsidRPr="00207FDA">
        <w:t>Figure</w:t>
      </w:r>
      <w:r w:rsidR="00F20355" w:rsidRPr="00207FDA">
        <w:t> </w:t>
      </w:r>
      <w:r w:rsidRPr="00207FDA">
        <w:t>1 : Lignes directrices de la Conception Universelle de l’Apprentissage (CAST, 2011)</w:t>
      </w:r>
    </w:p>
    <w:p w14:paraId="5F9E7567" w14:textId="6F9DE907" w:rsidR="00557471" w:rsidRPr="00330A7C" w:rsidRDefault="00557471" w:rsidP="00207FDA">
      <w:pPr>
        <w:pStyle w:val="LegendeAbbildung"/>
        <w:tabs>
          <w:tab w:val="left" w:pos="142"/>
        </w:tabs>
        <w:ind w:left="-142"/>
        <w:jc w:val="both"/>
      </w:pPr>
      <w:r w:rsidRPr="00330A7C">
        <w:rPr>
          <w:noProof/>
        </w:rPr>
        <w:drawing>
          <wp:inline distT="0" distB="0" distL="0" distR="0" wp14:anchorId="18019533" wp14:editId="0766A72D">
            <wp:extent cx="5934075" cy="4072277"/>
            <wp:effectExtent l="0" t="0" r="0" b="4445"/>
            <wp:docPr id="1861067406" name="Grafik 1" descr="Les trois grands principes de la CUA : offrir plusieurs moyens de représentation, offrir plusieurs moyens d'actions et d'expression, offrir plusieurs moyen d'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67406" name="Grafik 1" descr="Les trois grands principes de la CUA : offrir plusieurs moyens de représentation, offrir plusieurs moyens d'actions et d'expression, offrir plusieurs moyen d'engagement."/>
                    <pic:cNvPicPr/>
                  </pic:nvPicPr>
                  <pic:blipFill>
                    <a:blip r:embed="rId15"/>
                    <a:stretch>
                      <a:fillRect/>
                    </a:stretch>
                  </pic:blipFill>
                  <pic:spPr>
                    <a:xfrm>
                      <a:off x="0" y="0"/>
                      <a:ext cx="5942756" cy="4078234"/>
                    </a:xfrm>
                    <a:prstGeom prst="rect">
                      <a:avLst/>
                    </a:prstGeom>
                  </pic:spPr>
                </pic:pic>
              </a:graphicData>
            </a:graphic>
          </wp:inline>
        </w:drawing>
      </w:r>
    </w:p>
    <w:p w14:paraId="59034EBA" w14:textId="77777777" w:rsidR="00413AB6" w:rsidRPr="00330A7C" w:rsidRDefault="00413AB6" w:rsidP="00413AB6">
      <w:pPr>
        <w:pStyle w:val="NotizTabelle"/>
        <w:spacing w:before="0"/>
        <w:rPr>
          <w:lang w:val="fr-CH"/>
        </w:rPr>
      </w:pPr>
      <w:r w:rsidRPr="00330A7C">
        <w:rPr>
          <w:lang w:val="fr-CH"/>
        </w:rPr>
        <w:t>Note :</w:t>
      </w:r>
      <w:r w:rsidRPr="00330A7C">
        <w:rPr>
          <w:rFonts w:ascii="GillSansMTPro-Medium" w:hAnsi="GillSansMTPro-Medium" w:cs="GillSansMTPro-Medium"/>
          <w:lang w:val="fr-CH"/>
        </w:rPr>
        <w:t xml:space="preserve"> </w:t>
      </w:r>
      <w:r w:rsidRPr="00330A7C">
        <w:rPr>
          <w:lang w:val="fr-CH"/>
        </w:rPr>
        <w:t>Utilisée avec la permission de CAST</w:t>
      </w:r>
    </w:p>
    <w:p w14:paraId="4AA247FB" w14:textId="1B756904" w:rsidR="00237682" w:rsidRDefault="00237682" w:rsidP="00237682">
      <w:pPr>
        <w:pStyle w:val="Textkrper"/>
        <w:rPr>
          <w:lang w:val="fr-CH"/>
        </w:rPr>
      </w:pPr>
      <w:r w:rsidRPr="00330A7C">
        <w:rPr>
          <w:lang w:val="fr-CH"/>
        </w:rPr>
        <w:t>La version française</w:t>
      </w:r>
      <w:r w:rsidR="00F20355" w:rsidRPr="00330A7C">
        <w:rPr>
          <w:lang w:val="fr-CH"/>
        </w:rPr>
        <w:t> </w:t>
      </w:r>
      <w:r w:rsidRPr="00330A7C">
        <w:rPr>
          <w:lang w:val="fr-CH"/>
        </w:rPr>
        <w:t>2.0 a été préférée à la version</w:t>
      </w:r>
      <w:r w:rsidR="00F20355" w:rsidRPr="00330A7C">
        <w:rPr>
          <w:lang w:val="fr-CH"/>
        </w:rPr>
        <w:t> </w:t>
      </w:r>
      <w:r w:rsidRPr="00330A7C">
        <w:rPr>
          <w:lang w:val="fr-CH"/>
        </w:rPr>
        <w:t>2.2, car les neuf lignes directrices et les 31</w:t>
      </w:r>
      <w:r w:rsidR="00F20355" w:rsidRPr="00330A7C">
        <w:rPr>
          <w:lang w:val="fr-CH"/>
        </w:rPr>
        <w:t> </w:t>
      </w:r>
      <w:r w:rsidRPr="00330A7C">
        <w:rPr>
          <w:lang w:val="fr-CH"/>
        </w:rPr>
        <w:t>points de contrôle sont numérotés. Cette numérotation est mise en relation avec les items de l’UDL-OMT (voir Tableau</w:t>
      </w:r>
      <w:r w:rsidR="00F20355" w:rsidRPr="00330A7C">
        <w:rPr>
          <w:lang w:val="fr-CH"/>
        </w:rPr>
        <w:t> </w:t>
      </w:r>
      <w:r w:rsidRPr="00330A7C">
        <w:rPr>
          <w:lang w:val="fr-CH"/>
        </w:rPr>
        <w:t xml:space="preserve">2, repris de </w:t>
      </w:r>
      <w:proofErr w:type="spellStart"/>
      <w:r w:rsidRPr="00330A7C">
        <w:rPr>
          <w:lang w:val="fr-CH"/>
        </w:rPr>
        <w:t>Basham</w:t>
      </w:r>
      <w:proofErr w:type="spellEnd"/>
      <w:r w:rsidRPr="00330A7C">
        <w:rPr>
          <w:lang w:val="fr-CH"/>
        </w:rPr>
        <w:t xml:space="preserve"> et al., 2020a). Les différences entre la version</w:t>
      </w:r>
      <w:r w:rsidR="00F20355" w:rsidRPr="00330A7C">
        <w:rPr>
          <w:lang w:val="fr-CH"/>
        </w:rPr>
        <w:t> </w:t>
      </w:r>
      <w:r w:rsidRPr="00330A7C">
        <w:rPr>
          <w:lang w:val="fr-CH"/>
        </w:rPr>
        <w:t xml:space="preserve">2.0 et 2.2 ne portent pas à conséquence sur la traduction des items. </w:t>
      </w:r>
    </w:p>
    <w:p w14:paraId="2DFA57F0" w14:textId="00E4712A" w:rsidR="009607DF" w:rsidRDefault="009607DF">
      <w:pPr>
        <w:spacing w:after="200" w:line="240" w:lineRule="auto"/>
        <w:rPr>
          <w:lang w:val="fr-CH"/>
        </w:rPr>
      </w:pPr>
      <w:r>
        <w:rPr>
          <w:lang w:val="fr-CH"/>
        </w:rPr>
        <w:br w:type="page"/>
      </w:r>
    </w:p>
    <w:p w14:paraId="2566261A" w14:textId="4D3DE8F5" w:rsidR="00253CEA" w:rsidRPr="00330A7C" w:rsidRDefault="00253CEA" w:rsidP="00BE4543">
      <w:pPr>
        <w:pStyle w:val="Textkrper"/>
        <w:ind w:firstLine="0"/>
        <w:rPr>
          <w:lang w:val="fr-CH"/>
        </w:rPr>
      </w:pPr>
      <w:r w:rsidRPr="00330A7C">
        <w:rPr>
          <w:lang w:val="fr-CH"/>
        </w:rPr>
        <w:lastRenderedPageBreak/>
        <w:t>Fondée sur les avancées de la recherche en neurosciences cognitives et sciences de l</w:t>
      </w:r>
      <w:r w:rsidR="001F04CF" w:rsidRPr="00330A7C">
        <w:rPr>
          <w:lang w:val="fr-CH"/>
        </w:rPr>
        <w:t>’</w:t>
      </w:r>
      <w:r w:rsidRPr="00330A7C">
        <w:rPr>
          <w:lang w:val="fr-CH"/>
        </w:rPr>
        <w:t>apprentissage, la CUA propose</w:t>
      </w:r>
      <w:r w:rsidR="008C7A66" w:rsidRPr="00330A7C">
        <w:rPr>
          <w:lang w:val="fr-CH"/>
        </w:rPr>
        <w:t> :</w:t>
      </w:r>
      <w:r w:rsidRPr="00330A7C">
        <w:rPr>
          <w:lang w:val="fr-CH"/>
        </w:rPr>
        <w:t> </w:t>
      </w:r>
    </w:p>
    <w:p w14:paraId="5AD0868A" w14:textId="3A1C6A58" w:rsidR="00253CEA" w:rsidRPr="00330A7C" w:rsidRDefault="00253CEA" w:rsidP="009F448A">
      <w:pPr>
        <w:pStyle w:val="Listennummer"/>
        <w:spacing w:after="60"/>
        <w:contextualSpacing w:val="0"/>
        <w:jc w:val="both"/>
      </w:pPr>
      <w:proofErr w:type="gramStart"/>
      <w:r w:rsidRPr="00330A7C">
        <w:rPr>
          <w:u w:val="single"/>
        </w:rPr>
        <w:t>plusieurs</w:t>
      </w:r>
      <w:proofErr w:type="gramEnd"/>
      <w:r w:rsidRPr="00330A7C">
        <w:rPr>
          <w:u w:val="single"/>
        </w:rPr>
        <w:t xml:space="preserve"> moyens de représentation</w:t>
      </w:r>
      <w:r w:rsidRPr="00330A7C">
        <w:t> : l</w:t>
      </w:r>
      <w:r w:rsidR="001F04CF" w:rsidRPr="00330A7C">
        <w:t>’</w:t>
      </w:r>
      <w:r w:rsidRPr="00330A7C">
        <w:t xml:space="preserve">information est (re)présentée de manière à tenir compte des intérêts et des motivations, des aspects sensoriels et des modalités d’apprentissage de l’ensemble des élèves ; </w:t>
      </w:r>
    </w:p>
    <w:p w14:paraId="0CC646D6" w14:textId="02D5C6E0" w:rsidR="00253CEA" w:rsidRPr="00330A7C" w:rsidRDefault="00253CEA" w:rsidP="009F448A">
      <w:pPr>
        <w:pStyle w:val="Listennummer"/>
        <w:spacing w:after="60"/>
        <w:contextualSpacing w:val="0"/>
        <w:jc w:val="both"/>
        <w:rPr>
          <w:u w:val="single"/>
        </w:rPr>
      </w:pPr>
      <w:proofErr w:type="gramStart"/>
      <w:r w:rsidRPr="00330A7C">
        <w:rPr>
          <w:u w:val="single"/>
        </w:rPr>
        <w:t>plusieurs</w:t>
      </w:r>
      <w:proofErr w:type="gramEnd"/>
      <w:r w:rsidRPr="00330A7C">
        <w:rPr>
          <w:u w:val="single"/>
        </w:rPr>
        <w:t xml:space="preserve"> moyens d’actions et d’expression</w:t>
      </w:r>
      <w:r w:rsidRPr="00330A7C">
        <w:t> : les élèves ont le choix du support utilisé (p. ex, outils tels que l’aide-mémoire ou de la technologie) pour s’approprier le contenu et communiquer l</w:t>
      </w:r>
      <w:r w:rsidR="001F04CF" w:rsidRPr="00330A7C">
        <w:t>’</w:t>
      </w:r>
      <w:r w:rsidRPr="00330A7C">
        <w:t xml:space="preserve">acquisition des connaissances ; </w:t>
      </w:r>
    </w:p>
    <w:p w14:paraId="01D26136" w14:textId="1D68C5E9" w:rsidR="00F37711" w:rsidRPr="00330A7C" w:rsidRDefault="00253CEA" w:rsidP="009F448A">
      <w:pPr>
        <w:pStyle w:val="Listennummer"/>
        <w:spacing w:after="60"/>
        <w:contextualSpacing w:val="0"/>
        <w:jc w:val="both"/>
      </w:pPr>
      <w:proofErr w:type="gramStart"/>
      <w:r w:rsidRPr="00330A7C">
        <w:rPr>
          <w:u w:val="single"/>
        </w:rPr>
        <w:t>plusieurs</w:t>
      </w:r>
      <w:proofErr w:type="gramEnd"/>
      <w:r w:rsidRPr="00330A7C">
        <w:rPr>
          <w:u w:val="single"/>
        </w:rPr>
        <w:t xml:space="preserve"> moyens de participation ou d’engagement</w:t>
      </w:r>
      <w:r w:rsidRPr="00330A7C">
        <w:t> : l</w:t>
      </w:r>
      <w:r w:rsidR="001F04CF" w:rsidRPr="00330A7C">
        <w:t>’</w:t>
      </w:r>
      <w:r w:rsidRPr="00330A7C">
        <w:t>enseignement intègre une gamme de stratégies visant à susciter les intérêts et la motivation de l’ensemble des élèves (</w:t>
      </w:r>
      <w:proofErr w:type="spellStart"/>
      <w:r w:rsidRPr="00330A7C">
        <w:t>Basham</w:t>
      </w:r>
      <w:proofErr w:type="spellEnd"/>
      <w:r w:rsidRPr="00330A7C">
        <w:t xml:space="preserve"> et al., 2020a ; </w:t>
      </w:r>
      <w:proofErr w:type="spellStart"/>
      <w:r w:rsidRPr="00330A7C">
        <w:t>Edyburn</w:t>
      </w:r>
      <w:proofErr w:type="spellEnd"/>
      <w:r w:rsidRPr="00330A7C">
        <w:t xml:space="preserve">, 2010 ; Rose &amp; Meyer, 2002). </w:t>
      </w:r>
    </w:p>
    <w:p w14:paraId="1AA28051" w14:textId="5A46BAB5" w:rsidR="00253CEA" w:rsidRPr="00330A7C" w:rsidRDefault="001848B0" w:rsidP="00C9389D">
      <w:pPr>
        <w:pStyle w:val="Textkrper"/>
        <w:rPr>
          <w:lang w:val="fr-CH"/>
        </w:rPr>
      </w:pPr>
      <w:r w:rsidRPr="00330A7C">
        <w:rPr>
          <w:lang w:val="fr-CH"/>
        </w:rPr>
        <w:t>T</w:t>
      </w:r>
      <w:r w:rsidR="00253CEA" w:rsidRPr="00330A7C">
        <w:rPr>
          <w:lang w:val="fr-CH"/>
        </w:rPr>
        <w:t>outefois,</w:t>
      </w:r>
      <w:r w:rsidRPr="00330A7C">
        <w:rPr>
          <w:lang w:val="fr-CH"/>
        </w:rPr>
        <w:t xml:space="preserve"> il faut</w:t>
      </w:r>
      <w:r w:rsidR="00253CEA" w:rsidRPr="00330A7C">
        <w:rPr>
          <w:lang w:val="fr-CH"/>
        </w:rPr>
        <w:t xml:space="preserve"> noter que la CUA est davantage un cadre de conception d’environnements et d’expériences d’apprentissage qu</w:t>
      </w:r>
      <w:r w:rsidR="001F04CF" w:rsidRPr="00330A7C">
        <w:rPr>
          <w:lang w:val="fr-CH"/>
        </w:rPr>
        <w:t>’</w:t>
      </w:r>
      <w:r w:rsidR="00253CEA" w:rsidRPr="00330A7C">
        <w:rPr>
          <w:lang w:val="fr-CH"/>
        </w:rPr>
        <w:t>une pratique pédagogique spécifique. En raison de ce cadre multidimensionnel et non prescriptif, les effets de la CUA sur les apprentissages restent difficiles à mesurer tant pour les chercheurs que pour le corps enseignant (</w:t>
      </w:r>
      <w:proofErr w:type="spellStart"/>
      <w:r w:rsidR="00253CEA" w:rsidRPr="00330A7C">
        <w:rPr>
          <w:lang w:val="fr-CH"/>
        </w:rPr>
        <w:t>Basham</w:t>
      </w:r>
      <w:proofErr w:type="spellEnd"/>
      <w:r w:rsidR="00253CEA" w:rsidRPr="00330A7C">
        <w:rPr>
          <w:lang w:val="fr-CH"/>
        </w:rPr>
        <w:t xml:space="preserve"> et al., 2016</w:t>
      </w:r>
      <w:r w:rsidR="00066580" w:rsidRPr="00330A7C">
        <w:rPr>
          <w:lang w:val="fr-CH"/>
        </w:rPr>
        <w:t> </w:t>
      </w:r>
      <w:r w:rsidR="00253CEA" w:rsidRPr="00330A7C">
        <w:rPr>
          <w:lang w:val="fr-CH"/>
        </w:rPr>
        <w:t xml:space="preserve">; </w:t>
      </w:r>
      <w:proofErr w:type="spellStart"/>
      <w:r w:rsidR="00253CEA" w:rsidRPr="00330A7C">
        <w:rPr>
          <w:lang w:val="fr-CH"/>
        </w:rPr>
        <w:t>Basham</w:t>
      </w:r>
      <w:proofErr w:type="spellEnd"/>
      <w:r w:rsidR="00253CEA" w:rsidRPr="00330A7C">
        <w:rPr>
          <w:lang w:val="fr-CH"/>
        </w:rPr>
        <w:t xml:space="preserve"> &amp; Gardner, 2010</w:t>
      </w:r>
      <w:r w:rsidR="00066580" w:rsidRPr="00330A7C">
        <w:rPr>
          <w:lang w:val="fr-CH"/>
        </w:rPr>
        <w:t> </w:t>
      </w:r>
      <w:r w:rsidR="00253CEA" w:rsidRPr="00330A7C">
        <w:rPr>
          <w:lang w:val="fr-CH"/>
        </w:rPr>
        <w:t xml:space="preserve">; </w:t>
      </w:r>
      <w:proofErr w:type="spellStart"/>
      <w:r w:rsidR="00253CEA" w:rsidRPr="00330A7C">
        <w:rPr>
          <w:lang w:val="fr-CH"/>
        </w:rPr>
        <w:t>Edyburn</w:t>
      </w:r>
      <w:proofErr w:type="spellEnd"/>
      <w:r w:rsidR="00253CEA" w:rsidRPr="00330A7C">
        <w:rPr>
          <w:lang w:val="fr-CH"/>
        </w:rPr>
        <w:t xml:space="preserve">, 2010 ; Rao et al., 2014). Ces autrices et auteurs relèvent donc la nécessité d’établir des critères d’observation pour évaluer sa mise en œuvre.  </w:t>
      </w:r>
    </w:p>
    <w:p w14:paraId="67216D87" w14:textId="77777777" w:rsidR="00253CEA" w:rsidRPr="00330A7C" w:rsidRDefault="00253CEA" w:rsidP="00253CEA">
      <w:pPr>
        <w:pStyle w:val="berschrift2"/>
        <w:rPr>
          <w:lang w:val="fr-CH"/>
        </w:rPr>
      </w:pPr>
      <w:r w:rsidRPr="00330A7C">
        <w:rPr>
          <w:lang w:val="fr-CH"/>
        </w:rPr>
        <w:t xml:space="preserve"> Instrument de mesure de la CUA</w:t>
      </w:r>
    </w:p>
    <w:p w14:paraId="0873C68A" w14:textId="7EB0B5BB" w:rsidR="00253CEA" w:rsidRPr="00330A7C" w:rsidRDefault="00253CEA" w:rsidP="00C9389D">
      <w:pPr>
        <w:pStyle w:val="Textkrper"/>
        <w:rPr>
          <w:i/>
          <w:iCs/>
          <w:lang w:val="fr-CH"/>
        </w:rPr>
      </w:pPr>
      <w:r w:rsidRPr="00330A7C">
        <w:rPr>
          <w:lang w:val="fr-CH"/>
        </w:rPr>
        <w:t>Dans la littérature, il existe peu de moyens pour évaluer efficacement l</w:t>
      </w:r>
      <w:r w:rsidR="001F04CF" w:rsidRPr="00330A7C">
        <w:rPr>
          <w:lang w:val="fr-CH"/>
        </w:rPr>
        <w:t>’</w:t>
      </w:r>
      <w:r w:rsidRPr="00330A7C">
        <w:rPr>
          <w:lang w:val="fr-CH"/>
        </w:rPr>
        <w:t>application de la CUA dans l</w:t>
      </w:r>
      <w:r w:rsidR="001F04CF" w:rsidRPr="00330A7C">
        <w:rPr>
          <w:lang w:val="fr-CH"/>
        </w:rPr>
        <w:t>’</w:t>
      </w:r>
      <w:r w:rsidRPr="00330A7C">
        <w:rPr>
          <w:lang w:val="fr-CH"/>
        </w:rPr>
        <w:t xml:space="preserve">enseignement (Rusconi &amp; </w:t>
      </w:r>
      <w:proofErr w:type="spellStart"/>
      <w:r w:rsidRPr="00330A7C">
        <w:rPr>
          <w:lang w:val="fr-CH"/>
        </w:rPr>
        <w:t>Squillaci</w:t>
      </w:r>
      <w:proofErr w:type="spellEnd"/>
      <w:r w:rsidRPr="00330A7C">
        <w:rPr>
          <w:lang w:val="fr-CH"/>
        </w:rPr>
        <w:t xml:space="preserve">, 2023). A cet égard, </w:t>
      </w:r>
      <w:proofErr w:type="spellStart"/>
      <w:r w:rsidRPr="00330A7C">
        <w:rPr>
          <w:lang w:val="fr-CH"/>
        </w:rPr>
        <w:t>Basham</w:t>
      </w:r>
      <w:proofErr w:type="spellEnd"/>
      <w:r w:rsidRPr="00330A7C">
        <w:rPr>
          <w:lang w:val="fr-CH"/>
        </w:rPr>
        <w:t xml:space="preserve"> et al. (2020a, 2020b) ont </w:t>
      </w:r>
      <w:r w:rsidRPr="00330A7C">
        <w:rPr>
          <w:rStyle w:val="cf01"/>
          <w:lang w:val="fr-CH"/>
        </w:rPr>
        <w:t>d</w:t>
      </w:r>
      <w:r w:rsidRPr="00330A7C">
        <w:rPr>
          <w:lang w:val="fr-CH"/>
        </w:rPr>
        <w:t>éveloppé une grille d'observation prometteuse, l</w:t>
      </w:r>
      <w:r w:rsidRPr="00330A7C">
        <w:rPr>
          <w:i/>
          <w:iCs/>
          <w:lang w:val="fr-CH"/>
        </w:rPr>
        <w:t xml:space="preserve">’Universal Design for Learning Observation – </w:t>
      </w:r>
      <w:proofErr w:type="spellStart"/>
      <w:r w:rsidRPr="00330A7C">
        <w:rPr>
          <w:i/>
          <w:iCs/>
          <w:lang w:val="fr-CH"/>
        </w:rPr>
        <w:t>Measurement</w:t>
      </w:r>
      <w:proofErr w:type="spellEnd"/>
      <w:r w:rsidRPr="00330A7C">
        <w:rPr>
          <w:i/>
          <w:iCs/>
          <w:lang w:val="fr-CH"/>
        </w:rPr>
        <w:t xml:space="preserve"> Tool (UDL-OMT)</w:t>
      </w:r>
      <w:r w:rsidRPr="00330A7C">
        <w:rPr>
          <w:lang w:val="fr-CH"/>
        </w:rPr>
        <w:t>, qui mesure la mise en œuvre de la CUA en classe. L</w:t>
      </w:r>
      <w:r w:rsidR="001F04CF" w:rsidRPr="00330A7C">
        <w:rPr>
          <w:lang w:val="fr-CH"/>
        </w:rPr>
        <w:t>’</w:t>
      </w:r>
      <w:r w:rsidRPr="00330A7C">
        <w:rPr>
          <w:lang w:val="fr-CH"/>
        </w:rPr>
        <w:t>UDL-OMT se compose de 47</w:t>
      </w:r>
      <w:r w:rsidR="00F20355" w:rsidRPr="00330A7C">
        <w:rPr>
          <w:lang w:val="fr-CH"/>
        </w:rPr>
        <w:t> </w:t>
      </w:r>
      <w:r w:rsidRPr="00330A7C">
        <w:rPr>
          <w:lang w:val="fr-CH"/>
        </w:rPr>
        <w:t>items alignés sur les lignes directrices de l</w:t>
      </w:r>
      <w:r w:rsidR="001F04CF" w:rsidRPr="00330A7C">
        <w:rPr>
          <w:lang w:val="fr-CH"/>
        </w:rPr>
        <w:t>’</w:t>
      </w:r>
      <w:r w:rsidRPr="00330A7C">
        <w:rPr>
          <w:lang w:val="fr-CH"/>
        </w:rPr>
        <w:t>UDL</w:t>
      </w:r>
      <w:r w:rsidR="00F20355" w:rsidRPr="00330A7C">
        <w:rPr>
          <w:lang w:val="fr-CH"/>
        </w:rPr>
        <w:t> </w:t>
      </w:r>
      <w:r w:rsidRPr="00330A7C">
        <w:rPr>
          <w:lang w:val="fr-CH"/>
        </w:rPr>
        <w:t>2.2 (CAST, 2018), formulés dans un langage accessible aux enseignantes et enseignants (</w:t>
      </w:r>
      <w:proofErr w:type="spellStart"/>
      <w:r w:rsidRPr="00330A7C">
        <w:rPr>
          <w:lang w:val="fr-CH"/>
        </w:rPr>
        <w:t>Basham</w:t>
      </w:r>
      <w:proofErr w:type="spellEnd"/>
      <w:r w:rsidRPr="00330A7C">
        <w:rPr>
          <w:lang w:val="fr-CH"/>
        </w:rPr>
        <w:t xml:space="preserve"> et al., 2020a). Conçu comme une échelle d</w:t>
      </w:r>
      <w:r w:rsidR="001F04CF" w:rsidRPr="00330A7C">
        <w:rPr>
          <w:lang w:val="fr-CH"/>
        </w:rPr>
        <w:t>’</w:t>
      </w:r>
      <w:r w:rsidRPr="00330A7C">
        <w:rPr>
          <w:lang w:val="fr-CH"/>
        </w:rPr>
        <w:t>observation dynamique et semi-structurée, l’UDL-OMT permet d’observer le déroulement général d</w:t>
      </w:r>
      <w:r w:rsidR="001F04CF" w:rsidRPr="00330A7C">
        <w:rPr>
          <w:lang w:val="fr-CH"/>
        </w:rPr>
        <w:t>’</w:t>
      </w:r>
      <w:r w:rsidRPr="00330A7C">
        <w:rPr>
          <w:lang w:val="fr-CH"/>
        </w:rPr>
        <w:t>une leçon et identifier les moments propices à la mise en place des moyens proposés par la CUA à toute une classe ou à des groupes d’élèves plus restreints (</w:t>
      </w:r>
      <w:proofErr w:type="spellStart"/>
      <w:r w:rsidRPr="00330A7C">
        <w:rPr>
          <w:lang w:val="fr-CH"/>
        </w:rPr>
        <w:t>Basham</w:t>
      </w:r>
      <w:proofErr w:type="spellEnd"/>
      <w:r w:rsidRPr="00330A7C">
        <w:rPr>
          <w:lang w:val="fr-CH"/>
        </w:rPr>
        <w:t xml:space="preserve"> et al., 2020a, 2020b). L</w:t>
      </w:r>
      <w:r w:rsidR="001F04CF" w:rsidRPr="00330A7C">
        <w:rPr>
          <w:lang w:val="fr-CH"/>
        </w:rPr>
        <w:t>’</w:t>
      </w:r>
      <w:r w:rsidRPr="00330A7C">
        <w:rPr>
          <w:lang w:val="fr-CH"/>
        </w:rPr>
        <w:t>articulation détaillée de l</w:t>
      </w:r>
      <w:r w:rsidR="001F04CF" w:rsidRPr="00330A7C">
        <w:rPr>
          <w:lang w:val="fr-CH"/>
        </w:rPr>
        <w:t>’</w:t>
      </w:r>
      <w:r w:rsidRPr="00330A7C">
        <w:rPr>
          <w:lang w:val="fr-CH"/>
        </w:rPr>
        <w:t>outil permet de repérer les points d</w:t>
      </w:r>
      <w:r w:rsidR="001F04CF" w:rsidRPr="00330A7C">
        <w:rPr>
          <w:lang w:val="fr-CH"/>
        </w:rPr>
        <w:t>’</w:t>
      </w:r>
      <w:r w:rsidRPr="00330A7C">
        <w:rPr>
          <w:lang w:val="fr-CH"/>
        </w:rPr>
        <w:t>amélioration possibles d</w:t>
      </w:r>
      <w:r w:rsidR="001F04CF" w:rsidRPr="00330A7C">
        <w:rPr>
          <w:lang w:val="fr-CH"/>
        </w:rPr>
        <w:t>’</w:t>
      </w:r>
      <w:r w:rsidRPr="00330A7C">
        <w:rPr>
          <w:lang w:val="fr-CH"/>
        </w:rPr>
        <w:t>un programme et d</w:t>
      </w:r>
      <w:r w:rsidR="001F04CF" w:rsidRPr="00330A7C">
        <w:rPr>
          <w:lang w:val="fr-CH"/>
        </w:rPr>
        <w:t>’</w:t>
      </w:r>
      <w:r w:rsidRPr="00330A7C">
        <w:rPr>
          <w:lang w:val="fr-CH"/>
        </w:rPr>
        <w:t>initier ainsi un processus de réflexion et de développement personnel du corp</w:t>
      </w:r>
      <w:r w:rsidR="00986049" w:rsidRPr="00330A7C">
        <w:rPr>
          <w:lang w:val="fr-CH"/>
        </w:rPr>
        <w:t>s</w:t>
      </w:r>
      <w:r w:rsidRPr="00330A7C">
        <w:rPr>
          <w:lang w:val="fr-CH"/>
        </w:rPr>
        <w:t xml:space="preserve"> enseignant (</w:t>
      </w:r>
      <w:proofErr w:type="spellStart"/>
      <w:r w:rsidRPr="00330A7C">
        <w:rPr>
          <w:lang w:val="fr-CH"/>
        </w:rPr>
        <w:t>Basham</w:t>
      </w:r>
      <w:proofErr w:type="spellEnd"/>
      <w:r w:rsidRPr="00330A7C">
        <w:rPr>
          <w:lang w:val="fr-CH"/>
        </w:rPr>
        <w:t xml:space="preserve"> et al., 2020a). Une première expérimentation de la version originale (en anglais) de l</w:t>
      </w:r>
      <w:r w:rsidR="001F04CF" w:rsidRPr="00330A7C">
        <w:rPr>
          <w:lang w:val="fr-CH"/>
        </w:rPr>
        <w:t>’</w:t>
      </w:r>
      <w:r w:rsidRPr="00330A7C">
        <w:rPr>
          <w:lang w:val="fr-CH"/>
        </w:rPr>
        <w:t>UDL-OMT auprès de 11</w:t>
      </w:r>
      <w:r w:rsidR="00F20355" w:rsidRPr="00330A7C">
        <w:rPr>
          <w:lang w:val="fr-CH"/>
        </w:rPr>
        <w:t> </w:t>
      </w:r>
      <w:r w:rsidRPr="00330A7C">
        <w:rPr>
          <w:lang w:val="fr-CH"/>
        </w:rPr>
        <w:t>classes de différents degrés a démontré une bonne cohérence interne de l</w:t>
      </w:r>
      <w:r w:rsidR="001F04CF" w:rsidRPr="00330A7C">
        <w:rPr>
          <w:lang w:val="fr-CH"/>
        </w:rPr>
        <w:t>’</w:t>
      </w:r>
      <w:r w:rsidRPr="00330A7C">
        <w:rPr>
          <w:lang w:val="fr-CH"/>
        </w:rPr>
        <w:t>outil (</w:t>
      </w:r>
      <w:proofErr w:type="spellStart"/>
      <w:r w:rsidRPr="00330A7C">
        <w:rPr>
          <w:lang w:val="fr-CH"/>
        </w:rPr>
        <w:t>Basham</w:t>
      </w:r>
      <w:proofErr w:type="spellEnd"/>
      <w:r w:rsidRPr="00330A7C">
        <w:rPr>
          <w:lang w:val="fr-CH"/>
        </w:rPr>
        <w:t>, 2020a). Compte tenu de ces résultats encourageants, une traduction et une adaptation interculturelle permet d’élargir l’observation des effets de la CUA dans des classes francophones et italophones de Suisse.</w:t>
      </w:r>
    </w:p>
    <w:p w14:paraId="5C943E39" w14:textId="77777777" w:rsidR="00253CEA" w:rsidRPr="00330A7C" w:rsidRDefault="00253CEA" w:rsidP="00253CEA">
      <w:pPr>
        <w:pStyle w:val="berschrift1"/>
        <w:rPr>
          <w:lang w:val="fr-CH"/>
        </w:rPr>
      </w:pPr>
      <w:r w:rsidRPr="00330A7C">
        <w:rPr>
          <w:lang w:val="fr-CH"/>
        </w:rPr>
        <w:t>Traduction et adaptation interculturelle de l’UDL-OMT</w:t>
      </w:r>
    </w:p>
    <w:p w14:paraId="3E240359" w14:textId="08847AAC" w:rsidR="00253CEA" w:rsidRPr="00330A7C" w:rsidRDefault="00253CEA" w:rsidP="00C9389D">
      <w:pPr>
        <w:pStyle w:val="Textkrper"/>
        <w:rPr>
          <w:lang w:val="fr-CH"/>
        </w:rPr>
      </w:pPr>
      <w:r w:rsidRPr="00330A7C">
        <w:rPr>
          <w:lang w:val="fr-CH"/>
        </w:rPr>
        <w:t xml:space="preserve">La traduction et l’adaptation interculturelle de l’UDL-OMT a impliqué les autrices de cet article et deux étudiantes </w:t>
      </w:r>
      <w:r w:rsidR="002A332E" w:rsidRPr="00330A7C">
        <w:rPr>
          <w:lang w:val="fr-CH"/>
        </w:rPr>
        <w:t>du</w:t>
      </w:r>
      <w:r w:rsidRPr="00330A7C">
        <w:rPr>
          <w:lang w:val="fr-CH"/>
        </w:rPr>
        <w:t xml:space="preserve"> Master </w:t>
      </w:r>
      <w:r w:rsidR="002A332E" w:rsidRPr="00330A7C">
        <w:rPr>
          <w:lang w:val="fr-CH"/>
        </w:rPr>
        <w:t>en</w:t>
      </w:r>
      <w:r w:rsidRPr="00330A7C">
        <w:rPr>
          <w:lang w:val="fr-CH"/>
        </w:rPr>
        <w:t xml:space="preserve"> enseignement spécialisé de l’Université de Fribourg (UNIFR) et de la Haute </w:t>
      </w:r>
      <w:r w:rsidR="002C008E" w:rsidRPr="00330A7C">
        <w:rPr>
          <w:lang w:val="fr-CH"/>
        </w:rPr>
        <w:t>É</w:t>
      </w:r>
      <w:r w:rsidRPr="00330A7C">
        <w:rPr>
          <w:lang w:val="fr-CH"/>
        </w:rPr>
        <w:t xml:space="preserve">cole Pédagogique de Locarno (SUPSI). Le processus de traduction s’est appuyé sur la planification de Corbière et </w:t>
      </w:r>
      <w:proofErr w:type="spellStart"/>
      <w:r w:rsidRPr="00330A7C">
        <w:rPr>
          <w:lang w:val="fr-CH"/>
        </w:rPr>
        <w:t>Fraccaroli</w:t>
      </w:r>
      <w:proofErr w:type="spellEnd"/>
      <w:r w:rsidRPr="00330A7C">
        <w:rPr>
          <w:lang w:val="fr-CH"/>
        </w:rPr>
        <w:t xml:space="preserve"> (2020) et les recommandations de l’International Test Commission (ICT, 2017). Le déroulement est présenté dans le Tableau</w:t>
      </w:r>
      <w:r w:rsidR="00F20355" w:rsidRPr="00330A7C">
        <w:rPr>
          <w:lang w:val="fr-CH"/>
        </w:rPr>
        <w:t> </w:t>
      </w:r>
      <w:r w:rsidRPr="00330A7C">
        <w:rPr>
          <w:lang w:val="fr-CH"/>
        </w:rPr>
        <w:t>1.</w:t>
      </w:r>
    </w:p>
    <w:p w14:paraId="06A143BA" w14:textId="301266BE" w:rsidR="00253CEA" w:rsidRPr="00330A7C" w:rsidRDefault="00253CEA" w:rsidP="00C9389D">
      <w:pPr>
        <w:pStyle w:val="LegendeTabelle"/>
        <w:rPr>
          <w:lang w:val="fr-CH"/>
        </w:rPr>
      </w:pPr>
      <w:r w:rsidRPr="00330A7C">
        <w:rPr>
          <w:lang w:val="fr-CH"/>
        </w:rPr>
        <w:t>Tableau</w:t>
      </w:r>
      <w:r w:rsidR="00F20355" w:rsidRPr="00330A7C">
        <w:rPr>
          <w:lang w:val="fr-CH"/>
        </w:rPr>
        <w:t> </w:t>
      </w:r>
      <w:r w:rsidRPr="00330A7C">
        <w:rPr>
          <w:lang w:val="fr-CH"/>
        </w:rPr>
        <w:t xml:space="preserve">1 : </w:t>
      </w:r>
      <w:r w:rsidR="002C008E" w:rsidRPr="00330A7C">
        <w:rPr>
          <w:lang w:val="fr-CH"/>
        </w:rPr>
        <w:t>É</w:t>
      </w:r>
      <w:r w:rsidRPr="00330A7C">
        <w:rPr>
          <w:lang w:val="fr-CH"/>
        </w:rPr>
        <w:t>tapes de traduction et d’adaptation interculturelle de l’UDL-OMT</w:t>
      </w:r>
    </w:p>
    <w:tbl>
      <w:tblPr>
        <w:tblStyle w:val="Gitternetztabelle3Akzent5"/>
        <w:tblW w:w="0" w:type="auto"/>
        <w:tblLayout w:type="fixed"/>
        <w:tblLook w:val="04A0" w:firstRow="1" w:lastRow="0" w:firstColumn="1" w:lastColumn="0" w:noHBand="0" w:noVBand="1"/>
      </w:tblPr>
      <w:tblGrid>
        <w:gridCol w:w="1560"/>
        <w:gridCol w:w="3969"/>
        <w:gridCol w:w="3402"/>
      </w:tblGrid>
      <w:tr w:rsidR="00256CFF" w:rsidRPr="00330A7C" w14:paraId="583E4A84" w14:textId="77777777" w:rsidTr="00256C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tcPr>
          <w:p w14:paraId="73AFFA9A" w14:textId="77777777" w:rsidR="00253CEA" w:rsidRPr="00330A7C" w:rsidRDefault="00253CEA">
            <w:pPr>
              <w:spacing w:after="60"/>
              <w:rPr>
                <w:rFonts w:cstheme="minorHAnsi"/>
                <w:sz w:val="22"/>
                <w:szCs w:val="22"/>
                <w:lang w:val="fr-CH"/>
              </w:rPr>
            </w:pPr>
            <w:r w:rsidRPr="00330A7C">
              <w:rPr>
                <w:rFonts w:cstheme="minorHAnsi"/>
                <w:sz w:val="22"/>
                <w:szCs w:val="22"/>
                <w:lang w:val="fr-CH"/>
              </w:rPr>
              <w:t>Dates</w:t>
            </w:r>
          </w:p>
        </w:tc>
        <w:tc>
          <w:tcPr>
            <w:tcW w:w="3969" w:type="dxa"/>
          </w:tcPr>
          <w:p w14:paraId="412DE373" w14:textId="7183C2D7" w:rsidR="00253CEA" w:rsidRPr="00330A7C" w:rsidRDefault="002C008E">
            <w:pPr>
              <w:spacing w:after="60"/>
              <w:cnfStyle w:val="100000000000" w:firstRow="1" w:lastRow="0" w:firstColumn="0" w:lastColumn="0" w:oddVBand="0" w:evenVBand="0" w:oddHBand="0" w:evenHBand="0" w:firstRowFirstColumn="0" w:firstRowLastColumn="0" w:lastRowFirstColumn="0" w:lastRowLastColumn="0"/>
              <w:rPr>
                <w:rFonts w:cstheme="minorHAnsi"/>
                <w:sz w:val="22"/>
                <w:szCs w:val="22"/>
                <w:lang w:val="fr-CH"/>
              </w:rPr>
            </w:pPr>
            <w:r w:rsidRPr="00330A7C">
              <w:rPr>
                <w:rFonts w:cstheme="minorHAnsi"/>
                <w:sz w:val="22"/>
                <w:szCs w:val="22"/>
                <w:lang w:val="fr-CH"/>
              </w:rPr>
              <w:t>É</w:t>
            </w:r>
            <w:r w:rsidR="00253CEA" w:rsidRPr="00330A7C">
              <w:rPr>
                <w:rFonts w:cstheme="minorHAnsi"/>
                <w:sz w:val="22"/>
                <w:szCs w:val="22"/>
                <w:lang w:val="fr-CH"/>
              </w:rPr>
              <w:t>tapes</w:t>
            </w:r>
          </w:p>
        </w:tc>
        <w:tc>
          <w:tcPr>
            <w:tcW w:w="3402" w:type="dxa"/>
          </w:tcPr>
          <w:p w14:paraId="187B9636" w14:textId="77777777" w:rsidR="00253CEA" w:rsidRPr="00330A7C" w:rsidRDefault="00253CEA" w:rsidP="00256CFF">
            <w:pPr>
              <w:spacing w:after="60"/>
              <w:ind w:left="31" w:hanging="31"/>
              <w:cnfStyle w:val="100000000000" w:firstRow="1" w:lastRow="0" w:firstColumn="0" w:lastColumn="0" w:oddVBand="0" w:evenVBand="0" w:oddHBand="0" w:evenHBand="0" w:firstRowFirstColumn="0" w:firstRowLastColumn="0" w:lastRowFirstColumn="0" w:lastRowLastColumn="0"/>
              <w:rPr>
                <w:rFonts w:cstheme="minorHAnsi"/>
                <w:sz w:val="22"/>
                <w:szCs w:val="22"/>
                <w:lang w:val="fr-CH"/>
              </w:rPr>
            </w:pPr>
            <w:r w:rsidRPr="00330A7C">
              <w:rPr>
                <w:rFonts w:cstheme="minorHAnsi"/>
                <w:sz w:val="22"/>
                <w:szCs w:val="22"/>
                <w:lang w:val="fr-CH"/>
              </w:rPr>
              <w:t>Versions</w:t>
            </w:r>
          </w:p>
        </w:tc>
      </w:tr>
      <w:tr w:rsidR="00256CFF" w:rsidRPr="00330A7C" w14:paraId="27869F4E" w14:textId="77777777" w:rsidTr="0025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8BD8CEE" w14:textId="653A49FA" w:rsidR="00253CEA" w:rsidRPr="00330A7C" w:rsidRDefault="00253CEA">
            <w:pPr>
              <w:spacing w:after="60"/>
              <w:rPr>
                <w:rFonts w:cstheme="minorHAnsi"/>
                <w:b/>
                <w:bCs/>
                <w:sz w:val="22"/>
                <w:szCs w:val="22"/>
                <w:lang w:val="fr-CH"/>
              </w:rPr>
            </w:pPr>
            <w:r w:rsidRPr="00330A7C">
              <w:rPr>
                <w:rFonts w:cstheme="minorHAnsi"/>
                <w:sz w:val="22"/>
                <w:szCs w:val="22"/>
                <w:lang w:val="fr-CH"/>
              </w:rPr>
              <w:t>Janvier</w:t>
            </w:r>
            <w:r w:rsidR="00066580" w:rsidRPr="00330A7C">
              <w:rPr>
                <w:rFonts w:cstheme="minorHAnsi"/>
                <w:sz w:val="22"/>
                <w:szCs w:val="22"/>
                <w:lang w:val="fr-CH"/>
              </w:rPr>
              <w:t> </w:t>
            </w:r>
            <w:r w:rsidRPr="00330A7C">
              <w:rPr>
                <w:rFonts w:cstheme="minorHAnsi"/>
                <w:sz w:val="22"/>
                <w:szCs w:val="22"/>
                <w:lang w:val="fr-CH"/>
              </w:rPr>
              <w:t>2022</w:t>
            </w:r>
          </w:p>
        </w:tc>
        <w:tc>
          <w:tcPr>
            <w:tcW w:w="3969" w:type="dxa"/>
          </w:tcPr>
          <w:p w14:paraId="4AD484A4" w14:textId="77777777" w:rsidR="00253CEA" w:rsidRPr="00330A7C" w:rsidRDefault="00253CEA">
            <w:pPr>
              <w:spacing w:after="60"/>
              <w:cnfStyle w:val="000000100000" w:firstRow="0" w:lastRow="0" w:firstColumn="0" w:lastColumn="0" w:oddVBand="0" w:evenVBand="0" w:oddHBand="1" w:evenHBand="0" w:firstRowFirstColumn="0" w:firstRowLastColumn="0" w:lastRowFirstColumn="0" w:lastRowLastColumn="0"/>
              <w:rPr>
                <w:rFonts w:cstheme="minorHAnsi"/>
                <w:sz w:val="22"/>
                <w:szCs w:val="22"/>
                <w:lang w:val="fr-CH"/>
              </w:rPr>
            </w:pPr>
            <w:r w:rsidRPr="00330A7C">
              <w:rPr>
                <w:rFonts w:cstheme="minorHAnsi"/>
                <w:sz w:val="22"/>
                <w:szCs w:val="22"/>
                <w:lang w:val="fr-CH"/>
              </w:rPr>
              <w:t>Autorisation de traduction</w:t>
            </w:r>
          </w:p>
        </w:tc>
        <w:tc>
          <w:tcPr>
            <w:tcW w:w="3402" w:type="dxa"/>
          </w:tcPr>
          <w:p w14:paraId="55F15CEC"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Fonts w:cstheme="minorHAnsi"/>
                <w:sz w:val="22"/>
                <w:szCs w:val="22"/>
                <w:lang w:val="fr-CH"/>
              </w:rPr>
            </w:pPr>
          </w:p>
        </w:tc>
      </w:tr>
      <w:tr w:rsidR="00256CFF" w:rsidRPr="00CD5C43" w14:paraId="3746726E" w14:textId="77777777" w:rsidTr="00256CFF">
        <w:tc>
          <w:tcPr>
            <w:cnfStyle w:val="001000000000" w:firstRow="0" w:lastRow="0" w:firstColumn="1" w:lastColumn="0" w:oddVBand="0" w:evenVBand="0" w:oddHBand="0" w:evenHBand="0" w:firstRowFirstColumn="0" w:firstRowLastColumn="0" w:lastRowFirstColumn="0" w:lastRowLastColumn="0"/>
            <w:tcW w:w="1560" w:type="dxa"/>
          </w:tcPr>
          <w:p w14:paraId="729A3771" w14:textId="6EB8FD45"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Mars</w:t>
            </w:r>
            <w:r w:rsidR="00256CFF" w:rsidRPr="00330A7C">
              <w:rPr>
                <w:rStyle w:val="normaltextrun"/>
                <w:rFonts w:eastAsiaTheme="majorEastAsia" w:cstheme="minorHAnsi"/>
                <w:sz w:val="22"/>
                <w:szCs w:val="22"/>
                <w:lang w:val="fr-CH"/>
              </w:rPr>
              <w:t xml:space="preserve"> </w:t>
            </w:r>
            <w:r w:rsidRPr="00330A7C">
              <w:rPr>
                <w:rStyle w:val="normaltextrun"/>
                <w:rFonts w:eastAsiaTheme="majorEastAsia" w:cstheme="minorHAnsi"/>
                <w:sz w:val="22"/>
                <w:szCs w:val="22"/>
                <w:lang w:val="fr-CH"/>
              </w:rPr>
              <w:t>-</w:t>
            </w:r>
            <w:r w:rsidR="00256CFF" w:rsidRPr="00330A7C">
              <w:rPr>
                <w:rStyle w:val="normaltextrun"/>
                <w:rFonts w:eastAsiaTheme="majorEastAsia" w:cstheme="minorHAnsi"/>
                <w:sz w:val="22"/>
                <w:szCs w:val="22"/>
                <w:lang w:val="fr-CH"/>
              </w:rPr>
              <w:t xml:space="preserve"> </w:t>
            </w:r>
            <w:r w:rsidRPr="00330A7C">
              <w:rPr>
                <w:rStyle w:val="normaltextrun"/>
                <w:rFonts w:eastAsiaTheme="majorEastAsia" w:cstheme="minorHAnsi"/>
                <w:sz w:val="22"/>
                <w:szCs w:val="22"/>
                <w:lang w:val="fr-CH"/>
              </w:rPr>
              <w:t>avril</w:t>
            </w:r>
            <w:r w:rsidR="00066580"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2022</w:t>
            </w:r>
          </w:p>
        </w:tc>
        <w:tc>
          <w:tcPr>
            <w:tcW w:w="3969" w:type="dxa"/>
          </w:tcPr>
          <w:p w14:paraId="214DEE87" w14:textId="77777777" w:rsidR="00253CEA" w:rsidRPr="00330A7C" w:rsidRDefault="00253CEA">
            <w:pPr>
              <w:spacing w:after="60"/>
              <w:cnfStyle w:val="000000000000" w:firstRow="0" w:lastRow="0" w:firstColumn="0" w:lastColumn="0" w:oddVBand="0" w:evenVBand="0" w:oddHBand="0" w:evenHBand="0" w:firstRowFirstColumn="0" w:firstRowLastColumn="0" w:lastRowFirstColumn="0" w:lastRowLastColumn="0"/>
              <w:rPr>
                <w:rFonts w:cstheme="minorHAnsi"/>
                <w:sz w:val="22"/>
                <w:szCs w:val="22"/>
                <w:lang w:val="fr-CH"/>
              </w:rPr>
            </w:pPr>
            <w:r w:rsidRPr="00330A7C">
              <w:rPr>
                <w:rStyle w:val="normaltextrun"/>
                <w:rFonts w:eastAsiaTheme="majorEastAsia" w:cstheme="minorHAnsi"/>
                <w:sz w:val="22"/>
                <w:szCs w:val="22"/>
                <w:lang w:val="fr-CH"/>
              </w:rPr>
              <w:t>Traductions initiales de l’anglais au français et à l’italien</w:t>
            </w:r>
          </w:p>
        </w:tc>
        <w:tc>
          <w:tcPr>
            <w:tcW w:w="3402" w:type="dxa"/>
          </w:tcPr>
          <w:p w14:paraId="45C469EA"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Fonts w:cstheme="minorHAnsi"/>
                <w:sz w:val="22"/>
                <w:szCs w:val="22"/>
                <w:lang w:val="fr-CH"/>
              </w:rPr>
            </w:pPr>
            <w:r w:rsidRPr="00330A7C">
              <w:rPr>
                <w:rFonts w:cstheme="minorHAnsi"/>
                <w:sz w:val="22"/>
                <w:szCs w:val="22"/>
                <w:lang w:val="fr-CH"/>
              </w:rPr>
              <w:t>2 versions traduites en français</w:t>
            </w:r>
          </w:p>
          <w:p w14:paraId="1B200AAE"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Fonts w:cstheme="minorHAnsi"/>
                <w:sz w:val="22"/>
                <w:szCs w:val="22"/>
                <w:lang w:val="fr-CH"/>
              </w:rPr>
            </w:pPr>
            <w:r w:rsidRPr="00330A7C">
              <w:rPr>
                <w:rFonts w:cstheme="minorHAnsi"/>
                <w:sz w:val="22"/>
                <w:szCs w:val="22"/>
                <w:lang w:val="fr-CH"/>
              </w:rPr>
              <w:t>2 versions traduites en italien</w:t>
            </w:r>
          </w:p>
        </w:tc>
      </w:tr>
      <w:tr w:rsidR="00256CFF" w:rsidRPr="00CD5C43" w14:paraId="59FA19C7" w14:textId="77777777" w:rsidTr="0025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4A0A8CD" w14:textId="2CB1BDC4"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Mai</w:t>
            </w:r>
            <w:r w:rsidR="00066580"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2022</w:t>
            </w:r>
          </w:p>
        </w:tc>
        <w:tc>
          <w:tcPr>
            <w:tcW w:w="3969" w:type="dxa"/>
          </w:tcPr>
          <w:p w14:paraId="427874D9" w14:textId="77777777" w:rsidR="00253CEA" w:rsidRPr="00330A7C" w:rsidRDefault="00253CEA">
            <w:pPr>
              <w:spacing w:after="6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Synthèse des deux traductions françaises et des deux traductions italiennes</w:t>
            </w:r>
          </w:p>
        </w:tc>
        <w:tc>
          <w:tcPr>
            <w:tcW w:w="3402" w:type="dxa"/>
          </w:tcPr>
          <w:p w14:paraId="22278166"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en français (V1-Fr)</w:t>
            </w:r>
          </w:p>
          <w:p w14:paraId="609BF45A"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en italien (V1-Ita)</w:t>
            </w:r>
          </w:p>
        </w:tc>
      </w:tr>
      <w:tr w:rsidR="00256CFF" w:rsidRPr="00CD5C43" w14:paraId="3E767DD3" w14:textId="77777777" w:rsidTr="00256CFF">
        <w:trPr>
          <w:trHeight w:val="640"/>
        </w:trPr>
        <w:tc>
          <w:tcPr>
            <w:cnfStyle w:val="001000000000" w:firstRow="0" w:lastRow="0" w:firstColumn="1" w:lastColumn="0" w:oddVBand="0" w:evenVBand="0" w:oddHBand="0" w:evenHBand="0" w:firstRowFirstColumn="0" w:firstRowLastColumn="0" w:lastRowFirstColumn="0" w:lastRowLastColumn="0"/>
            <w:tcW w:w="1560" w:type="dxa"/>
          </w:tcPr>
          <w:p w14:paraId="6ABBD583" w14:textId="0E7C0DFE"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lastRenderedPageBreak/>
              <w:t>Juin</w:t>
            </w:r>
            <w:r w:rsidR="00066580"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2022</w:t>
            </w:r>
          </w:p>
        </w:tc>
        <w:tc>
          <w:tcPr>
            <w:tcW w:w="3969" w:type="dxa"/>
          </w:tcPr>
          <w:p w14:paraId="42FAE3D9" w14:textId="77777777" w:rsidR="00253CEA" w:rsidRPr="00330A7C" w:rsidRDefault="00253CEA">
            <w:pPr>
              <w:spacing w:after="6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Confrontation de la traduction française et italienne. </w:t>
            </w:r>
          </w:p>
        </w:tc>
        <w:tc>
          <w:tcPr>
            <w:tcW w:w="3402" w:type="dxa"/>
          </w:tcPr>
          <w:p w14:paraId="2E03CCD5"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en français (V2-Fr)</w:t>
            </w:r>
          </w:p>
          <w:p w14:paraId="62D5C86A"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en italien (V2-Ita)</w:t>
            </w:r>
          </w:p>
        </w:tc>
      </w:tr>
      <w:tr w:rsidR="00256CFF" w:rsidRPr="00CD5C43" w14:paraId="17F71397" w14:textId="77777777" w:rsidTr="0025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2C5D008" w14:textId="307FA169"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Ao</w:t>
            </w:r>
            <w:r w:rsidR="002C008E" w:rsidRPr="00330A7C">
              <w:rPr>
                <w:rStyle w:val="normaltextrun"/>
                <w:rFonts w:eastAsiaTheme="majorEastAsia" w:cstheme="minorHAnsi"/>
                <w:sz w:val="22"/>
                <w:szCs w:val="22"/>
                <w:lang w:val="fr-CH"/>
              </w:rPr>
              <w:t>u</w:t>
            </w:r>
            <w:r w:rsidRPr="00330A7C">
              <w:rPr>
                <w:rStyle w:val="normaltextrun"/>
                <w:rFonts w:eastAsiaTheme="majorEastAsia" w:cstheme="minorHAnsi"/>
                <w:sz w:val="22"/>
                <w:szCs w:val="22"/>
                <w:lang w:val="fr-CH"/>
              </w:rPr>
              <w:t>t</w:t>
            </w:r>
            <w:r w:rsidR="00256CFF" w:rsidRPr="00330A7C">
              <w:rPr>
                <w:rStyle w:val="normaltextrun"/>
                <w:rFonts w:eastAsiaTheme="majorEastAsia" w:cstheme="minorHAnsi"/>
                <w:sz w:val="22"/>
                <w:szCs w:val="22"/>
                <w:lang w:val="fr-CH"/>
              </w:rPr>
              <w:t xml:space="preserve"> </w:t>
            </w:r>
            <w:r w:rsidRPr="00330A7C">
              <w:rPr>
                <w:rStyle w:val="normaltextrun"/>
                <w:rFonts w:eastAsiaTheme="majorEastAsia" w:cstheme="minorHAnsi"/>
                <w:sz w:val="22"/>
                <w:szCs w:val="22"/>
                <w:lang w:val="fr-CH"/>
              </w:rPr>
              <w:t>-</w:t>
            </w:r>
            <w:r w:rsidR="006A351B" w:rsidRPr="00330A7C">
              <w:rPr>
                <w:rStyle w:val="normaltextrun"/>
                <w:rFonts w:eastAsiaTheme="majorEastAsia" w:cstheme="minorHAnsi"/>
                <w:lang w:val="fr-CH"/>
              </w:rPr>
              <w:br/>
            </w:r>
            <w:r w:rsidR="00256CFF" w:rsidRPr="00330A7C">
              <w:rPr>
                <w:rStyle w:val="normaltextrun"/>
                <w:rFonts w:eastAsiaTheme="majorEastAsia" w:cstheme="minorHAnsi"/>
                <w:sz w:val="22"/>
                <w:szCs w:val="22"/>
                <w:lang w:val="fr-CH"/>
              </w:rPr>
              <w:t>s</w:t>
            </w:r>
            <w:r w:rsidRPr="00330A7C">
              <w:rPr>
                <w:rStyle w:val="normaltextrun"/>
                <w:rFonts w:eastAsiaTheme="majorEastAsia" w:cstheme="minorHAnsi"/>
                <w:sz w:val="22"/>
                <w:szCs w:val="22"/>
                <w:lang w:val="fr-CH"/>
              </w:rPr>
              <w:t>e</w:t>
            </w:r>
            <w:r w:rsidR="006A351B" w:rsidRPr="00330A7C">
              <w:rPr>
                <w:rStyle w:val="normaltextrun"/>
                <w:rFonts w:eastAsiaTheme="majorEastAsia" w:cstheme="minorHAnsi"/>
                <w:lang w:val="fr-CH"/>
              </w:rPr>
              <w:t>p</w:t>
            </w:r>
            <w:r w:rsidRPr="00330A7C">
              <w:rPr>
                <w:rStyle w:val="normaltextrun"/>
                <w:rFonts w:eastAsiaTheme="majorEastAsia" w:cstheme="minorHAnsi"/>
                <w:sz w:val="22"/>
                <w:szCs w:val="22"/>
                <w:lang w:val="fr-CH"/>
              </w:rPr>
              <w:t>tembre</w:t>
            </w:r>
            <w:r w:rsidR="00066580"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2022</w:t>
            </w:r>
          </w:p>
        </w:tc>
        <w:tc>
          <w:tcPr>
            <w:tcW w:w="3969" w:type="dxa"/>
          </w:tcPr>
          <w:p w14:paraId="59CAAE94" w14:textId="77777777" w:rsidR="00253CEA" w:rsidRPr="00330A7C" w:rsidRDefault="00253CEA">
            <w:pPr>
              <w:spacing w:after="6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Rétro traduction des versions française et italienne</w:t>
            </w:r>
          </w:p>
        </w:tc>
        <w:tc>
          <w:tcPr>
            <w:tcW w:w="3402" w:type="dxa"/>
          </w:tcPr>
          <w:p w14:paraId="4F983E47"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2 versions traduites en anglais (Fr)</w:t>
            </w:r>
          </w:p>
          <w:p w14:paraId="1E9A13D2"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2 versions traduites en anglais (</w:t>
            </w:r>
            <w:proofErr w:type="spellStart"/>
            <w:r w:rsidRPr="00330A7C">
              <w:rPr>
                <w:rStyle w:val="normaltextrun"/>
                <w:rFonts w:eastAsiaTheme="majorEastAsia" w:cstheme="minorHAnsi"/>
                <w:sz w:val="22"/>
                <w:szCs w:val="22"/>
                <w:lang w:val="fr-CH"/>
              </w:rPr>
              <w:t>Ita</w:t>
            </w:r>
            <w:proofErr w:type="spellEnd"/>
            <w:r w:rsidRPr="00330A7C">
              <w:rPr>
                <w:rStyle w:val="normaltextrun"/>
                <w:rFonts w:eastAsiaTheme="majorEastAsia" w:cstheme="minorHAnsi"/>
                <w:sz w:val="22"/>
                <w:szCs w:val="22"/>
                <w:lang w:val="fr-CH"/>
              </w:rPr>
              <w:t>)</w:t>
            </w:r>
          </w:p>
        </w:tc>
      </w:tr>
      <w:tr w:rsidR="00256CFF" w:rsidRPr="00CD5C43" w14:paraId="207D246E" w14:textId="77777777" w:rsidTr="00256CFF">
        <w:tc>
          <w:tcPr>
            <w:cnfStyle w:val="001000000000" w:firstRow="0" w:lastRow="0" w:firstColumn="1" w:lastColumn="0" w:oddVBand="0" w:evenVBand="0" w:oddHBand="0" w:evenHBand="0" w:firstRowFirstColumn="0" w:firstRowLastColumn="0" w:lastRowFirstColumn="0" w:lastRowLastColumn="0"/>
            <w:tcW w:w="1560" w:type="dxa"/>
          </w:tcPr>
          <w:p w14:paraId="7CB75973" w14:textId="1E4110AE"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Décembre</w:t>
            </w:r>
            <w:r w:rsidR="00066580"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2023</w:t>
            </w:r>
          </w:p>
        </w:tc>
        <w:tc>
          <w:tcPr>
            <w:tcW w:w="3969" w:type="dxa"/>
          </w:tcPr>
          <w:p w14:paraId="20EF8990" w14:textId="77777777" w:rsidR="00253CEA" w:rsidRPr="00330A7C" w:rsidRDefault="00253CEA">
            <w:pPr>
              <w:spacing w:after="6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Révision par un comité d’experts.</w:t>
            </w:r>
          </w:p>
        </w:tc>
        <w:tc>
          <w:tcPr>
            <w:tcW w:w="3402" w:type="dxa"/>
          </w:tcPr>
          <w:p w14:paraId="207D2BA9"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et révisée (V3-Fr)</w:t>
            </w:r>
          </w:p>
          <w:p w14:paraId="7D00BDC5"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et révisée (V3-Ita)</w:t>
            </w:r>
          </w:p>
        </w:tc>
      </w:tr>
      <w:tr w:rsidR="00256CFF" w:rsidRPr="00330A7C" w14:paraId="2810F7D0" w14:textId="77777777" w:rsidTr="0025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BEB5F28" w14:textId="76582F25"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Mars</w:t>
            </w:r>
            <w:r w:rsidR="00066580"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2023</w:t>
            </w:r>
          </w:p>
        </w:tc>
        <w:tc>
          <w:tcPr>
            <w:tcW w:w="3969" w:type="dxa"/>
          </w:tcPr>
          <w:p w14:paraId="0FAE8183" w14:textId="07EF377B" w:rsidR="00253CEA" w:rsidRPr="00330A7C" w:rsidRDefault="002C008E">
            <w:pPr>
              <w:spacing w:after="6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É</w:t>
            </w:r>
            <w:r w:rsidR="00253CEA" w:rsidRPr="00330A7C">
              <w:rPr>
                <w:rStyle w:val="normaltextrun"/>
                <w:rFonts w:eastAsiaTheme="majorEastAsia" w:cstheme="minorHAnsi"/>
                <w:sz w:val="22"/>
                <w:szCs w:val="22"/>
                <w:lang w:val="fr-CH"/>
              </w:rPr>
              <w:t>tude préliminaire</w:t>
            </w:r>
          </w:p>
        </w:tc>
        <w:tc>
          <w:tcPr>
            <w:tcW w:w="3402" w:type="dxa"/>
          </w:tcPr>
          <w:p w14:paraId="34AB3B5C"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sz w:val="22"/>
                <w:szCs w:val="22"/>
                <w:lang w:val="fr-CH"/>
              </w:rPr>
            </w:pPr>
          </w:p>
        </w:tc>
      </w:tr>
      <w:tr w:rsidR="00256CFF" w:rsidRPr="00CD5C43" w14:paraId="161ACF10" w14:textId="77777777" w:rsidTr="00256CFF">
        <w:tc>
          <w:tcPr>
            <w:cnfStyle w:val="001000000000" w:firstRow="0" w:lastRow="0" w:firstColumn="1" w:lastColumn="0" w:oddVBand="0" w:evenVBand="0" w:oddHBand="0" w:evenHBand="0" w:firstRowFirstColumn="0" w:firstRowLastColumn="0" w:lastRowFirstColumn="0" w:lastRowLastColumn="0"/>
            <w:tcW w:w="1560" w:type="dxa"/>
          </w:tcPr>
          <w:p w14:paraId="2DFFB3AA" w14:textId="7879751D"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Avril</w:t>
            </w:r>
            <w:r w:rsidR="00256CFF" w:rsidRPr="00330A7C">
              <w:rPr>
                <w:rStyle w:val="normaltextrun"/>
                <w:rFonts w:eastAsiaTheme="majorEastAsia" w:cstheme="minorHAnsi"/>
                <w:sz w:val="22"/>
                <w:szCs w:val="22"/>
                <w:lang w:val="fr-CH"/>
              </w:rPr>
              <w:t xml:space="preserve"> </w:t>
            </w:r>
            <w:r w:rsidRPr="00330A7C">
              <w:rPr>
                <w:rStyle w:val="normaltextrun"/>
                <w:rFonts w:eastAsiaTheme="majorEastAsia" w:cstheme="minorHAnsi"/>
                <w:sz w:val="22"/>
                <w:szCs w:val="22"/>
                <w:lang w:val="fr-CH"/>
              </w:rPr>
              <w:t>-</w:t>
            </w:r>
            <w:r w:rsidR="00256CFF" w:rsidRPr="00330A7C">
              <w:rPr>
                <w:rStyle w:val="normaltextrun"/>
                <w:rFonts w:eastAsiaTheme="majorEastAsia" w:cstheme="minorHAnsi"/>
                <w:sz w:val="22"/>
                <w:szCs w:val="22"/>
                <w:lang w:val="fr-CH"/>
              </w:rPr>
              <w:t xml:space="preserve"> </w:t>
            </w:r>
            <w:r w:rsidRPr="00330A7C">
              <w:rPr>
                <w:rStyle w:val="normaltextrun"/>
                <w:rFonts w:eastAsiaTheme="majorEastAsia" w:cstheme="minorHAnsi"/>
                <w:sz w:val="22"/>
                <w:szCs w:val="22"/>
                <w:lang w:val="fr-CH"/>
              </w:rPr>
              <w:t>mai</w:t>
            </w:r>
            <w:r w:rsidR="00F20355" w:rsidRPr="00330A7C">
              <w:rPr>
                <w:rStyle w:val="normaltextrun"/>
                <w:rFonts w:eastAsiaTheme="majorEastAsia" w:cstheme="minorHAnsi"/>
                <w:sz w:val="22"/>
                <w:szCs w:val="22"/>
                <w:lang w:val="fr-CH"/>
              </w:rPr>
              <w:t> </w:t>
            </w:r>
            <w:r w:rsidRPr="00330A7C">
              <w:rPr>
                <w:rStyle w:val="normaltextrun"/>
                <w:rFonts w:eastAsiaTheme="majorEastAsia" w:cstheme="minorHAnsi"/>
                <w:sz w:val="22"/>
                <w:szCs w:val="22"/>
                <w:lang w:val="fr-CH"/>
              </w:rPr>
              <w:t>2023</w:t>
            </w:r>
          </w:p>
        </w:tc>
        <w:tc>
          <w:tcPr>
            <w:tcW w:w="3969" w:type="dxa"/>
          </w:tcPr>
          <w:p w14:paraId="459C5713" w14:textId="77777777" w:rsidR="00253CEA" w:rsidRPr="00330A7C" w:rsidRDefault="00253CEA">
            <w:pPr>
              <w:spacing w:after="6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Analyse quantitative et qualitative des résultats du prétest</w:t>
            </w:r>
          </w:p>
        </w:tc>
        <w:tc>
          <w:tcPr>
            <w:tcW w:w="3402" w:type="dxa"/>
          </w:tcPr>
          <w:p w14:paraId="19C55756"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et révisée (V4-Fr)</w:t>
            </w:r>
          </w:p>
          <w:p w14:paraId="42B43324"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sz w:val="22"/>
                <w:szCs w:val="22"/>
                <w:lang w:val="fr-CH"/>
              </w:rPr>
            </w:pPr>
            <w:r w:rsidRPr="00330A7C">
              <w:rPr>
                <w:rStyle w:val="normaltextrun"/>
                <w:rFonts w:eastAsiaTheme="majorEastAsia" w:cstheme="minorHAnsi"/>
                <w:sz w:val="22"/>
                <w:szCs w:val="22"/>
                <w:lang w:val="fr-CH"/>
              </w:rPr>
              <w:t>1 version traduite et révisée (V4-Ita)</w:t>
            </w:r>
          </w:p>
        </w:tc>
      </w:tr>
      <w:tr w:rsidR="00256CFF" w:rsidRPr="00CD5C43" w14:paraId="2EF3A626" w14:textId="77777777" w:rsidTr="00256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D864A45" w14:textId="10EDD438" w:rsidR="00253CEA" w:rsidRPr="00330A7C" w:rsidRDefault="00253CEA">
            <w:pPr>
              <w:spacing w:after="60"/>
              <w:rPr>
                <w:rStyle w:val="normaltextrun"/>
                <w:rFonts w:eastAsiaTheme="majorEastAsia" w:cstheme="minorHAnsi"/>
                <w:b/>
                <w:bCs/>
                <w:sz w:val="22"/>
                <w:szCs w:val="22"/>
                <w:lang w:val="fr-CH" w:eastAsia="it-CH"/>
              </w:rPr>
            </w:pPr>
            <w:r w:rsidRPr="00330A7C">
              <w:rPr>
                <w:rStyle w:val="normaltextrun"/>
                <w:rFonts w:eastAsiaTheme="majorEastAsia" w:cstheme="minorHAnsi"/>
                <w:sz w:val="22"/>
                <w:szCs w:val="22"/>
                <w:lang w:val="fr-CH" w:eastAsia="it-CH"/>
              </w:rPr>
              <w:t>Septembre</w:t>
            </w:r>
            <w:r w:rsidR="00F20355" w:rsidRPr="00330A7C">
              <w:rPr>
                <w:rStyle w:val="normaltextrun"/>
                <w:rFonts w:eastAsiaTheme="majorEastAsia" w:cstheme="minorHAnsi"/>
                <w:sz w:val="22"/>
                <w:szCs w:val="22"/>
                <w:lang w:val="fr-CH" w:eastAsia="it-CH"/>
              </w:rPr>
              <w:t> </w:t>
            </w:r>
            <w:r w:rsidRPr="00330A7C">
              <w:rPr>
                <w:rStyle w:val="normaltextrun"/>
                <w:rFonts w:eastAsiaTheme="majorEastAsia" w:cstheme="minorHAnsi"/>
                <w:sz w:val="22"/>
                <w:szCs w:val="22"/>
                <w:lang w:val="fr-CH" w:eastAsia="it-CH"/>
              </w:rPr>
              <w:t>2023</w:t>
            </w:r>
          </w:p>
        </w:tc>
        <w:tc>
          <w:tcPr>
            <w:tcW w:w="3969" w:type="dxa"/>
          </w:tcPr>
          <w:p w14:paraId="43DBE80C" w14:textId="77777777" w:rsidR="00253CEA" w:rsidRPr="00330A7C" w:rsidRDefault="00253CEA">
            <w:pPr>
              <w:spacing w:after="60"/>
              <w:cnfStyle w:val="000000100000" w:firstRow="0" w:lastRow="0" w:firstColumn="0" w:lastColumn="0" w:oddVBand="0" w:evenVBand="0" w:oddHBand="1" w:evenHBand="0" w:firstRowFirstColumn="0" w:firstRowLastColumn="0" w:lastRowFirstColumn="0" w:lastRowLastColumn="0"/>
              <w:rPr>
                <w:rFonts w:cstheme="minorHAnsi"/>
                <w:sz w:val="22"/>
                <w:szCs w:val="22"/>
                <w:lang w:val="fr-CH"/>
              </w:rPr>
            </w:pPr>
            <w:r w:rsidRPr="00330A7C">
              <w:rPr>
                <w:rStyle w:val="normaltextrun"/>
                <w:rFonts w:eastAsiaTheme="majorEastAsia" w:cstheme="minorHAnsi"/>
                <w:sz w:val="22"/>
                <w:szCs w:val="22"/>
                <w:lang w:val="fr-CH" w:eastAsia="it-CH"/>
              </w:rPr>
              <w:t>Révision par un comité d’experts</w:t>
            </w:r>
          </w:p>
        </w:tc>
        <w:tc>
          <w:tcPr>
            <w:tcW w:w="3402" w:type="dxa"/>
          </w:tcPr>
          <w:p w14:paraId="6661E9ED"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Fonts w:cstheme="minorHAnsi"/>
                <w:sz w:val="22"/>
                <w:szCs w:val="22"/>
                <w:lang w:val="fr-CH"/>
              </w:rPr>
            </w:pPr>
            <w:r w:rsidRPr="00330A7C">
              <w:rPr>
                <w:rFonts w:cstheme="minorHAnsi"/>
                <w:sz w:val="22"/>
                <w:szCs w:val="22"/>
                <w:lang w:val="fr-CH"/>
              </w:rPr>
              <w:t>1 version traduite et révisée (V5-Fr)</w:t>
            </w:r>
          </w:p>
          <w:p w14:paraId="55581392" w14:textId="77777777" w:rsidR="00253CEA" w:rsidRPr="00330A7C" w:rsidRDefault="00253CEA" w:rsidP="00256CFF">
            <w:pPr>
              <w:spacing w:after="60"/>
              <w:ind w:left="31" w:hanging="31"/>
              <w:cnfStyle w:val="000000100000" w:firstRow="0" w:lastRow="0" w:firstColumn="0" w:lastColumn="0" w:oddVBand="0" w:evenVBand="0" w:oddHBand="1" w:evenHBand="0" w:firstRowFirstColumn="0" w:firstRowLastColumn="0" w:lastRowFirstColumn="0" w:lastRowLastColumn="0"/>
              <w:rPr>
                <w:rFonts w:cstheme="minorHAnsi"/>
                <w:sz w:val="22"/>
                <w:szCs w:val="22"/>
                <w:lang w:val="fr-CH"/>
              </w:rPr>
            </w:pPr>
            <w:r w:rsidRPr="00330A7C">
              <w:rPr>
                <w:rFonts w:cstheme="minorHAnsi"/>
                <w:sz w:val="22"/>
                <w:szCs w:val="22"/>
                <w:lang w:val="fr-CH"/>
              </w:rPr>
              <w:t>1 version traduite et révisée (V5-Ita)</w:t>
            </w:r>
          </w:p>
        </w:tc>
      </w:tr>
      <w:tr w:rsidR="00256CFF" w:rsidRPr="00CD5C43" w14:paraId="067CF3FA" w14:textId="77777777" w:rsidTr="00256CFF">
        <w:tc>
          <w:tcPr>
            <w:cnfStyle w:val="001000000000" w:firstRow="0" w:lastRow="0" w:firstColumn="1" w:lastColumn="0" w:oddVBand="0" w:evenVBand="0" w:oddHBand="0" w:evenHBand="0" w:firstRowFirstColumn="0" w:firstRowLastColumn="0" w:lastRowFirstColumn="0" w:lastRowLastColumn="0"/>
            <w:tcW w:w="1560" w:type="dxa"/>
          </w:tcPr>
          <w:p w14:paraId="5439DF0A" w14:textId="77777777" w:rsidR="00253CEA" w:rsidRPr="00330A7C" w:rsidRDefault="00253CEA">
            <w:pPr>
              <w:spacing w:after="60"/>
              <w:rPr>
                <w:rStyle w:val="normaltextrun"/>
                <w:rFonts w:eastAsiaTheme="majorEastAsia" w:cstheme="minorHAnsi"/>
                <w:b/>
                <w:bCs/>
                <w:sz w:val="22"/>
                <w:szCs w:val="22"/>
                <w:lang w:val="fr-CH"/>
              </w:rPr>
            </w:pPr>
            <w:r w:rsidRPr="00330A7C">
              <w:rPr>
                <w:rStyle w:val="normaltextrun"/>
                <w:rFonts w:eastAsiaTheme="majorEastAsia" w:cstheme="minorHAnsi"/>
                <w:sz w:val="22"/>
                <w:szCs w:val="22"/>
                <w:lang w:val="fr-CH"/>
              </w:rPr>
              <w:t>En cours</w:t>
            </w:r>
          </w:p>
        </w:tc>
        <w:tc>
          <w:tcPr>
            <w:tcW w:w="3969" w:type="dxa"/>
          </w:tcPr>
          <w:p w14:paraId="4B2E574D" w14:textId="5210DAC8" w:rsidR="00253CEA" w:rsidRPr="00330A7C" w:rsidRDefault="00253CEA">
            <w:pPr>
              <w:spacing w:after="60"/>
              <w:cnfStyle w:val="000000000000" w:firstRow="0" w:lastRow="0" w:firstColumn="0" w:lastColumn="0" w:oddVBand="0" w:evenVBand="0" w:oddHBand="0" w:evenHBand="0" w:firstRowFirstColumn="0" w:firstRowLastColumn="0" w:lastRowFirstColumn="0" w:lastRowLastColumn="0"/>
              <w:rPr>
                <w:rFonts w:cstheme="minorHAnsi"/>
                <w:sz w:val="22"/>
                <w:szCs w:val="22"/>
                <w:lang w:val="fr-CH"/>
              </w:rPr>
            </w:pPr>
            <w:r w:rsidRPr="00330A7C">
              <w:rPr>
                <w:rStyle w:val="normaltextrun"/>
                <w:rFonts w:eastAsiaTheme="majorEastAsia" w:cstheme="minorHAnsi"/>
                <w:sz w:val="22"/>
                <w:szCs w:val="22"/>
                <w:lang w:val="fr-CH"/>
              </w:rPr>
              <w:t>Validation statistique de l</w:t>
            </w:r>
            <w:r w:rsidR="001F04CF" w:rsidRPr="00330A7C">
              <w:rPr>
                <w:rStyle w:val="normaltextrun"/>
                <w:rFonts w:eastAsiaTheme="majorEastAsia" w:cstheme="minorHAnsi"/>
                <w:sz w:val="22"/>
                <w:szCs w:val="22"/>
                <w:lang w:val="fr-CH"/>
              </w:rPr>
              <w:t>’</w:t>
            </w:r>
            <w:r w:rsidRPr="00330A7C">
              <w:rPr>
                <w:rStyle w:val="normaltextrun"/>
                <w:rFonts w:eastAsiaTheme="majorEastAsia" w:cstheme="minorHAnsi"/>
                <w:sz w:val="22"/>
                <w:szCs w:val="22"/>
                <w:lang w:val="fr-CH"/>
              </w:rPr>
              <w:t>instrument</w:t>
            </w:r>
          </w:p>
        </w:tc>
        <w:tc>
          <w:tcPr>
            <w:tcW w:w="3402" w:type="dxa"/>
          </w:tcPr>
          <w:p w14:paraId="4BD8088D"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Fonts w:cstheme="minorHAnsi"/>
                <w:sz w:val="22"/>
                <w:szCs w:val="22"/>
                <w:lang w:val="fr-CH"/>
              </w:rPr>
            </w:pPr>
            <w:r w:rsidRPr="00330A7C">
              <w:rPr>
                <w:rFonts w:cstheme="minorHAnsi"/>
                <w:sz w:val="22"/>
                <w:szCs w:val="22"/>
                <w:lang w:val="fr-CH"/>
              </w:rPr>
              <w:t>1 version traduite et révisée (V6-Fr)</w:t>
            </w:r>
          </w:p>
          <w:p w14:paraId="39CCF26C" w14:textId="77777777" w:rsidR="00253CEA" w:rsidRPr="00330A7C" w:rsidRDefault="00253CEA" w:rsidP="00256CFF">
            <w:pPr>
              <w:spacing w:after="60"/>
              <w:ind w:left="31" w:hanging="31"/>
              <w:cnfStyle w:val="000000000000" w:firstRow="0" w:lastRow="0" w:firstColumn="0" w:lastColumn="0" w:oddVBand="0" w:evenVBand="0" w:oddHBand="0" w:evenHBand="0" w:firstRowFirstColumn="0" w:firstRowLastColumn="0" w:lastRowFirstColumn="0" w:lastRowLastColumn="0"/>
              <w:rPr>
                <w:rFonts w:cstheme="minorHAnsi"/>
                <w:sz w:val="22"/>
                <w:szCs w:val="22"/>
                <w:lang w:val="fr-CH"/>
              </w:rPr>
            </w:pPr>
            <w:r w:rsidRPr="00330A7C">
              <w:rPr>
                <w:rFonts w:cstheme="minorHAnsi"/>
                <w:sz w:val="22"/>
                <w:szCs w:val="22"/>
                <w:lang w:val="fr-CH"/>
              </w:rPr>
              <w:t>1 version traduite et révisée (V6-Ita)</w:t>
            </w:r>
          </w:p>
        </w:tc>
      </w:tr>
    </w:tbl>
    <w:p w14:paraId="12DE647C" w14:textId="1F59BAA5" w:rsidR="00253CEA" w:rsidRPr="00330A7C" w:rsidRDefault="00253CEA" w:rsidP="002A332E">
      <w:pPr>
        <w:pStyle w:val="Textkrper"/>
        <w:spacing w:before="240"/>
        <w:rPr>
          <w:lang w:val="fr-CH"/>
        </w:rPr>
      </w:pPr>
      <w:r w:rsidRPr="00330A7C">
        <w:rPr>
          <w:rStyle w:val="TextkrperZchn"/>
          <w:lang w:val="fr-CH"/>
        </w:rPr>
        <w:t>Après avoir obtenu en janvier</w:t>
      </w:r>
      <w:r w:rsidR="00F20355" w:rsidRPr="00330A7C">
        <w:rPr>
          <w:rStyle w:val="TextkrperZchn"/>
          <w:lang w:val="fr-CH"/>
        </w:rPr>
        <w:t> </w:t>
      </w:r>
      <w:r w:rsidRPr="00330A7C">
        <w:rPr>
          <w:rStyle w:val="TextkrperZchn"/>
          <w:lang w:val="fr-CH"/>
        </w:rPr>
        <w:t>2022 l’autorisation de traduire le questionnaire de la part de ses auteurs ​(</w:t>
      </w:r>
      <w:proofErr w:type="spellStart"/>
      <w:r w:rsidRPr="00330A7C">
        <w:rPr>
          <w:rStyle w:val="TextkrperZchn"/>
          <w:lang w:val="fr-CH"/>
        </w:rPr>
        <w:t>Basham</w:t>
      </w:r>
      <w:proofErr w:type="spellEnd"/>
      <w:r w:rsidRPr="00330A7C">
        <w:rPr>
          <w:rStyle w:val="TextkrperZchn"/>
          <w:lang w:val="fr-CH"/>
        </w:rPr>
        <w:t xml:space="preserve"> et al., 2020b)​, une première traduction de l</w:t>
      </w:r>
      <w:r w:rsidR="001F04CF" w:rsidRPr="00330A7C">
        <w:rPr>
          <w:rStyle w:val="TextkrperZchn"/>
          <w:lang w:val="fr-CH"/>
        </w:rPr>
        <w:t>’</w:t>
      </w:r>
      <w:r w:rsidRPr="00330A7C">
        <w:rPr>
          <w:rStyle w:val="TextkrperZchn"/>
          <w:lang w:val="fr-CH"/>
        </w:rPr>
        <w:t>anglais vers le français et de l</w:t>
      </w:r>
      <w:r w:rsidR="001F04CF" w:rsidRPr="00330A7C">
        <w:rPr>
          <w:rStyle w:val="TextkrperZchn"/>
          <w:lang w:val="fr-CH"/>
        </w:rPr>
        <w:t>’</w:t>
      </w:r>
      <w:r w:rsidRPr="00330A7C">
        <w:rPr>
          <w:rStyle w:val="TextkrperZchn"/>
          <w:lang w:val="fr-CH"/>
        </w:rPr>
        <w:t>anglais vers l</w:t>
      </w:r>
      <w:r w:rsidR="001F04CF" w:rsidRPr="00330A7C">
        <w:rPr>
          <w:rStyle w:val="TextkrperZchn"/>
          <w:lang w:val="fr-CH"/>
        </w:rPr>
        <w:t>’</w:t>
      </w:r>
      <w:r w:rsidRPr="00330A7C">
        <w:rPr>
          <w:rStyle w:val="TextkrperZchn"/>
          <w:lang w:val="fr-CH"/>
        </w:rPr>
        <w:t xml:space="preserve">italien a été réalisée par un comité de quatre traductrices dont le français ou l’italien était leur langue première. Les deux traductrices de chaque langue ont analysé leur traduction respective et mis en exergue les écarts afin d’émettre une synthèse consensuelle (V1). Ensuite, les versions en français et en italien ont été confrontées et discutées afin d’aboutir à une première version </w:t>
      </w:r>
      <w:r w:rsidR="00144495" w:rsidRPr="00330A7C">
        <w:rPr>
          <w:rStyle w:val="TextkrperZchn"/>
          <w:lang w:val="fr-CH"/>
        </w:rPr>
        <w:t>pré</w:t>
      </w:r>
      <w:r w:rsidRPr="00330A7C">
        <w:rPr>
          <w:rStyle w:val="TextkrperZchn"/>
          <w:lang w:val="fr-CH"/>
        </w:rPr>
        <w:t>liminaire dans chaque langue (V2). Deux personnes anglophones dont la langue première est l’anglais et qui ne connaissaient pas la version originale en anglais (</w:t>
      </w:r>
      <w:proofErr w:type="spellStart"/>
      <w:r w:rsidRPr="00330A7C">
        <w:rPr>
          <w:rStyle w:val="TextkrperZchn"/>
          <w:lang w:val="fr-CH"/>
        </w:rPr>
        <w:t>Ballangrud</w:t>
      </w:r>
      <w:proofErr w:type="spellEnd"/>
      <w:r w:rsidRPr="00330A7C">
        <w:rPr>
          <w:rStyle w:val="TextkrperZchn"/>
          <w:lang w:val="fr-CH"/>
        </w:rPr>
        <w:t xml:space="preserve"> et al., 2017) ont procédé à une traduction inversée de la version française du questionnaire et deux autres personnes, avec les mêmes compétences linguistiques, ont assuré celle de la version italienne. Une fois que l’analyse des quatre traductions inversées a été effectuée, il en est ressorti que certains items traduits posaient des problèmes de compréhension et d’applicabilité en français et en italien. Un rapport contenant des erreurs, des incohérences ou des formulations étranges a été soumis aux concepteurs du questionnaire</w:t>
      </w:r>
      <w:r w:rsidRPr="00330A7C">
        <w:rPr>
          <w:lang w:val="fr-CH"/>
        </w:rPr>
        <w:t xml:space="preserve"> pour éclaircissement. La traduction littérale peut poser des problèmes d</w:t>
      </w:r>
      <w:r w:rsidR="001F04CF" w:rsidRPr="00330A7C">
        <w:rPr>
          <w:lang w:val="fr-CH"/>
        </w:rPr>
        <w:t>’</w:t>
      </w:r>
      <w:r w:rsidRPr="00330A7C">
        <w:rPr>
          <w:lang w:val="fr-CH"/>
        </w:rPr>
        <w:t>équivalence fonctionnelle et conceptuelle (</w:t>
      </w:r>
      <w:proofErr w:type="spellStart"/>
      <w:r w:rsidRPr="00330A7C">
        <w:rPr>
          <w:lang w:val="fr-CH"/>
        </w:rPr>
        <w:t>Peña</w:t>
      </w:r>
      <w:proofErr w:type="spellEnd"/>
      <w:r w:rsidRPr="00330A7C">
        <w:rPr>
          <w:lang w:val="fr-CH"/>
        </w:rPr>
        <w:t>, 2007). Ces items ont donc été entièrement reformulés avec l</w:t>
      </w:r>
      <w:r w:rsidR="001F04CF" w:rsidRPr="00330A7C">
        <w:rPr>
          <w:lang w:val="fr-CH"/>
        </w:rPr>
        <w:t>’</w:t>
      </w:r>
      <w:r w:rsidRPr="00330A7C">
        <w:rPr>
          <w:lang w:val="fr-CH"/>
        </w:rPr>
        <w:t>accord des concepteurs en prenant soin de préserver le sens de la version originale. Dans le but d’évaluer la compréhension et l’intelligibilité des items, les questionnaires révisés en français et en italien (V3) ont été soumis à une vingtaine d’enseignantes et enseignants de Suisses romande et italienne. Une analyse des données quantitatives et qualitatives obtenues au cours de l’étude préliminaire a été réalisée par le comité de traduction. Les items qui ont été signalés comme difficiles à comprendre ou à observer par les participantes et participants ont été reformulés en s’appuyant sur les principes d</w:t>
      </w:r>
      <w:r w:rsidR="001F04CF" w:rsidRPr="00330A7C">
        <w:rPr>
          <w:lang w:val="fr-CH"/>
        </w:rPr>
        <w:t>’</w:t>
      </w:r>
      <w:r w:rsidRPr="00330A7C">
        <w:rPr>
          <w:lang w:val="fr-CH"/>
        </w:rPr>
        <w:t>équivalence interculturelle (Beaton et al., 2007</w:t>
      </w:r>
      <w:r w:rsidR="00066580" w:rsidRPr="00330A7C">
        <w:rPr>
          <w:lang w:val="fr-CH"/>
        </w:rPr>
        <w:t> </w:t>
      </w:r>
      <w:r w:rsidRPr="00330A7C">
        <w:rPr>
          <w:lang w:val="fr-CH"/>
        </w:rPr>
        <w:t xml:space="preserve">; Corbière &amp; </w:t>
      </w:r>
      <w:proofErr w:type="spellStart"/>
      <w:r w:rsidRPr="00330A7C">
        <w:rPr>
          <w:lang w:val="fr-CH"/>
        </w:rPr>
        <w:t>Fraccaroli</w:t>
      </w:r>
      <w:proofErr w:type="spellEnd"/>
      <w:r w:rsidRPr="00330A7C">
        <w:rPr>
          <w:lang w:val="fr-CH"/>
        </w:rPr>
        <w:t xml:space="preserve">, 2020). La nouvelle version du questionnaire (V4) a été soumise une dernière fois aux concepteurs pour rectifier certains termes peu utilisés dans le contexte pédagogique de Suisse romande et italienne. Les deux traductions ont finalement été approuvées. </w:t>
      </w:r>
    </w:p>
    <w:p w14:paraId="78C19567" w14:textId="7E20FA91" w:rsidR="00253CEA" w:rsidRPr="00330A7C" w:rsidRDefault="00253CEA" w:rsidP="00256CFF">
      <w:pPr>
        <w:pStyle w:val="Textkrper"/>
        <w:rPr>
          <w:lang w:val="fr-CH"/>
        </w:rPr>
      </w:pPr>
      <w:r w:rsidRPr="00330A7C">
        <w:rPr>
          <w:lang w:val="fr-CH"/>
        </w:rPr>
        <w:t>Le questionnaire final (V5) fait actuellement l</w:t>
      </w:r>
      <w:r w:rsidR="001F04CF" w:rsidRPr="00330A7C">
        <w:rPr>
          <w:lang w:val="fr-CH"/>
        </w:rPr>
        <w:t>’</w:t>
      </w:r>
      <w:r w:rsidRPr="00330A7C">
        <w:rPr>
          <w:lang w:val="fr-CH"/>
        </w:rPr>
        <w:t>objet d</w:t>
      </w:r>
      <w:r w:rsidR="001F04CF" w:rsidRPr="00330A7C">
        <w:rPr>
          <w:lang w:val="fr-CH"/>
        </w:rPr>
        <w:t>’</w:t>
      </w:r>
      <w:r w:rsidRPr="00330A7C">
        <w:rPr>
          <w:lang w:val="fr-CH"/>
        </w:rPr>
        <w:t xml:space="preserve">une validation statistique. Sont impliqués dans cette phase les deux autrices de cet article qui possèdent une expertise dans les méthodologies en enseignement et dans la CUA, une enseignante spécialisée récemment diplômée, deux étudiantes et un étudiant en Master en pédagogie spécialisée/orientation enseignement spécialisé. Pour cette étape finale, une trentaine de vidéos de leçons d’apprentissage en français et en italien sont analysées à l’aide du questionnaire UDL-OMT en vue de tester ses qualités psychométriques (cohérence interne, fidélité </w:t>
      </w:r>
      <w:proofErr w:type="spellStart"/>
      <w:r w:rsidRPr="00330A7C">
        <w:rPr>
          <w:lang w:val="fr-CH"/>
        </w:rPr>
        <w:t>interjuge</w:t>
      </w:r>
      <w:proofErr w:type="spellEnd"/>
      <w:r w:rsidRPr="00330A7C">
        <w:rPr>
          <w:lang w:val="fr-CH"/>
        </w:rPr>
        <w:t>, etc.).</w:t>
      </w:r>
    </w:p>
    <w:p w14:paraId="358D95A4" w14:textId="7EEAF538" w:rsidR="00253CEA" w:rsidRPr="00330A7C" w:rsidRDefault="00253CEA" w:rsidP="00253CEA">
      <w:pPr>
        <w:pStyle w:val="berschrift2"/>
        <w:rPr>
          <w:lang w:val="fr-CH"/>
        </w:rPr>
      </w:pPr>
      <w:r w:rsidRPr="00330A7C">
        <w:rPr>
          <w:lang w:val="fr-CH"/>
        </w:rPr>
        <w:lastRenderedPageBreak/>
        <w:t>Version traduite de l</w:t>
      </w:r>
      <w:r w:rsidR="001F04CF" w:rsidRPr="00330A7C">
        <w:rPr>
          <w:lang w:val="fr-CH"/>
        </w:rPr>
        <w:t>’</w:t>
      </w:r>
      <w:r w:rsidRPr="00330A7C">
        <w:rPr>
          <w:lang w:val="fr-CH"/>
        </w:rPr>
        <w:t>outil d</w:t>
      </w:r>
      <w:r w:rsidR="001F04CF" w:rsidRPr="00330A7C">
        <w:rPr>
          <w:lang w:val="fr-CH"/>
        </w:rPr>
        <w:t>’</w:t>
      </w:r>
      <w:r w:rsidRPr="00330A7C">
        <w:rPr>
          <w:lang w:val="fr-CH"/>
        </w:rPr>
        <w:t>observation</w:t>
      </w:r>
    </w:p>
    <w:p w14:paraId="13B28CEC" w14:textId="37BEC7A1" w:rsidR="00253CEA" w:rsidRPr="00330A7C" w:rsidRDefault="00253CEA" w:rsidP="00256CFF">
      <w:pPr>
        <w:pStyle w:val="Textkrper"/>
        <w:rPr>
          <w:lang w:val="fr-CH"/>
        </w:rPr>
      </w:pPr>
      <w:r w:rsidRPr="00330A7C">
        <w:rPr>
          <w:lang w:val="fr-CH"/>
        </w:rPr>
        <w:t>Le questionnaire UDL-OMT traduit en français et en italien respecte la même configuration que la version originale et est constitué des éléments suivants</w:t>
      </w:r>
      <w:r w:rsidR="00066580" w:rsidRPr="00330A7C">
        <w:rPr>
          <w:lang w:val="fr-CH"/>
        </w:rPr>
        <w:t> </w:t>
      </w:r>
      <w:r w:rsidRPr="00330A7C">
        <w:rPr>
          <w:lang w:val="fr-CH"/>
        </w:rPr>
        <w:t>:</w:t>
      </w:r>
    </w:p>
    <w:p w14:paraId="43D4F321" w14:textId="06290879" w:rsidR="00253CEA" w:rsidRPr="00330A7C" w:rsidRDefault="00253CEA" w:rsidP="00256CFF">
      <w:pPr>
        <w:pStyle w:val="Liste"/>
        <w:spacing w:after="60"/>
        <w:contextualSpacing w:val="0"/>
        <w:rPr>
          <w:lang w:val="fr-CH"/>
        </w:rPr>
      </w:pPr>
      <w:proofErr w:type="gramStart"/>
      <w:r w:rsidRPr="00330A7C">
        <w:rPr>
          <w:lang w:val="fr-CH"/>
        </w:rPr>
        <w:t>une</w:t>
      </w:r>
      <w:proofErr w:type="gramEnd"/>
      <w:r w:rsidRPr="00330A7C">
        <w:rPr>
          <w:lang w:val="fr-CH"/>
        </w:rPr>
        <w:t xml:space="preserve"> section introductive contenant des instructions sur les procédures d</w:t>
      </w:r>
      <w:r w:rsidR="001F04CF" w:rsidRPr="00330A7C">
        <w:rPr>
          <w:lang w:val="fr-CH"/>
        </w:rPr>
        <w:t>’</w:t>
      </w:r>
      <w:r w:rsidRPr="00330A7C">
        <w:rPr>
          <w:lang w:val="fr-CH"/>
        </w:rPr>
        <w:t>observation ;</w:t>
      </w:r>
    </w:p>
    <w:p w14:paraId="5B801812" w14:textId="77777777" w:rsidR="00253CEA" w:rsidRPr="00330A7C" w:rsidRDefault="00253CEA" w:rsidP="00256CFF">
      <w:pPr>
        <w:pStyle w:val="Liste"/>
        <w:contextualSpacing w:val="0"/>
        <w:rPr>
          <w:lang w:val="fr-CH"/>
        </w:rPr>
      </w:pPr>
      <w:proofErr w:type="gramStart"/>
      <w:r w:rsidRPr="00330A7C">
        <w:rPr>
          <w:lang w:val="fr-CH"/>
        </w:rPr>
        <w:t>une</w:t>
      </w:r>
      <w:proofErr w:type="gramEnd"/>
      <w:r w:rsidRPr="00330A7C">
        <w:rPr>
          <w:lang w:val="fr-CH"/>
        </w:rPr>
        <w:t xml:space="preserve"> section centrale contenant cinq dimensions à observer</w:t>
      </w:r>
    </w:p>
    <w:p w14:paraId="5C2857A2" w14:textId="232AB032" w:rsidR="00253CEA" w:rsidRPr="00330A7C" w:rsidRDefault="00253CEA" w:rsidP="00256CFF">
      <w:pPr>
        <w:pStyle w:val="Liste2"/>
        <w:rPr>
          <w:lang w:val="fr-CH"/>
        </w:rPr>
      </w:pPr>
      <w:r w:rsidRPr="00330A7C">
        <w:rPr>
          <w:lang w:val="fr-CH"/>
        </w:rPr>
        <w:t>A.  Présentation et introduction de la leçon d</w:t>
      </w:r>
      <w:r w:rsidR="001F04CF" w:rsidRPr="00330A7C">
        <w:rPr>
          <w:lang w:val="fr-CH"/>
        </w:rPr>
        <w:t>’</w:t>
      </w:r>
      <w:r w:rsidRPr="00330A7C">
        <w:rPr>
          <w:lang w:val="fr-CH"/>
        </w:rPr>
        <w:t>apprentissage (7 items)</w:t>
      </w:r>
    </w:p>
    <w:p w14:paraId="12B6CDAD" w14:textId="63408AB6" w:rsidR="00253CEA" w:rsidRPr="00330A7C" w:rsidRDefault="00253CEA" w:rsidP="00256CFF">
      <w:pPr>
        <w:pStyle w:val="Liste2"/>
        <w:rPr>
          <w:lang w:val="fr-CH"/>
        </w:rPr>
      </w:pPr>
      <w:r w:rsidRPr="00330A7C">
        <w:rPr>
          <w:lang w:val="fr-CH"/>
        </w:rPr>
        <w:t>B. présentation et transmission du contenu d</w:t>
      </w:r>
      <w:r w:rsidR="001F04CF" w:rsidRPr="00330A7C">
        <w:rPr>
          <w:lang w:val="fr-CH"/>
        </w:rPr>
        <w:t>’</w:t>
      </w:r>
      <w:r w:rsidRPr="00330A7C">
        <w:rPr>
          <w:lang w:val="fr-CH"/>
        </w:rPr>
        <w:t>apprentissage (9 items)</w:t>
      </w:r>
    </w:p>
    <w:p w14:paraId="09FD27F0" w14:textId="77777777" w:rsidR="00253CEA" w:rsidRPr="00330A7C" w:rsidRDefault="00253CEA" w:rsidP="00256CFF">
      <w:pPr>
        <w:pStyle w:val="Liste2"/>
        <w:rPr>
          <w:lang w:val="fr-CH"/>
        </w:rPr>
      </w:pPr>
      <w:r w:rsidRPr="00330A7C">
        <w:rPr>
          <w:lang w:val="fr-CH"/>
        </w:rPr>
        <w:t>C. action et expression (7 items)</w:t>
      </w:r>
    </w:p>
    <w:p w14:paraId="4FF1DD9B" w14:textId="77777777" w:rsidR="00253CEA" w:rsidRPr="00330A7C" w:rsidRDefault="00253CEA" w:rsidP="00256CFF">
      <w:pPr>
        <w:pStyle w:val="Liste2"/>
        <w:rPr>
          <w:lang w:val="fr-CH"/>
        </w:rPr>
      </w:pPr>
      <w:r w:rsidRPr="00330A7C">
        <w:rPr>
          <w:lang w:val="fr-CH"/>
        </w:rPr>
        <w:t>D. participation et engagement des apprenants (9 items)</w:t>
      </w:r>
    </w:p>
    <w:p w14:paraId="0CCF5EB9" w14:textId="42DE4BCA" w:rsidR="00253CEA" w:rsidRPr="00330A7C" w:rsidRDefault="00253CEA" w:rsidP="00256CFF">
      <w:pPr>
        <w:pStyle w:val="Liste2"/>
        <w:spacing w:after="60"/>
        <w:contextualSpacing w:val="0"/>
        <w:rPr>
          <w:lang w:val="fr-CH"/>
        </w:rPr>
      </w:pPr>
      <w:r w:rsidRPr="00330A7C">
        <w:rPr>
          <w:lang w:val="fr-CH"/>
        </w:rPr>
        <w:t>E. soutien aux apprentissages experts (6 items)</w:t>
      </w:r>
    </w:p>
    <w:p w14:paraId="0A71A9C4" w14:textId="797108B4" w:rsidR="00253CEA" w:rsidRPr="00330A7C" w:rsidRDefault="00253CEA" w:rsidP="00256CFF">
      <w:pPr>
        <w:pStyle w:val="Liste"/>
        <w:spacing w:after="60"/>
        <w:contextualSpacing w:val="0"/>
        <w:rPr>
          <w:lang w:val="fr-CH"/>
        </w:rPr>
      </w:pPr>
      <w:r w:rsidRPr="00330A7C">
        <w:rPr>
          <w:lang w:val="fr-CH"/>
        </w:rPr>
        <w:t>Les dimensions B, C et D contiennent chacune une série d’items supplémentaires destinée à mesurer l</w:t>
      </w:r>
      <w:r w:rsidR="001F04CF" w:rsidRPr="00330A7C">
        <w:rPr>
          <w:lang w:val="fr-CH"/>
        </w:rPr>
        <w:t>’</w:t>
      </w:r>
      <w:r w:rsidRPr="00330A7C">
        <w:rPr>
          <w:lang w:val="fr-CH"/>
        </w:rPr>
        <w:t>expérience des élèves durant la séance d’apprentissage ;</w:t>
      </w:r>
    </w:p>
    <w:p w14:paraId="458A6D6A" w14:textId="2BD91AE2" w:rsidR="00253CEA" w:rsidRPr="00330A7C" w:rsidRDefault="00253CEA" w:rsidP="00256CFF">
      <w:pPr>
        <w:pStyle w:val="Liste"/>
        <w:spacing w:after="60"/>
        <w:contextualSpacing w:val="0"/>
        <w:rPr>
          <w:lang w:val="fr-CH"/>
        </w:rPr>
      </w:pPr>
      <w:proofErr w:type="gramStart"/>
      <w:r w:rsidRPr="00330A7C">
        <w:rPr>
          <w:lang w:val="fr-CH"/>
        </w:rPr>
        <w:t>une</w:t>
      </w:r>
      <w:proofErr w:type="gramEnd"/>
      <w:r w:rsidRPr="00330A7C">
        <w:rPr>
          <w:lang w:val="fr-CH"/>
        </w:rPr>
        <w:t xml:space="preserve"> section finale, constituée de plusieurs questions, permettant de recueillir l</w:t>
      </w:r>
      <w:r w:rsidR="001F04CF" w:rsidRPr="00330A7C">
        <w:rPr>
          <w:lang w:val="fr-CH"/>
        </w:rPr>
        <w:t>’</w:t>
      </w:r>
      <w:r w:rsidRPr="00330A7C">
        <w:rPr>
          <w:lang w:val="fr-CH"/>
        </w:rPr>
        <w:t>impression générale des observateurs sur les principes de la CUA mis en œuvre et perçus comme efficaces pendant la leçon ;</w:t>
      </w:r>
    </w:p>
    <w:p w14:paraId="6A945199" w14:textId="66D5A12C" w:rsidR="00253CEA" w:rsidRPr="00330A7C" w:rsidRDefault="00253CEA" w:rsidP="00256CFF">
      <w:pPr>
        <w:pStyle w:val="Liste"/>
        <w:spacing w:after="60"/>
        <w:contextualSpacing w:val="0"/>
        <w:rPr>
          <w:lang w:val="fr-CH"/>
        </w:rPr>
      </w:pPr>
      <w:proofErr w:type="gramStart"/>
      <w:r w:rsidRPr="00330A7C">
        <w:rPr>
          <w:lang w:val="fr-CH"/>
        </w:rPr>
        <w:t>une</w:t>
      </w:r>
      <w:proofErr w:type="gramEnd"/>
      <w:r w:rsidRPr="00330A7C">
        <w:rPr>
          <w:lang w:val="fr-CH"/>
        </w:rPr>
        <w:t xml:space="preserve"> synthèse des scores évalués dans la partie centrale donnant lieu à deux scores, l</w:t>
      </w:r>
      <w:r w:rsidR="001F04CF" w:rsidRPr="00330A7C">
        <w:rPr>
          <w:lang w:val="fr-CH"/>
        </w:rPr>
        <w:t>’</w:t>
      </w:r>
      <w:r w:rsidRPr="00330A7C">
        <w:rPr>
          <w:lang w:val="fr-CH"/>
        </w:rPr>
        <w:t>un relatif à l</w:t>
      </w:r>
      <w:r w:rsidR="001F04CF" w:rsidRPr="00330A7C">
        <w:rPr>
          <w:lang w:val="fr-CH"/>
        </w:rPr>
        <w:t>’</w:t>
      </w:r>
      <w:r w:rsidRPr="00330A7C">
        <w:rPr>
          <w:lang w:val="fr-CH"/>
        </w:rPr>
        <w:t>action de l</w:t>
      </w:r>
      <w:r w:rsidR="001F04CF" w:rsidRPr="00330A7C">
        <w:rPr>
          <w:lang w:val="fr-CH"/>
        </w:rPr>
        <w:t>’</w:t>
      </w:r>
      <w:r w:rsidRPr="00330A7C">
        <w:rPr>
          <w:lang w:val="fr-CH"/>
        </w:rPr>
        <w:t>enseignant et l</w:t>
      </w:r>
      <w:r w:rsidR="001F04CF" w:rsidRPr="00330A7C">
        <w:rPr>
          <w:lang w:val="fr-CH"/>
        </w:rPr>
        <w:t>’</w:t>
      </w:r>
      <w:r w:rsidRPr="00330A7C">
        <w:rPr>
          <w:lang w:val="fr-CH"/>
        </w:rPr>
        <w:t>autre relatif à l</w:t>
      </w:r>
      <w:r w:rsidR="001F04CF" w:rsidRPr="00330A7C">
        <w:rPr>
          <w:lang w:val="fr-CH"/>
        </w:rPr>
        <w:t>’</w:t>
      </w:r>
      <w:r w:rsidRPr="00330A7C">
        <w:rPr>
          <w:lang w:val="fr-CH"/>
        </w:rPr>
        <w:t>expérience des élèves.</w:t>
      </w:r>
    </w:p>
    <w:p w14:paraId="570B4F78" w14:textId="6049CE6C" w:rsidR="00253CEA" w:rsidRPr="00330A7C" w:rsidRDefault="00253CEA" w:rsidP="00256CFF">
      <w:pPr>
        <w:pStyle w:val="Textkrper"/>
        <w:rPr>
          <w:lang w:val="fr-CH"/>
        </w:rPr>
      </w:pPr>
      <w:r w:rsidRPr="00330A7C">
        <w:rPr>
          <w:lang w:val="fr-CH"/>
        </w:rPr>
        <w:t>La section centrale se compose de plusieurs items qui relient les lignes directrices de l</w:t>
      </w:r>
      <w:r w:rsidR="001F04CF" w:rsidRPr="00330A7C">
        <w:rPr>
          <w:lang w:val="fr-CH"/>
        </w:rPr>
        <w:t>’</w:t>
      </w:r>
      <w:r w:rsidRPr="00330A7C">
        <w:rPr>
          <w:lang w:val="fr-CH"/>
        </w:rPr>
        <w:t>UDL aux éléments constitutifs d’une leçon (voir Tableau</w:t>
      </w:r>
      <w:r w:rsidR="00F20355" w:rsidRPr="00330A7C">
        <w:rPr>
          <w:lang w:val="fr-CH"/>
        </w:rPr>
        <w:t> </w:t>
      </w:r>
      <w:r w:rsidRPr="00330A7C">
        <w:rPr>
          <w:lang w:val="fr-CH"/>
        </w:rPr>
        <w:t>2). Chaque item est noté sur une échelle de 0 (aucune preuve d’implémentation de l</w:t>
      </w:r>
      <w:r w:rsidR="001F04CF" w:rsidRPr="00330A7C">
        <w:rPr>
          <w:lang w:val="fr-CH"/>
        </w:rPr>
        <w:t>’</w:t>
      </w:r>
      <w:r w:rsidRPr="00330A7C">
        <w:rPr>
          <w:lang w:val="fr-CH"/>
        </w:rPr>
        <w:t>UDL) à 3 (implémentation de l’UDL dynamique et interactive). Les quatre premières dimensions (A, B, C et D) comptent dans le score final, tandis que la dernière dimension (E) est évaluée séparément et ne contribue pas au score final. En outre, chaque section offre aux observatrices et observateurs la possibilité de commenter leur perception de l</w:t>
      </w:r>
      <w:r w:rsidR="0028699E" w:rsidRPr="00330A7C">
        <w:rPr>
          <w:lang w:val="fr-CH"/>
        </w:rPr>
        <w:t>’</w:t>
      </w:r>
      <w:r w:rsidRPr="00330A7C">
        <w:rPr>
          <w:lang w:val="fr-CH"/>
        </w:rPr>
        <w:t>efficacité de la mise en œuvre de la CUA. Le Tableau</w:t>
      </w:r>
      <w:r w:rsidR="00F20355" w:rsidRPr="00330A7C">
        <w:rPr>
          <w:lang w:val="fr-CH"/>
        </w:rPr>
        <w:t> </w:t>
      </w:r>
      <w:r w:rsidRPr="00330A7C">
        <w:rPr>
          <w:lang w:val="fr-CH"/>
        </w:rPr>
        <w:t>2 présente la traduction des principaux items des dimension</w:t>
      </w:r>
      <w:r w:rsidR="00C97C96" w:rsidRPr="00330A7C">
        <w:rPr>
          <w:lang w:val="fr-CH"/>
        </w:rPr>
        <w:t>s</w:t>
      </w:r>
      <w:r w:rsidRPr="00330A7C">
        <w:rPr>
          <w:lang w:val="fr-CH"/>
        </w:rPr>
        <w:t xml:space="preserve"> B, C et D de l</w:t>
      </w:r>
      <w:r w:rsidR="0028699E" w:rsidRPr="00330A7C">
        <w:rPr>
          <w:lang w:val="fr-CH"/>
        </w:rPr>
        <w:t>’</w:t>
      </w:r>
      <w:r w:rsidRPr="00330A7C">
        <w:rPr>
          <w:lang w:val="fr-CH"/>
        </w:rPr>
        <w:t>UDL-OMT. Pour chaque item, la numérotation indiquée entre parenthèse</w:t>
      </w:r>
      <w:r w:rsidR="00C97C96" w:rsidRPr="00330A7C">
        <w:rPr>
          <w:lang w:val="fr-CH"/>
        </w:rPr>
        <w:t>s</w:t>
      </w:r>
      <w:r w:rsidRPr="00330A7C">
        <w:rPr>
          <w:lang w:val="fr-CH"/>
        </w:rPr>
        <w:t xml:space="preserve"> renvoie aux lignes directrices et points de contrôle du cadre de la CUA (voir Figure</w:t>
      </w:r>
      <w:r w:rsidR="00F20355" w:rsidRPr="00330A7C">
        <w:rPr>
          <w:lang w:val="fr-CH"/>
        </w:rPr>
        <w:t> </w:t>
      </w:r>
      <w:r w:rsidRPr="00330A7C">
        <w:rPr>
          <w:lang w:val="fr-CH"/>
        </w:rPr>
        <w:t>1).</w:t>
      </w:r>
    </w:p>
    <w:p w14:paraId="67F49638" w14:textId="0E1740C6" w:rsidR="00253CEA" w:rsidRPr="00330A7C" w:rsidRDefault="00253CEA" w:rsidP="008A37AF">
      <w:pPr>
        <w:pStyle w:val="LegendeTabelle"/>
        <w:jc w:val="both"/>
        <w:rPr>
          <w:lang w:val="fr-CH"/>
        </w:rPr>
      </w:pPr>
      <w:r w:rsidRPr="00330A7C">
        <w:rPr>
          <w:lang w:val="fr-CH"/>
        </w:rPr>
        <w:t>Tableau</w:t>
      </w:r>
      <w:r w:rsidR="00F20355" w:rsidRPr="00330A7C">
        <w:rPr>
          <w:lang w:val="fr-CH"/>
        </w:rPr>
        <w:t> </w:t>
      </w:r>
      <w:r w:rsidRPr="00330A7C">
        <w:rPr>
          <w:lang w:val="fr-CH"/>
        </w:rPr>
        <w:t>2 : Correspondance entre les sections et items de l</w:t>
      </w:r>
      <w:r w:rsidR="0028699E" w:rsidRPr="00330A7C">
        <w:rPr>
          <w:lang w:val="fr-CH"/>
        </w:rPr>
        <w:t>’</w:t>
      </w:r>
      <w:r w:rsidRPr="00330A7C">
        <w:rPr>
          <w:lang w:val="fr-CH"/>
        </w:rPr>
        <w:t xml:space="preserve">UDL-OMT </w:t>
      </w:r>
      <w:r w:rsidR="0096622C" w:rsidRPr="00330A7C">
        <w:rPr>
          <w:lang w:val="fr-CH"/>
        </w:rPr>
        <w:t xml:space="preserve">avec </w:t>
      </w:r>
      <w:r w:rsidRPr="00330A7C">
        <w:rPr>
          <w:lang w:val="fr-CH"/>
        </w:rPr>
        <w:t>les lignes directrices et</w:t>
      </w:r>
      <w:r w:rsidR="00BA371E" w:rsidRPr="00330A7C">
        <w:rPr>
          <w:lang w:val="fr-CH"/>
        </w:rPr>
        <w:t xml:space="preserve"> </w:t>
      </w:r>
      <w:r w:rsidRPr="00330A7C">
        <w:rPr>
          <w:lang w:val="fr-CH"/>
        </w:rPr>
        <w:t>points de contrôle de la CUA (CAST, 2011)</w:t>
      </w:r>
    </w:p>
    <w:tbl>
      <w:tblPr>
        <w:tblStyle w:val="Tabellenraster"/>
        <w:tblW w:w="9634" w:type="dxa"/>
        <w:tblLook w:val="04A0" w:firstRow="1" w:lastRow="0" w:firstColumn="1" w:lastColumn="0" w:noHBand="0" w:noVBand="1"/>
      </w:tblPr>
      <w:tblGrid>
        <w:gridCol w:w="9634"/>
      </w:tblGrid>
      <w:tr w:rsidR="00253CEA" w:rsidRPr="00CD5C43" w14:paraId="35FABAE9" w14:textId="77777777" w:rsidTr="005F5912">
        <w:trPr>
          <w:trHeight w:val="907"/>
        </w:trPr>
        <w:tc>
          <w:tcPr>
            <w:tcW w:w="9634" w:type="dxa"/>
            <w:tcBorders>
              <w:bottom w:val="single" w:sz="4" w:space="0" w:color="auto"/>
            </w:tcBorders>
            <w:shd w:val="clear" w:color="auto" w:fill="DEEBF1" w:themeFill="accent5" w:themeFillTint="33"/>
            <w:vAlign w:val="center"/>
          </w:tcPr>
          <w:p w14:paraId="2D33C434" w14:textId="296F4218" w:rsidR="00253CEA" w:rsidRPr="00330A7C" w:rsidRDefault="00253CEA" w:rsidP="00060F2E">
            <w:pPr>
              <w:pStyle w:val="Textkrper"/>
              <w:ind w:firstLine="0"/>
              <w:jc w:val="left"/>
              <w:rPr>
                <w:lang w:val="fr-CH"/>
              </w:rPr>
            </w:pPr>
            <w:r w:rsidRPr="00330A7C">
              <w:rPr>
                <w:b/>
                <w:bCs/>
                <w:lang w:val="fr-CH"/>
              </w:rPr>
              <w:t>Offrir plusieurs moyens de présentation et de transmission du contenu d</w:t>
            </w:r>
            <w:r w:rsidR="0028699E" w:rsidRPr="00330A7C">
              <w:rPr>
                <w:b/>
                <w:bCs/>
                <w:lang w:val="fr-CH"/>
              </w:rPr>
              <w:t>’</w:t>
            </w:r>
            <w:r w:rsidRPr="00330A7C">
              <w:rPr>
                <w:b/>
                <w:bCs/>
                <w:lang w:val="fr-CH"/>
              </w:rPr>
              <w:t>apprentissage</w:t>
            </w:r>
            <w:r w:rsidRPr="00330A7C">
              <w:rPr>
                <w:lang w:val="fr-CH"/>
              </w:rPr>
              <w:br/>
            </w:r>
            <w:r w:rsidRPr="00330A7C">
              <w:rPr>
                <w:i/>
                <w:iCs/>
                <w:lang w:val="fr-CH"/>
              </w:rPr>
              <w:t>Le corps enseignant…</w:t>
            </w:r>
          </w:p>
        </w:tc>
      </w:tr>
      <w:tr w:rsidR="00253CEA" w:rsidRPr="00CD5C43" w14:paraId="52D72637" w14:textId="77777777">
        <w:tc>
          <w:tcPr>
            <w:tcW w:w="9634" w:type="dxa"/>
            <w:tcBorders>
              <w:top w:val="single" w:sz="4" w:space="0" w:color="auto"/>
              <w:left w:val="single" w:sz="4" w:space="0" w:color="auto"/>
              <w:bottom w:val="nil"/>
              <w:right w:val="single" w:sz="4" w:space="0" w:color="auto"/>
            </w:tcBorders>
            <w:vAlign w:val="center"/>
          </w:tcPr>
          <w:p w14:paraId="6EE14313" w14:textId="49BDCB66" w:rsidR="00253CEA" w:rsidRPr="00330A7C" w:rsidRDefault="00253CEA" w:rsidP="00253CEA">
            <w:pPr>
              <w:pStyle w:val="Textkrper"/>
              <w:numPr>
                <w:ilvl w:val="0"/>
                <w:numId w:val="4"/>
              </w:numPr>
              <w:ind w:left="458" w:hanging="283"/>
              <w:jc w:val="left"/>
              <w:rPr>
                <w:lang w:val="fr-CH"/>
              </w:rPr>
            </w:pPr>
            <w:proofErr w:type="gramStart"/>
            <w:r w:rsidRPr="00330A7C">
              <w:rPr>
                <w:lang w:val="fr-CH"/>
              </w:rPr>
              <w:t>adapte</w:t>
            </w:r>
            <w:proofErr w:type="gramEnd"/>
            <w:r w:rsidRPr="00330A7C">
              <w:rPr>
                <w:lang w:val="fr-CH"/>
              </w:rPr>
              <w:t xml:space="preserve"> et différencie la présentation de l</w:t>
            </w:r>
            <w:r w:rsidR="0028699E" w:rsidRPr="00330A7C">
              <w:rPr>
                <w:lang w:val="fr-CH"/>
              </w:rPr>
              <w:t>’</w:t>
            </w:r>
            <w:r w:rsidRPr="00330A7C">
              <w:rPr>
                <w:lang w:val="fr-CH"/>
              </w:rPr>
              <w:t>information (G1 ; C1.1).</w:t>
            </w:r>
          </w:p>
        </w:tc>
      </w:tr>
      <w:tr w:rsidR="00253CEA" w:rsidRPr="00CD5C43" w14:paraId="4E268760" w14:textId="77777777">
        <w:tc>
          <w:tcPr>
            <w:tcW w:w="9634" w:type="dxa"/>
            <w:tcBorders>
              <w:top w:val="nil"/>
              <w:left w:val="single" w:sz="4" w:space="0" w:color="auto"/>
              <w:bottom w:val="nil"/>
              <w:right w:val="single" w:sz="4" w:space="0" w:color="auto"/>
            </w:tcBorders>
            <w:vAlign w:val="center"/>
          </w:tcPr>
          <w:p w14:paraId="22E1DEA1" w14:textId="1BE0D9A8" w:rsidR="00253CEA" w:rsidRPr="00330A7C" w:rsidRDefault="00253CEA" w:rsidP="00253CEA">
            <w:pPr>
              <w:pStyle w:val="Textkrper"/>
              <w:numPr>
                <w:ilvl w:val="0"/>
                <w:numId w:val="4"/>
              </w:numPr>
              <w:ind w:left="458" w:hanging="283"/>
              <w:jc w:val="left"/>
              <w:rPr>
                <w:lang w:val="fr-CH"/>
              </w:rPr>
            </w:pPr>
            <w:proofErr w:type="gramStart"/>
            <w:r w:rsidRPr="00330A7C">
              <w:rPr>
                <w:lang w:val="fr-CH"/>
              </w:rPr>
              <w:t>propose</w:t>
            </w:r>
            <w:proofErr w:type="gramEnd"/>
            <w:r w:rsidRPr="00330A7C">
              <w:rPr>
                <w:lang w:val="fr-CH"/>
              </w:rPr>
              <w:t xml:space="preserve"> d</w:t>
            </w:r>
            <w:r w:rsidR="0028699E" w:rsidRPr="00330A7C">
              <w:rPr>
                <w:lang w:val="fr-CH"/>
              </w:rPr>
              <w:t>’</w:t>
            </w:r>
            <w:r w:rsidRPr="00330A7C">
              <w:rPr>
                <w:lang w:val="fr-CH"/>
              </w:rPr>
              <w:t>autres modes de présentation pour les informations visuelles (G1 ; C1.3).</w:t>
            </w:r>
          </w:p>
        </w:tc>
      </w:tr>
      <w:tr w:rsidR="00253CEA" w:rsidRPr="00CD5C43" w14:paraId="079AB53D" w14:textId="77777777">
        <w:tc>
          <w:tcPr>
            <w:tcW w:w="9634" w:type="dxa"/>
            <w:tcBorders>
              <w:top w:val="nil"/>
              <w:left w:val="single" w:sz="4" w:space="0" w:color="auto"/>
              <w:bottom w:val="nil"/>
              <w:right w:val="single" w:sz="4" w:space="0" w:color="auto"/>
            </w:tcBorders>
            <w:vAlign w:val="center"/>
          </w:tcPr>
          <w:p w14:paraId="37245341" w14:textId="66AA96CE" w:rsidR="00253CEA" w:rsidRPr="00330A7C" w:rsidRDefault="00253CEA" w:rsidP="00253CEA">
            <w:pPr>
              <w:pStyle w:val="Textkrper"/>
              <w:numPr>
                <w:ilvl w:val="0"/>
                <w:numId w:val="4"/>
              </w:numPr>
              <w:ind w:left="458" w:hanging="283"/>
              <w:jc w:val="left"/>
              <w:rPr>
                <w:lang w:val="fr-CH"/>
              </w:rPr>
            </w:pPr>
            <w:proofErr w:type="gramStart"/>
            <w:r w:rsidRPr="00330A7C">
              <w:rPr>
                <w:lang w:val="fr-CH"/>
              </w:rPr>
              <w:t>propose</w:t>
            </w:r>
            <w:proofErr w:type="gramEnd"/>
            <w:r w:rsidRPr="00330A7C">
              <w:rPr>
                <w:lang w:val="fr-CH"/>
              </w:rPr>
              <w:t xml:space="preserve"> d</w:t>
            </w:r>
            <w:r w:rsidR="0028699E" w:rsidRPr="00330A7C">
              <w:rPr>
                <w:lang w:val="fr-CH"/>
              </w:rPr>
              <w:t>’</w:t>
            </w:r>
            <w:r w:rsidRPr="00330A7C">
              <w:rPr>
                <w:lang w:val="fr-CH"/>
              </w:rPr>
              <w:t>autres modes de présentation pour les informations auditives (G1 ; C1.2).</w:t>
            </w:r>
          </w:p>
        </w:tc>
      </w:tr>
      <w:tr w:rsidR="00253CEA" w:rsidRPr="00CD5C43" w14:paraId="6DA6D966" w14:textId="77777777">
        <w:tc>
          <w:tcPr>
            <w:tcW w:w="9634" w:type="dxa"/>
            <w:tcBorders>
              <w:top w:val="nil"/>
              <w:left w:val="single" w:sz="4" w:space="0" w:color="auto"/>
              <w:bottom w:val="nil"/>
              <w:right w:val="single" w:sz="4" w:space="0" w:color="auto"/>
            </w:tcBorders>
            <w:vAlign w:val="center"/>
          </w:tcPr>
          <w:p w14:paraId="5527A9B8" w14:textId="77777777" w:rsidR="00253CEA" w:rsidRPr="00330A7C" w:rsidRDefault="00253CEA" w:rsidP="00253CEA">
            <w:pPr>
              <w:pStyle w:val="Textkrper"/>
              <w:numPr>
                <w:ilvl w:val="0"/>
                <w:numId w:val="4"/>
              </w:numPr>
              <w:ind w:left="458" w:hanging="283"/>
              <w:jc w:val="left"/>
              <w:rPr>
                <w:lang w:val="fr-CH"/>
              </w:rPr>
            </w:pPr>
            <w:proofErr w:type="gramStart"/>
            <w:r w:rsidRPr="00330A7C">
              <w:rPr>
                <w:lang w:val="fr-CH"/>
              </w:rPr>
              <w:t>prévoit</w:t>
            </w:r>
            <w:proofErr w:type="gramEnd"/>
            <w:r w:rsidRPr="00330A7C">
              <w:rPr>
                <w:lang w:val="fr-CH"/>
              </w:rPr>
              <w:t>, si nécessaire, des moyens en plusieurs langues (G2 ; C2.4).</w:t>
            </w:r>
          </w:p>
        </w:tc>
      </w:tr>
      <w:tr w:rsidR="00253CEA" w:rsidRPr="00CD5C43" w14:paraId="5182FD17" w14:textId="77777777">
        <w:tc>
          <w:tcPr>
            <w:tcW w:w="9634" w:type="dxa"/>
            <w:tcBorders>
              <w:top w:val="nil"/>
              <w:left w:val="single" w:sz="4" w:space="0" w:color="auto"/>
              <w:bottom w:val="nil"/>
              <w:right w:val="single" w:sz="4" w:space="0" w:color="auto"/>
            </w:tcBorders>
            <w:vAlign w:val="center"/>
          </w:tcPr>
          <w:p w14:paraId="34EF0AED" w14:textId="77777777" w:rsidR="00253CEA" w:rsidRPr="00330A7C" w:rsidRDefault="00253CEA" w:rsidP="00253CEA">
            <w:pPr>
              <w:pStyle w:val="Textkrper"/>
              <w:numPr>
                <w:ilvl w:val="0"/>
                <w:numId w:val="4"/>
              </w:numPr>
              <w:ind w:left="458" w:hanging="283"/>
              <w:jc w:val="left"/>
              <w:rPr>
                <w:lang w:val="fr-CH"/>
              </w:rPr>
            </w:pPr>
            <w:proofErr w:type="gramStart"/>
            <w:r w:rsidRPr="00330A7C">
              <w:rPr>
                <w:lang w:val="fr-CH"/>
              </w:rPr>
              <w:t>adapte</w:t>
            </w:r>
            <w:proofErr w:type="gramEnd"/>
            <w:r w:rsidRPr="00330A7C">
              <w:rPr>
                <w:lang w:val="fr-CH"/>
              </w:rPr>
              <w:t xml:space="preserve"> le contenu au niveau de compréhension (p. ex., débutant, intermédiaire, expert) (G3 ; C3.1, C3.3).</w:t>
            </w:r>
          </w:p>
        </w:tc>
      </w:tr>
      <w:tr w:rsidR="00253CEA" w:rsidRPr="00CD5C43" w14:paraId="523FF877" w14:textId="77777777">
        <w:tc>
          <w:tcPr>
            <w:tcW w:w="9634" w:type="dxa"/>
            <w:tcBorders>
              <w:top w:val="nil"/>
              <w:left w:val="single" w:sz="4" w:space="0" w:color="auto"/>
              <w:bottom w:val="nil"/>
              <w:right w:val="single" w:sz="4" w:space="0" w:color="auto"/>
            </w:tcBorders>
            <w:vAlign w:val="center"/>
          </w:tcPr>
          <w:p w14:paraId="293430C7" w14:textId="77777777" w:rsidR="00253CEA" w:rsidRPr="00330A7C" w:rsidRDefault="00253CEA" w:rsidP="00253CEA">
            <w:pPr>
              <w:pStyle w:val="Textkrper"/>
              <w:numPr>
                <w:ilvl w:val="0"/>
                <w:numId w:val="4"/>
              </w:numPr>
              <w:ind w:left="458" w:hanging="283"/>
              <w:jc w:val="left"/>
              <w:rPr>
                <w:lang w:val="fr-CH"/>
              </w:rPr>
            </w:pPr>
            <w:proofErr w:type="gramStart"/>
            <w:r w:rsidRPr="00330A7C">
              <w:rPr>
                <w:lang w:val="fr-CH"/>
              </w:rPr>
              <w:t>facilite</w:t>
            </w:r>
            <w:proofErr w:type="gramEnd"/>
            <w:r w:rsidRPr="00330A7C">
              <w:rPr>
                <w:lang w:val="fr-CH"/>
              </w:rPr>
              <w:t xml:space="preserve"> la compréhension des relations entre les disciplines, les situations ou les notions (G3 ; C3.2).</w:t>
            </w:r>
          </w:p>
        </w:tc>
      </w:tr>
      <w:tr w:rsidR="00253CEA" w:rsidRPr="00CD5C43" w14:paraId="5B60D99D" w14:textId="77777777">
        <w:tc>
          <w:tcPr>
            <w:tcW w:w="9634" w:type="dxa"/>
            <w:tcBorders>
              <w:top w:val="nil"/>
              <w:left w:val="single" w:sz="4" w:space="0" w:color="auto"/>
              <w:bottom w:val="nil"/>
              <w:right w:val="single" w:sz="4" w:space="0" w:color="auto"/>
            </w:tcBorders>
            <w:vAlign w:val="center"/>
          </w:tcPr>
          <w:p w14:paraId="7B2BD394" w14:textId="77777777" w:rsidR="00253CEA" w:rsidRPr="00330A7C" w:rsidRDefault="00253CEA" w:rsidP="00253CEA">
            <w:pPr>
              <w:pStyle w:val="Textkrper"/>
              <w:numPr>
                <w:ilvl w:val="0"/>
                <w:numId w:val="4"/>
              </w:numPr>
              <w:ind w:left="458" w:hanging="283"/>
              <w:jc w:val="left"/>
              <w:rPr>
                <w:lang w:val="fr-CH"/>
              </w:rPr>
            </w:pPr>
            <w:proofErr w:type="gramStart"/>
            <w:r w:rsidRPr="00330A7C">
              <w:rPr>
                <w:lang w:val="fr-CH"/>
              </w:rPr>
              <w:t>clarifie</w:t>
            </w:r>
            <w:proofErr w:type="gramEnd"/>
            <w:r w:rsidRPr="00330A7C">
              <w:rPr>
                <w:lang w:val="fr-CH"/>
              </w:rPr>
              <w:t xml:space="preserve"> le vocabulaire, les symboles et la terminologie propres au contenu (G2 ; C2.1, C2.3).</w:t>
            </w:r>
          </w:p>
        </w:tc>
      </w:tr>
      <w:tr w:rsidR="00253CEA" w:rsidRPr="00CD5C43" w14:paraId="042F60B0" w14:textId="77777777">
        <w:tc>
          <w:tcPr>
            <w:tcW w:w="9634" w:type="dxa"/>
            <w:tcBorders>
              <w:top w:val="nil"/>
              <w:left w:val="single" w:sz="4" w:space="0" w:color="auto"/>
              <w:bottom w:val="nil"/>
              <w:right w:val="single" w:sz="4" w:space="0" w:color="auto"/>
            </w:tcBorders>
            <w:vAlign w:val="center"/>
          </w:tcPr>
          <w:p w14:paraId="2D8937D3" w14:textId="6F53CD84" w:rsidR="00253CEA" w:rsidRPr="00330A7C" w:rsidRDefault="00253CEA" w:rsidP="00253CEA">
            <w:pPr>
              <w:pStyle w:val="Textkrper"/>
              <w:numPr>
                <w:ilvl w:val="0"/>
                <w:numId w:val="4"/>
              </w:numPr>
              <w:ind w:left="458" w:hanging="283"/>
              <w:jc w:val="left"/>
              <w:rPr>
                <w:lang w:val="fr-CH"/>
              </w:rPr>
            </w:pPr>
            <w:proofErr w:type="gramStart"/>
            <w:r w:rsidRPr="00330A7C">
              <w:rPr>
                <w:lang w:val="fr-CH"/>
              </w:rPr>
              <w:t>clarifie</w:t>
            </w:r>
            <w:proofErr w:type="gramEnd"/>
            <w:r w:rsidRPr="00330A7C">
              <w:rPr>
                <w:lang w:val="fr-CH"/>
              </w:rPr>
              <w:t xml:space="preserve"> la syntaxe (p. ex., les règles grammaticales ou orthographiques, les expressions mathématiques) et la structure du contenu de la leçon l</w:t>
            </w:r>
            <w:r w:rsidR="0028699E" w:rsidRPr="00330A7C">
              <w:rPr>
                <w:lang w:val="fr-CH"/>
              </w:rPr>
              <w:t>’</w:t>
            </w:r>
            <w:r w:rsidRPr="00330A7C">
              <w:rPr>
                <w:lang w:val="fr-CH"/>
              </w:rPr>
              <w:t>apprentissage (G2 ; C2.2).</w:t>
            </w:r>
          </w:p>
        </w:tc>
      </w:tr>
      <w:tr w:rsidR="00253CEA" w:rsidRPr="00CD5C43" w14:paraId="29526E40" w14:textId="77777777">
        <w:tc>
          <w:tcPr>
            <w:tcW w:w="9634" w:type="dxa"/>
            <w:tcBorders>
              <w:top w:val="nil"/>
              <w:left w:val="single" w:sz="4" w:space="0" w:color="auto"/>
              <w:bottom w:val="single" w:sz="4" w:space="0" w:color="auto"/>
              <w:right w:val="single" w:sz="4" w:space="0" w:color="auto"/>
            </w:tcBorders>
            <w:vAlign w:val="center"/>
          </w:tcPr>
          <w:p w14:paraId="289CFAE8" w14:textId="77777777" w:rsidR="00253CEA" w:rsidRPr="00330A7C" w:rsidRDefault="00253CEA" w:rsidP="00253CEA">
            <w:pPr>
              <w:pStyle w:val="Textkrper"/>
              <w:numPr>
                <w:ilvl w:val="0"/>
                <w:numId w:val="4"/>
              </w:numPr>
              <w:ind w:left="458" w:hanging="283"/>
              <w:jc w:val="left"/>
              <w:rPr>
                <w:lang w:val="fr-CH"/>
              </w:rPr>
            </w:pPr>
            <w:proofErr w:type="gramStart"/>
            <w:r w:rsidRPr="00330A7C">
              <w:rPr>
                <w:lang w:val="fr-CH"/>
              </w:rPr>
              <w:t>propose</w:t>
            </w:r>
            <w:proofErr w:type="gramEnd"/>
            <w:r w:rsidRPr="00330A7C">
              <w:rPr>
                <w:lang w:val="fr-CH"/>
              </w:rPr>
              <w:t xml:space="preserve"> des moyens facilitant la compréhension du vocabulaire et des symboles de manière autonome (G2 ; C2.1, C2.3).</w:t>
            </w:r>
          </w:p>
        </w:tc>
      </w:tr>
      <w:tr w:rsidR="00253CEA" w:rsidRPr="00CD5C43" w14:paraId="219620F3" w14:textId="77777777" w:rsidTr="005F5912">
        <w:trPr>
          <w:trHeight w:val="907"/>
        </w:trPr>
        <w:tc>
          <w:tcPr>
            <w:tcW w:w="9634" w:type="dxa"/>
            <w:tcBorders>
              <w:top w:val="single" w:sz="4" w:space="0" w:color="auto"/>
              <w:bottom w:val="single" w:sz="4" w:space="0" w:color="auto"/>
            </w:tcBorders>
            <w:shd w:val="clear" w:color="auto" w:fill="DEEBF1" w:themeFill="accent5" w:themeFillTint="33"/>
            <w:vAlign w:val="center"/>
          </w:tcPr>
          <w:p w14:paraId="5A5C4A2A" w14:textId="5F260A38" w:rsidR="00253CEA" w:rsidRPr="00330A7C" w:rsidRDefault="00253CEA" w:rsidP="00965763">
            <w:pPr>
              <w:pStyle w:val="Textkrper"/>
              <w:ind w:firstLine="0"/>
              <w:jc w:val="left"/>
              <w:rPr>
                <w:lang w:val="fr-CH"/>
              </w:rPr>
            </w:pPr>
            <w:r w:rsidRPr="00330A7C">
              <w:rPr>
                <w:b/>
                <w:bCs/>
                <w:lang w:val="fr-CH"/>
              </w:rPr>
              <w:lastRenderedPageBreak/>
              <w:t>Offrir plusieurs moyens d</w:t>
            </w:r>
            <w:r w:rsidR="0028699E" w:rsidRPr="00330A7C">
              <w:rPr>
                <w:b/>
                <w:bCs/>
                <w:lang w:val="fr-CH"/>
              </w:rPr>
              <w:t>’</w:t>
            </w:r>
            <w:r w:rsidRPr="00330A7C">
              <w:rPr>
                <w:b/>
                <w:bCs/>
                <w:lang w:val="fr-CH"/>
              </w:rPr>
              <w:t>action et d</w:t>
            </w:r>
            <w:r w:rsidR="00C63760" w:rsidRPr="00330A7C">
              <w:rPr>
                <w:b/>
                <w:bCs/>
                <w:lang w:val="fr-CH"/>
              </w:rPr>
              <w:t>’</w:t>
            </w:r>
            <w:r w:rsidRPr="00330A7C">
              <w:rPr>
                <w:b/>
                <w:bCs/>
                <w:lang w:val="fr-CH"/>
              </w:rPr>
              <w:t>expression</w:t>
            </w:r>
            <w:r w:rsidRPr="00330A7C">
              <w:rPr>
                <w:lang w:val="fr-CH"/>
              </w:rPr>
              <w:br/>
            </w:r>
            <w:r w:rsidRPr="00330A7C">
              <w:rPr>
                <w:i/>
                <w:iCs/>
                <w:lang w:val="fr-CH"/>
              </w:rPr>
              <w:t>Le corps enseignant…</w:t>
            </w:r>
          </w:p>
        </w:tc>
      </w:tr>
      <w:tr w:rsidR="00253CEA" w:rsidRPr="00CD5C43" w14:paraId="5D6948C8" w14:textId="77777777">
        <w:tc>
          <w:tcPr>
            <w:tcW w:w="9634" w:type="dxa"/>
            <w:tcBorders>
              <w:top w:val="single" w:sz="4" w:space="0" w:color="auto"/>
              <w:left w:val="single" w:sz="4" w:space="0" w:color="auto"/>
              <w:bottom w:val="nil"/>
              <w:right w:val="single" w:sz="4" w:space="0" w:color="auto"/>
            </w:tcBorders>
            <w:vAlign w:val="center"/>
          </w:tcPr>
          <w:p w14:paraId="177ACF24" w14:textId="3AC69349" w:rsidR="00253CEA" w:rsidRPr="00330A7C" w:rsidRDefault="00253CEA" w:rsidP="00253CEA">
            <w:pPr>
              <w:pStyle w:val="Textkrper"/>
              <w:numPr>
                <w:ilvl w:val="0"/>
                <w:numId w:val="4"/>
              </w:numPr>
              <w:ind w:left="458"/>
              <w:jc w:val="left"/>
              <w:rPr>
                <w:lang w:val="fr-CH"/>
              </w:rPr>
            </w:pPr>
            <w:proofErr w:type="gramStart"/>
            <w:r w:rsidRPr="00330A7C">
              <w:rPr>
                <w:lang w:val="fr-CH"/>
              </w:rPr>
              <w:t>diversifie</w:t>
            </w:r>
            <w:proofErr w:type="gramEnd"/>
            <w:r w:rsidRPr="00330A7C">
              <w:rPr>
                <w:lang w:val="fr-CH"/>
              </w:rPr>
              <w:t xml:space="preserve"> les moyens pour que les apprenants puissent exprimer leur compréhension de diverses manières (G5 ; C5.1, C5.2, C5.3).</w:t>
            </w:r>
          </w:p>
        </w:tc>
      </w:tr>
      <w:tr w:rsidR="00253CEA" w:rsidRPr="00CD5C43" w14:paraId="1F0D676A" w14:textId="77777777">
        <w:tc>
          <w:tcPr>
            <w:tcW w:w="9634" w:type="dxa"/>
            <w:tcBorders>
              <w:top w:val="nil"/>
              <w:left w:val="single" w:sz="4" w:space="0" w:color="auto"/>
              <w:bottom w:val="nil"/>
              <w:right w:val="single" w:sz="4" w:space="0" w:color="auto"/>
            </w:tcBorders>
            <w:vAlign w:val="center"/>
          </w:tcPr>
          <w:p w14:paraId="2B19FD0B" w14:textId="5E6E700E" w:rsidR="00253CEA" w:rsidRPr="00330A7C" w:rsidRDefault="00253CEA" w:rsidP="00253CEA">
            <w:pPr>
              <w:pStyle w:val="Textkrper"/>
              <w:numPr>
                <w:ilvl w:val="0"/>
                <w:numId w:val="4"/>
              </w:numPr>
              <w:ind w:left="458"/>
              <w:jc w:val="left"/>
              <w:rPr>
                <w:lang w:val="fr-CH"/>
              </w:rPr>
            </w:pPr>
            <w:proofErr w:type="gramStart"/>
            <w:r w:rsidRPr="00330A7C">
              <w:rPr>
                <w:lang w:val="fr-CH"/>
              </w:rPr>
              <w:t>fournit</w:t>
            </w:r>
            <w:proofErr w:type="gramEnd"/>
            <w:r w:rsidRPr="00330A7C">
              <w:rPr>
                <w:lang w:val="fr-CH"/>
              </w:rPr>
              <w:t xml:space="preserve"> l</w:t>
            </w:r>
            <w:r w:rsidR="00C63760" w:rsidRPr="00330A7C">
              <w:rPr>
                <w:lang w:val="fr-CH"/>
              </w:rPr>
              <w:t>’</w:t>
            </w:r>
            <w:r w:rsidRPr="00330A7C">
              <w:rPr>
                <w:lang w:val="fr-CH"/>
              </w:rPr>
              <w:t>accès à des outils et/ou à des technologies pour permettre aux apprenants d</w:t>
            </w:r>
            <w:r w:rsidR="00C63760" w:rsidRPr="00330A7C">
              <w:rPr>
                <w:lang w:val="fr-CH"/>
              </w:rPr>
              <w:t>’</w:t>
            </w:r>
            <w:r w:rsidRPr="00330A7C">
              <w:rPr>
                <w:lang w:val="fr-CH"/>
              </w:rPr>
              <w:t>exprimer leur compréhension (G4 ; C4.1, C4.2).</w:t>
            </w:r>
          </w:p>
        </w:tc>
      </w:tr>
      <w:tr w:rsidR="00253CEA" w:rsidRPr="00CD5C43" w14:paraId="5431FEF9" w14:textId="77777777">
        <w:tc>
          <w:tcPr>
            <w:tcW w:w="9634" w:type="dxa"/>
            <w:tcBorders>
              <w:top w:val="nil"/>
              <w:left w:val="single" w:sz="4" w:space="0" w:color="auto"/>
              <w:bottom w:val="nil"/>
              <w:right w:val="single" w:sz="4" w:space="0" w:color="auto"/>
            </w:tcBorders>
            <w:vAlign w:val="center"/>
          </w:tcPr>
          <w:p w14:paraId="60450DDF" w14:textId="77777777" w:rsidR="00253CEA" w:rsidRPr="00330A7C" w:rsidRDefault="00253CEA" w:rsidP="00253CEA">
            <w:pPr>
              <w:pStyle w:val="Textkrper"/>
              <w:numPr>
                <w:ilvl w:val="0"/>
                <w:numId w:val="4"/>
              </w:numPr>
              <w:ind w:left="458"/>
              <w:jc w:val="left"/>
              <w:rPr>
                <w:lang w:val="fr-CH"/>
              </w:rPr>
            </w:pPr>
            <w:proofErr w:type="gramStart"/>
            <w:r w:rsidRPr="00330A7C">
              <w:rPr>
                <w:lang w:val="fr-CH"/>
              </w:rPr>
              <w:t>développe</w:t>
            </w:r>
            <w:proofErr w:type="gramEnd"/>
            <w:r w:rsidRPr="00330A7C">
              <w:rPr>
                <w:lang w:val="fr-CH"/>
              </w:rPr>
              <w:t xml:space="preserve"> les compétences des apprenants à l’utilisation de plusieurs moyens pour exprimer leur compréhension (G5 ; C5.3).</w:t>
            </w:r>
          </w:p>
        </w:tc>
      </w:tr>
      <w:tr w:rsidR="00253CEA" w:rsidRPr="00CD5C43" w14:paraId="77450365" w14:textId="77777777">
        <w:tc>
          <w:tcPr>
            <w:tcW w:w="9634" w:type="dxa"/>
            <w:tcBorders>
              <w:top w:val="nil"/>
              <w:left w:val="single" w:sz="4" w:space="0" w:color="auto"/>
              <w:bottom w:val="nil"/>
              <w:right w:val="single" w:sz="4" w:space="0" w:color="auto"/>
            </w:tcBorders>
            <w:vAlign w:val="center"/>
          </w:tcPr>
          <w:p w14:paraId="1D0F83EE" w14:textId="68B60450" w:rsidR="00253CEA" w:rsidRPr="00330A7C" w:rsidRDefault="00253CEA" w:rsidP="00253CEA">
            <w:pPr>
              <w:pStyle w:val="Textkrper"/>
              <w:numPr>
                <w:ilvl w:val="0"/>
                <w:numId w:val="4"/>
              </w:numPr>
              <w:ind w:left="458"/>
              <w:rPr>
                <w:lang w:val="fr-CH"/>
              </w:rPr>
            </w:pPr>
            <w:proofErr w:type="gramStart"/>
            <w:r w:rsidRPr="00330A7C">
              <w:rPr>
                <w:lang w:val="fr-CH"/>
              </w:rPr>
              <w:t>fournit</w:t>
            </w:r>
            <w:proofErr w:type="gramEnd"/>
            <w:r w:rsidRPr="00330A7C">
              <w:rPr>
                <w:lang w:val="fr-CH"/>
              </w:rPr>
              <w:t xml:space="preserve"> des moyens pour développer des compétences de résolution de problème et de réflexion critique chez l</w:t>
            </w:r>
            <w:r w:rsidR="00C63760" w:rsidRPr="00330A7C">
              <w:rPr>
                <w:lang w:val="fr-CH"/>
              </w:rPr>
              <w:t>’</w:t>
            </w:r>
            <w:r w:rsidRPr="00330A7C">
              <w:rPr>
                <w:lang w:val="fr-CH"/>
              </w:rPr>
              <w:t>apprenant (G3 ; C3.2).</w:t>
            </w:r>
          </w:p>
        </w:tc>
      </w:tr>
      <w:tr w:rsidR="00253CEA" w:rsidRPr="00CD5C43" w14:paraId="75F3E248" w14:textId="77777777">
        <w:tc>
          <w:tcPr>
            <w:tcW w:w="9634" w:type="dxa"/>
            <w:tcBorders>
              <w:top w:val="nil"/>
              <w:left w:val="single" w:sz="4" w:space="0" w:color="auto"/>
              <w:bottom w:val="nil"/>
              <w:right w:val="single" w:sz="4" w:space="0" w:color="auto"/>
            </w:tcBorders>
            <w:vAlign w:val="center"/>
          </w:tcPr>
          <w:p w14:paraId="2DA033E7" w14:textId="2128A403" w:rsidR="00253CEA" w:rsidRPr="00330A7C" w:rsidRDefault="00253CEA" w:rsidP="00253CEA">
            <w:pPr>
              <w:pStyle w:val="Textkrper"/>
              <w:numPr>
                <w:ilvl w:val="0"/>
                <w:numId w:val="4"/>
              </w:numPr>
              <w:ind w:left="458"/>
              <w:rPr>
                <w:lang w:val="fr-CH"/>
              </w:rPr>
            </w:pPr>
            <w:proofErr w:type="gramStart"/>
            <w:r w:rsidRPr="00330A7C">
              <w:rPr>
                <w:lang w:val="fr-CH"/>
              </w:rPr>
              <w:t>soutient</w:t>
            </w:r>
            <w:proofErr w:type="gramEnd"/>
            <w:r w:rsidRPr="00330A7C">
              <w:rPr>
                <w:lang w:val="fr-CH"/>
              </w:rPr>
              <w:t xml:space="preserve"> les apprenants dans la planification et l</w:t>
            </w:r>
            <w:r w:rsidR="00C63760" w:rsidRPr="00330A7C">
              <w:rPr>
                <w:lang w:val="fr-CH"/>
              </w:rPr>
              <w:t>’</w:t>
            </w:r>
            <w:r w:rsidRPr="00330A7C">
              <w:rPr>
                <w:lang w:val="fr-CH"/>
              </w:rPr>
              <w:t>élaboration de stratégies et/ou guide à l</w:t>
            </w:r>
            <w:r w:rsidR="00C63760" w:rsidRPr="00330A7C">
              <w:rPr>
                <w:lang w:val="fr-CH"/>
              </w:rPr>
              <w:t>’</w:t>
            </w:r>
            <w:r w:rsidRPr="00330A7C">
              <w:rPr>
                <w:lang w:val="fr-CH"/>
              </w:rPr>
              <w:t>établissement d</w:t>
            </w:r>
            <w:r w:rsidR="00C63760" w:rsidRPr="00330A7C">
              <w:rPr>
                <w:lang w:val="fr-CH"/>
              </w:rPr>
              <w:t>’</w:t>
            </w:r>
            <w:r w:rsidRPr="00330A7C">
              <w:rPr>
                <w:lang w:val="fr-CH"/>
              </w:rPr>
              <w:t>objectifs personnels appropriés (soutien aux fonctions exécutives) (G6 ; C6.1, C6.2).</w:t>
            </w:r>
          </w:p>
        </w:tc>
      </w:tr>
      <w:tr w:rsidR="00253CEA" w:rsidRPr="00CD5C43" w14:paraId="41B59EE4" w14:textId="77777777">
        <w:tc>
          <w:tcPr>
            <w:tcW w:w="9634" w:type="dxa"/>
            <w:tcBorders>
              <w:top w:val="nil"/>
              <w:left w:val="single" w:sz="4" w:space="0" w:color="auto"/>
              <w:bottom w:val="nil"/>
              <w:right w:val="single" w:sz="4" w:space="0" w:color="auto"/>
            </w:tcBorders>
            <w:vAlign w:val="center"/>
          </w:tcPr>
          <w:p w14:paraId="283CDB4B" w14:textId="40B4E135" w:rsidR="00253CEA" w:rsidRPr="00330A7C" w:rsidRDefault="00253CEA" w:rsidP="00253CEA">
            <w:pPr>
              <w:pStyle w:val="Textkrper"/>
              <w:numPr>
                <w:ilvl w:val="0"/>
                <w:numId w:val="4"/>
              </w:numPr>
              <w:ind w:left="458"/>
              <w:jc w:val="left"/>
              <w:rPr>
                <w:lang w:val="fr-CH"/>
              </w:rPr>
            </w:pPr>
            <w:proofErr w:type="gramStart"/>
            <w:r w:rsidRPr="00330A7C">
              <w:rPr>
                <w:lang w:val="fr-CH"/>
              </w:rPr>
              <w:t>aménage</w:t>
            </w:r>
            <w:proofErr w:type="gramEnd"/>
            <w:r w:rsidRPr="00330A7C">
              <w:rPr>
                <w:lang w:val="fr-CH"/>
              </w:rPr>
              <w:t xml:space="preserve"> l</w:t>
            </w:r>
            <w:r w:rsidR="00C63760" w:rsidRPr="00330A7C">
              <w:rPr>
                <w:lang w:val="fr-CH"/>
              </w:rPr>
              <w:t>’</w:t>
            </w:r>
            <w:r w:rsidRPr="00330A7C">
              <w:rPr>
                <w:lang w:val="fr-CH"/>
              </w:rPr>
              <w:t>environnement afin de faciliter la gestion des informations et des ressources pour atteindre les objectifs d</w:t>
            </w:r>
            <w:r w:rsidR="00C63760" w:rsidRPr="00330A7C">
              <w:rPr>
                <w:lang w:val="fr-CH"/>
              </w:rPr>
              <w:t>’</w:t>
            </w:r>
            <w:r w:rsidRPr="00330A7C">
              <w:rPr>
                <w:lang w:val="fr-CH"/>
              </w:rPr>
              <w:t>apprentissage souhaités (G6 ; C6.3).</w:t>
            </w:r>
          </w:p>
        </w:tc>
      </w:tr>
      <w:tr w:rsidR="00253CEA" w:rsidRPr="00CD5C43" w14:paraId="07147CA6" w14:textId="77777777">
        <w:tc>
          <w:tcPr>
            <w:tcW w:w="9634" w:type="dxa"/>
            <w:tcBorders>
              <w:top w:val="nil"/>
              <w:left w:val="single" w:sz="4" w:space="0" w:color="auto"/>
              <w:bottom w:val="single" w:sz="4" w:space="0" w:color="auto"/>
              <w:right w:val="single" w:sz="4" w:space="0" w:color="auto"/>
            </w:tcBorders>
            <w:vAlign w:val="center"/>
          </w:tcPr>
          <w:p w14:paraId="6F9D7814" w14:textId="77777777" w:rsidR="00253CEA" w:rsidRPr="00330A7C" w:rsidRDefault="00253CEA" w:rsidP="00253CEA">
            <w:pPr>
              <w:pStyle w:val="Textkrper"/>
              <w:numPr>
                <w:ilvl w:val="0"/>
                <w:numId w:val="4"/>
              </w:numPr>
              <w:ind w:left="458"/>
              <w:jc w:val="left"/>
              <w:rPr>
                <w:lang w:val="fr-CH"/>
              </w:rPr>
            </w:pPr>
            <w:proofErr w:type="gramStart"/>
            <w:r w:rsidRPr="00330A7C">
              <w:rPr>
                <w:lang w:val="fr-CH"/>
              </w:rPr>
              <w:t>améliore</w:t>
            </w:r>
            <w:proofErr w:type="gramEnd"/>
            <w:r w:rsidRPr="00330A7C">
              <w:rPr>
                <w:lang w:val="fr-CH"/>
              </w:rPr>
              <w:t xml:space="preserve"> la capacité de l’apprenant d’assurer le suivi de ses progrès (G6 ; C6.4).</w:t>
            </w:r>
          </w:p>
        </w:tc>
      </w:tr>
      <w:tr w:rsidR="00253CEA" w:rsidRPr="00CD5C43" w14:paraId="3CE5DD1B" w14:textId="77777777" w:rsidTr="005F5912">
        <w:trPr>
          <w:trHeight w:val="907"/>
        </w:trPr>
        <w:tc>
          <w:tcPr>
            <w:tcW w:w="9634" w:type="dxa"/>
            <w:tcBorders>
              <w:top w:val="single" w:sz="4" w:space="0" w:color="auto"/>
              <w:bottom w:val="single" w:sz="4" w:space="0" w:color="auto"/>
            </w:tcBorders>
            <w:shd w:val="clear" w:color="auto" w:fill="DEEBF1" w:themeFill="accent5" w:themeFillTint="33"/>
            <w:vAlign w:val="center"/>
          </w:tcPr>
          <w:p w14:paraId="37FE96A4" w14:textId="3E7A570C" w:rsidR="00253CEA" w:rsidRPr="00330A7C" w:rsidRDefault="00253CEA" w:rsidP="00965763">
            <w:pPr>
              <w:pStyle w:val="Textkrper"/>
              <w:ind w:firstLine="0"/>
              <w:jc w:val="left"/>
              <w:rPr>
                <w:lang w:val="fr-CH"/>
              </w:rPr>
            </w:pPr>
            <w:r w:rsidRPr="00330A7C">
              <w:rPr>
                <w:b/>
                <w:bCs/>
                <w:lang w:val="fr-CH"/>
              </w:rPr>
              <w:t>Offrir des moyens de participation et d</w:t>
            </w:r>
            <w:r w:rsidR="00C63760" w:rsidRPr="00330A7C">
              <w:rPr>
                <w:b/>
                <w:bCs/>
                <w:lang w:val="fr-CH"/>
              </w:rPr>
              <w:t>’</w:t>
            </w:r>
            <w:r w:rsidRPr="00330A7C">
              <w:rPr>
                <w:b/>
                <w:bCs/>
                <w:lang w:val="fr-CH"/>
              </w:rPr>
              <w:t>engagement des apprenants</w:t>
            </w:r>
            <w:r w:rsidRPr="00330A7C">
              <w:rPr>
                <w:lang w:val="fr-CH"/>
              </w:rPr>
              <w:br/>
            </w:r>
            <w:r w:rsidRPr="00330A7C">
              <w:rPr>
                <w:i/>
                <w:iCs/>
                <w:lang w:val="fr-CH"/>
              </w:rPr>
              <w:t>Le corps enseignant…</w:t>
            </w:r>
          </w:p>
        </w:tc>
      </w:tr>
      <w:tr w:rsidR="00253CEA" w:rsidRPr="00CD5C43" w14:paraId="5A7461C5" w14:textId="77777777">
        <w:tc>
          <w:tcPr>
            <w:tcW w:w="9634" w:type="dxa"/>
            <w:tcBorders>
              <w:top w:val="single" w:sz="4" w:space="0" w:color="auto"/>
              <w:left w:val="single" w:sz="4" w:space="0" w:color="auto"/>
              <w:bottom w:val="nil"/>
              <w:right w:val="single" w:sz="4" w:space="0" w:color="auto"/>
            </w:tcBorders>
            <w:vAlign w:val="center"/>
          </w:tcPr>
          <w:p w14:paraId="5960323E" w14:textId="7F1E4914" w:rsidR="00253CEA" w:rsidRPr="00330A7C" w:rsidRDefault="00253CEA" w:rsidP="00253CEA">
            <w:pPr>
              <w:pStyle w:val="Textkrper"/>
              <w:numPr>
                <w:ilvl w:val="0"/>
                <w:numId w:val="4"/>
              </w:numPr>
              <w:ind w:left="458"/>
              <w:jc w:val="left"/>
              <w:rPr>
                <w:lang w:val="fr-CH"/>
              </w:rPr>
            </w:pPr>
            <w:proofErr w:type="gramStart"/>
            <w:r w:rsidRPr="00330A7C">
              <w:rPr>
                <w:lang w:val="fr-CH"/>
              </w:rPr>
              <w:t>encourage</w:t>
            </w:r>
            <w:proofErr w:type="gramEnd"/>
            <w:r w:rsidRPr="00330A7C">
              <w:rPr>
                <w:lang w:val="fr-CH"/>
              </w:rPr>
              <w:t xml:space="preserve"> le choix et l</w:t>
            </w:r>
            <w:r w:rsidR="00C63760" w:rsidRPr="00330A7C">
              <w:rPr>
                <w:lang w:val="fr-CH"/>
              </w:rPr>
              <w:t>’</w:t>
            </w:r>
            <w:r w:rsidRPr="00330A7C">
              <w:rPr>
                <w:lang w:val="fr-CH"/>
              </w:rPr>
              <w:t>autodétermination chez les apprenants (G9 ; G7</w:t>
            </w:r>
            <w:r w:rsidR="00066580" w:rsidRPr="00330A7C">
              <w:rPr>
                <w:lang w:val="fr-CH"/>
              </w:rPr>
              <w:t> </w:t>
            </w:r>
            <w:r w:rsidRPr="00330A7C">
              <w:rPr>
                <w:lang w:val="fr-CH"/>
              </w:rPr>
              <w:t>; C7.1).</w:t>
            </w:r>
          </w:p>
        </w:tc>
      </w:tr>
      <w:tr w:rsidR="00253CEA" w:rsidRPr="00CD5C43" w14:paraId="12A0DE94" w14:textId="77777777">
        <w:tc>
          <w:tcPr>
            <w:tcW w:w="9634" w:type="dxa"/>
            <w:tcBorders>
              <w:top w:val="nil"/>
              <w:left w:val="single" w:sz="4" w:space="0" w:color="auto"/>
              <w:bottom w:val="nil"/>
              <w:right w:val="single" w:sz="4" w:space="0" w:color="auto"/>
            </w:tcBorders>
            <w:vAlign w:val="center"/>
          </w:tcPr>
          <w:p w14:paraId="3DD795F6" w14:textId="5CC88ABD" w:rsidR="00253CEA" w:rsidRPr="00330A7C" w:rsidRDefault="00253CEA" w:rsidP="00253CEA">
            <w:pPr>
              <w:pStyle w:val="Textkrper"/>
              <w:numPr>
                <w:ilvl w:val="0"/>
                <w:numId w:val="4"/>
              </w:numPr>
              <w:ind w:left="458"/>
              <w:jc w:val="left"/>
              <w:rPr>
                <w:lang w:val="fr-CH"/>
              </w:rPr>
            </w:pPr>
            <w:proofErr w:type="gramStart"/>
            <w:r w:rsidRPr="00330A7C">
              <w:rPr>
                <w:lang w:val="fr-CH"/>
              </w:rPr>
              <w:t>fournit</w:t>
            </w:r>
            <w:proofErr w:type="gramEnd"/>
            <w:r w:rsidRPr="00330A7C">
              <w:rPr>
                <w:lang w:val="fr-CH"/>
              </w:rPr>
              <w:t xml:space="preserve"> une variété d</w:t>
            </w:r>
            <w:r w:rsidR="00C63760" w:rsidRPr="00330A7C">
              <w:rPr>
                <w:lang w:val="fr-CH"/>
              </w:rPr>
              <w:t>’</w:t>
            </w:r>
            <w:r w:rsidRPr="00330A7C">
              <w:rPr>
                <w:lang w:val="fr-CH"/>
              </w:rPr>
              <w:t>activités pertinentes pour tous les apprenants (G7 ; C7.2).</w:t>
            </w:r>
          </w:p>
        </w:tc>
      </w:tr>
      <w:tr w:rsidR="00253CEA" w:rsidRPr="00CD5C43" w14:paraId="2BA99832" w14:textId="77777777">
        <w:tc>
          <w:tcPr>
            <w:tcW w:w="9634" w:type="dxa"/>
            <w:tcBorders>
              <w:top w:val="nil"/>
              <w:left w:val="single" w:sz="4" w:space="0" w:color="auto"/>
              <w:bottom w:val="nil"/>
              <w:right w:val="single" w:sz="4" w:space="0" w:color="auto"/>
            </w:tcBorders>
            <w:vAlign w:val="center"/>
          </w:tcPr>
          <w:p w14:paraId="40878FEF" w14:textId="731B945C" w:rsidR="00253CEA" w:rsidRPr="00330A7C" w:rsidRDefault="00253CEA" w:rsidP="00253CEA">
            <w:pPr>
              <w:pStyle w:val="Textkrper"/>
              <w:numPr>
                <w:ilvl w:val="0"/>
                <w:numId w:val="4"/>
              </w:numPr>
              <w:ind w:left="458"/>
              <w:jc w:val="left"/>
              <w:rPr>
                <w:lang w:val="fr-CH"/>
              </w:rPr>
            </w:pPr>
            <w:proofErr w:type="gramStart"/>
            <w:r w:rsidRPr="00330A7C">
              <w:rPr>
                <w:lang w:val="fr-CH"/>
              </w:rPr>
              <w:t>encourage</w:t>
            </w:r>
            <w:proofErr w:type="gramEnd"/>
            <w:r w:rsidRPr="00330A7C">
              <w:rPr>
                <w:lang w:val="fr-CH"/>
              </w:rPr>
              <w:t xml:space="preserve"> l</w:t>
            </w:r>
            <w:r w:rsidR="00C63760" w:rsidRPr="00330A7C">
              <w:rPr>
                <w:lang w:val="fr-CH"/>
              </w:rPr>
              <w:t>’</w:t>
            </w:r>
            <w:r w:rsidRPr="00330A7C">
              <w:rPr>
                <w:lang w:val="fr-CH"/>
              </w:rPr>
              <w:t>effort soutenu et la concentration (G8 ; C7.3).</w:t>
            </w:r>
          </w:p>
        </w:tc>
      </w:tr>
      <w:tr w:rsidR="00253CEA" w:rsidRPr="00CD5C43" w14:paraId="5929A755" w14:textId="77777777">
        <w:tc>
          <w:tcPr>
            <w:tcW w:w="9634" w:type="dxa"/>
            <w:tcBorders>
              <w:top w:val="nil"/>
              <w:left w:val="single" w:sz="4" w:space="0" w:color="auto"/>
              <w:bottom w:val="nil"/>
              <w:right w:val="single" w:sz="4" w:space="0" w:color="auto"/>
            </w:tcBorders>
            <w:vAlign w:val="center"/>
          </w:tcPr>
          <w:p w14:paraId="24407DDF" w14:textId="47E67C13" w:rsidR="00253CEA" w:rsidRPr="00330A7C" w:rsidRDefault="00253CEA" w:rsidP="00253CEA">
            <w:pPr>
              <w:pStyle w:val="Textkrper"/>
              <w:numPr>
                <w:ilvl w:val="0"/>
                <w:numId w:val="4"/>
              </w:numPr>
              <w:ind w:left="458"/>
              <w:rPr>
                <w:lang w:val="fr-CH"/>
              </w:rPr>
            </w:pPr>
            <w:proofErr w:type="gramStart"/>
            <w:r w:rsidRPr="00330A7C">
              <w:rPr>
                <w:lang w:val="fr-CH"/>
              </w:rPr>
              <w:t>encourage</w:t>
            </w:r>
            <w:proofErr w:type="gramEnd"/>
            <w:r w:rsidRPr="00330A7C">
              <w:rPr>
                <w:lang w:val="fr-CH"/>
              </w:rPr>
              <w:t xml:space="preserve"> les apprenants à développer des stratégies d</w:t>
            </w:r>
            <w:r w:rsidR="00C63760" w:rsidRPr="00330A7C">
              <w:rPr>
                <w:lang w:val="fr-CH"/>
              </w:rPr>
              <w:t>’</w:t>
            </w:r>
            <w:r w:rsidRPr="00330A7C">
              <w:rPr>
                <w:lang w:val="fr-CH"/>
              </w:rPr>
              <w:t>autorégulation (p. ex.</w:t>
            </w:r>
            <w:r w:rsidR="00FA5CE3" w:rsidRPr="00330A7C">
              <w:rPr>
                <w:lang w:val="fr-CH"/>
              </w:rPr>
              <w:t>,</w:t>
            </w:r>
            <w:r w:rsidR="001F04CF" w:rsidRPr="00330A7C">
              <w:rPr>
                <w:lang w:val="fr-CH"/>
              </w:rPr>
              <w:t xml:space="preserve"> </w:t>
            </w:r>
            <w:r w:rsidRPr="00330A7C">
              <w:rPr>
                <w:lang w:val="fr-CH"/>
              </w:rPr>
              <w:t>planification, checklist</w:t>
            </w:r>
            <w:r w:rsidR="00FA5CE3" w:rsidRPr="00330A7C">
              <w:rPr>
                <w:lang w:val="fr-CH"/>
              </w:rPr>
              <w:t>,</w:t>
            </w:r>
            <w:r w:rsidRPr="00330A7C">
              <w:rPr>
                <w:lang w:val="fr-CH"/>
              </w:rPr>
              <w:t xml:space="preserve"> etc.) pour accomplir les tâches pédagogiques (G6 ; </w:t>
            </w:r>
            <w:r w:rsidR="00EA5D95" w:rsidRPr="00330A7C">
              <w:rPr>
                <w:lang w:val="fr-CH"/>
              </w:rPr>
              <w:t>G</w:t>
            </w:r>
            <w:r w:rsidRPr="00330A7C">
              <w:rPr>
                <w:lang w:val="fr-CH"/>
              </w:rPr>
              <w:t>9</w:t>
            </w:r>
            <w:r w:rsidR="00066580" w:rsidRPr="00330A7C">
              <w:rPr>
                <w:lang w:val="fr-CH"/>
              </w:rPr>
              <w:t> </w:t>
            </w:r>
            <w:r w:rsidRPr="00330A7C">
              <w:rPr>
                <w:lang w:val="fr-CH"/>
              </w:rPr>
              <w:t>; C6.2, 9.2).</w:t>
            </w:r>
          </w:p>
        </w:tc>
      </w:tr>
      <w:tr w:rsidR="00253CEA" w:rsidRPr="00CD5C43" w14:paraId="1AA0028E" w14:textId="77777777">
        <w:tc>
          <w:tcPr>
            <w:tcW w:w="9634" w:type="dxa"/>
            <w:tcBorders>
              <w:top w:val="nil"/>
              <w:left w:val="single" w:sz="4" w:space="0" w:color="auto"/>
              <w:bottom w:val="nil"/>
              <w:right w:val="single" w:sz="4" w:space="0" w:color="auto"/>
            </w:tcBorders>
            <w:vAlign w:val="center"/>
          </w:tcPr>
          <w:p w14:paraId="2E05411F" w14:textId="77777777" w:rsidR="00253CEA" w:rsidRPr="00330A7C" w:rsidRDefault="00253CEA" w:rsidP="00253CEA">
            <w:pPr>
              <w:pStyle w:val="Textkrper"/>
              <w:numPr>
                <w:ilvl w:val="0"/>
                <w:numId w:val="4"/>
              </w:numPr>
              <w:ind w:left="458"/>
              <w:jc w:val="left"/>
              <w:rPr>
                <w:lang w:val="fr-CH"/>
              </w:rPr>
            </w:pPr>
            <w:proofErr w:type="gramStart"/>
            <w:r w:rsidRPr="00330A7C">
              <w:rPr>
                <w:lang w:val="fr-CH"/>
              </w:rPr>
              <w:t>encourage</w:t>
            </w:r>
            <w:proofErr w:type="gramEnd"/>
            <w:r w:rsidRPr="00330A7C">
              <w:rPr>
                <w:lang w:val="fr-CH"/>
              </w:rPr>
              <w:t xml:space="preserve"> la collaboration et la communication entre les apprenants en leur donnant le choix de la modalité (G8 ; C8.3).</w:t>
            </w:r>
          </w:p>
        </w:tc>
      </w:tr>
      <w:tr w:rsidR="00253CEA" w:rsidRPr="00CD5C43" w14:paraId="07E4C293" w14:textId="77777777">
        <w:tc>
          <w:tcPr>
            <w:tcW w:w="9634" w:type="dxa"/>
            <w:tcBorders>
              <w:top w:val="nil"/>
              <w:left w:val="single" w:sz="4" w:space="0" w:color="auto"/>
              <w:bottom w:val="nil"/>
              <w:right w:val="single" w:sz="4" w:space="0" w:color="auto"/>
            </w:tcBorders>
            <w:vAlign w:val="center"/>
          </w:tcPr>
          <w:p w14:paraId="078EAF39" w14:textId="77777777" w:rsidR="00253CEA" w:rsidRPr="00330A7C" w:rsidRDefault="00253CEA" w:rsidP="00253CEA">
            <w:pPr>
              <w:pStyle w:val="Textkrper"/>
              <w:numPr>
                <w:ilvl w:val="0"/>
                <w:numId w:val="4"/>
              </w:numPr>
              <w:ind w:left="458"/>
              <w:jc w:val="left"/>
              <w:rPr>
                <w:lang w:val="fr-CH"/>
              </w:rPr>
            </w:pPr>
            <w:proofErr w:type="gramStart"/>
            <w:r w:rsidRPr="00330A7C">
              <w:rPr>
                <w:lang w:val="fr-CH"/>
              </w:rPr>
              <w:t>propose</w:t>
            </w:r>
            <w:proofErr w:type="gramEnd"/>
            <w:r w:rsidRPr="00330A7C">
              <w:rPr>
                <w:lang w:val="fr-CH"/>
              </w:rPr>
              <w:t xml:space="preserve"> plusieurs niveaux de défi (G8 ; C8.2).</w:t>
            </w:r>
          </w:p>
        </w:tc>
      </w:tr>
      <w:tr w:rsidR="00253CEA" w:rsidRPr="00CD5C43" w14:paraId="745AD518" w14:textId="77777777">
        <w:tc>
          <w:tcPr>
            <w:tcW w:w="9634" w:type="dxa"/>
            <w:tcBorders>
              <w:top w:val="nil"/>
              <w:left w:val="single" w:sz="4" w:space="0" w:color="auto"/>
              <w:bottom w:val="nil"/>
              <w:right w:val="single" w:sz="4" w:space="0" w:color="auto"/>
            </w:tcBorders>
            <w:vAlign w:val="center"/>
          </w:tcPr>
          <w:p w14:paraId="6E0942F6" w14:textId="13BBB417" w:rsidR="00253CEA" w:rsidRPr="00330A7C" w:rsidRDefault="00253CEA" w:rsidP="00253CEA">
            <w:pPr>
              <w:pStyle w:val="Textkrper"/>
              <w:numPr>
                <w:ilvl w:val="0"/>
                <w:numId w:val="4"/>
              </w:numPr>
              <w:ind w:left="458"/>
              <w:jc w:val="left"/>
              <w:rPr>
                <w:lang w:val="fr-CH"/>
              </w:rPr>
            </w:pPr>
            <w:proofErr w:type="gramStart"/>
            <w:r w:rsidRPr="00330A7C">
              <w:rPr>
                <w:lang w:val="fr-CH"/>
              </w:rPr>
              <w:t>encourage</w:t>
            </w:r>
            <w:proofErr w:type="gramEnd"/>
            <w:r w:rsidRPr="00330A7C">
              <w:rPr>
                <w:lang w:val="fr-CH"/>
              </w:rPr>
              <w:t xml:space="preserve"> la réflexion et l</w:t>
            </w:r>
            <w:r w:rsidR="00C63760" w:rsidRPr="00330A7C">
              <w:rPr>
                <w:lang w:val="fr-CH"/>
              </w:rPr>
              <w:t>’</w:t>
            </w:r>
            <w:r w:rsidRPr="00330A7C">
              <w:rPr>
                <w:lang w:val="fr-CH"/>
              </w:rPr>
              <w:t>auto-évaluation (G9 ; C9.3).</w:t>
            </w:r>
          </w:p>
        </w:tc>
      </w:tr>
      <w:tr w:rsidR="00253CEA" w:rsidRPr="00CD5C43" w14:paraId="3B2EB1EF" w14:textId="77777777">
        <w:tc>
          <w:tcPr>
            <w:tcW w:w="9634" w:type="dxa"/>
            <w:tcBorders>
              <w:top w:val="nil"/>
              <w:left w:val="single" w:sz="4" w:space="0" w:color="auto"/>
              <w:bottom w:val="nil"/>
              <w:right w:val="single" w:sz="4" w:space="0" w:color="auto"/>
            </w:tcBorders>
            <w:vAlign w:val="center"/>
          </w:tcPr>
          <w:p w14:paraId="5BADF221" w14:textId="7032CFD3" w:rsidR="00253CEA" w:rsidRPr="00330A7C" w:rsidRDefault="00253CEA" w:rsidP="00253CEA">
            <w:pPr>
              <w:pStyle w:val="Textkrper"/>
              <w:numPr>
                <w:ilvl w:val="0"/>
                <w:numId w:val="4"/>
              </w:numPr>
              <w:ind w:left="458"/>
              <w:jc w:val="left"/>
              <w:rPr>
                <w:lang w:val="fr-CH"/>
              </w:rPr>
            </w:pPr>
            <w:proofErr w:type="gramStart"/>
            <w:r w:rsidRPr="00330A7C">
              <w:rPr>
                <w:lang w:val="fr-CH"/>
              </w:rPr>
              <w:t>propose</w:t>
            </w:r>
            <w:proofErr w:type="gramEnd"/>
            <w:r w:rsidRPr="00330A7C">
              <w:rPr>
                <w:lang w:val="fr-CH"/>
              </w:rPr>
              <w:t xml:space="preserve"> des évaluations formatives pour le suivi des progrès qui permettent de vérifier l</w:t>
            </w:r>
            <w:r w:rsidR="00C63760" w:rsidRPr="00330A7C">
              <w:rPr>
                <w:lang w:val="fr-CH"/>
              </w:rPr>
              <w:t>’</w:t>
            </w:r>
            <w:r w:rsidRPr="00330A7C">
              <w:rPr>
                <w:lang w:val="fr-CH"/>
              </w:rPr>
              <w:t xml:space="preserve">acquisition des contenus d’apprentissages (G6 ; </w:t>
            </w:r>
            <w:r w:rsidR="00EA5D95" w:rsidRPr="00330A7C">
              <w:rPr>
                <w:lang w:val="fr-CH"/>
              </w:rPr>
              <w:t>G</w:t>
            </w:r>
            <w:r w:rsidRPr="00330A7C">
              <w:rPr>
                <w:lang w:val="fr-CH"/>
              </w:rPr>
              <w:t>9</w:t>
            </w:r>
            <w:r w:rsidR="00066580" w:rsidRPr="00330A7C">
              <w:rPr>
                <w:lang w:val="fr-CH"/>
              </w:rPr>
              <w:t> </w:t>
            </w:r>
            <w:r w:rsidRPr="00330A7C">
              <w:rPr>
                <w:lang w:val="fr-CH"/>
              </w:rPr>
              <w:t>; C6.3, C6.4, C9.3).</w:t>
            </w:r>
          </w:p>
        </w:tc>
      </w:tr>
      <w:tr w:rsidR="00253CEA" w:rsidRPr="00CD5C43" w14:paraId="309D5204" w14:textId="77777777">
        <w:tc>
          <w:tcPr>
            <w:tcW w:w="9634" w:type="dxa"/>
            <w:tcBorders>
              <w:top w:val="nil"/>
              <w:left w:val="single" w:sz="4" w:space="0" w:color="auto"/>
              <w:bottom w:val="single" w:sz="4" w:space="0" w:color="auto"/>
              <w:right w:val="single" w:sz="4" w:space="0" w:color="auto"/>
            </w:tcBorders>
            <w:vAlign w:val="center"/>
          </w:tcPr>
          <w:p w14:paraId="096CDE6B" w14:textId="77777777" w:rsidR="00253CEA" w:rsidRPr="00330A7C" w:rsidRDefault="00253CEA" w:rsidP="00253CEA">
            <w:pPr>
              <w:pStyle w:val="Textkrper"/>
              <w:numPr>
                <w:ilvl w:val="0"/>
                <w:numId w:val="4"/>
              </w:numPr>
              <w:ind w:left="458"/>
              <w:jc w:val="left"/>
              <w:rPr>
                <w:lang w:val="fr-CH"/>
              </w:rPr>
            </w:pPr>
            <w:proofErr w:type="gramStart"/>
            <w:r w:rsidRPr="00330A7C">
              <w:rPr>
                <w:lang w:val="fr-CH"/>
              </w:rPr>
              <w:t>propose</w:t>
            </w:r>
            <w:proofErr w:type="gramEnd"/>
            <w:r w:rsidRPr="00330A7C">
              <w:rPr>
                <w:lang w:val="fr-CH"/>
              </w:rPr>
              <w:t xml:space="preserve"> une conclusion qui reprend les idées principales et les objectifs pédagogiques (G8 ; C8.1, C8.4).</w:t>
            </w:r>
          </w:p>
        </w:tc>
      </w:tr>
    </w:tbl>
    <w:p w14:paraId="1E601E33" w14:textId="77777777" w:rsidR="00253CEA" w:rsidRPr="00330A7C" w:rsidRDefault="00253CEA" w:rsidP="00965763">
      <w:pPr>
        <w:pStyle w:val="NotizTabelle"/>
        <w:rPr>
          <w:lang w:val="fr-CH"/>
        </w:rPr>
      </w:pPr>
      <w:r w:rsidRPr="00330A7C">
        <w:rPr>
          <w:lang w:val="fr-CH"/>
        </w:rPr>
        <w:t>Note : « G » = ligne directrice de la CUA ; « C » = point de contrôle de la CUA. Utilisé avec la permission de RASE, Sage publications Inc.</w:t>
      </w:r>
    </w:p>
    <w:p w14:paraId="68734D96" w14:textId="77777777" w:rsidR="00253CEA" w:rsidRPr="00330A7C" w:rsidRDefault="00253CEA" w:rsidP="00253CEA">
      <w:pPr>
        <w:pStyle w:val="berschrift1"/>
        <w:rPr>
          <w:lang w:val="fr-CH"/>
        </w:rPr>
      </w:pPr>
      <w:r w:rsidRPr="00330A7C">
        <w:rPr>
          <w:lang w:val="fr-CH"/>
        </w:rPr>
        <w:t>Conclusion</w:t>
      </w:r>
    </w:p>
    <w:p w14:paraId="2A746323" w14:textId="20F6E547" w:rsidR="00253CEA" w:rsidRPr="00330A7C" w:rsidRDefault="00253CEA" w:rsidP="00060F2E">
      <w:pPr>
        <w:pStyle w:val="Textkrper"/>
        <w:rPr>
          <w:lang w:val="fr-CH"/>
        </w:rPr>
      </w:pPr>
      <w:r w:rsidRPr="00330A7C">
        <w:rPr>
          <w:lang w:val="fr-CH"/>
        </w:rPr>
        <w:t>Comme l’indiquent plusieurs méta-analyses, les pratiques pédagogiques basées sur la CUA favorisent l</w:t>
      </w:r>
      <w:r w:rsidR="00C63760" w:rsidRPr="00330A7C">
        <w:rPr>
          <w:lang w:val="fr-CH"/>
        </w:rPr>
        <w:t>’</w:t>
      </w:r>
      <w:r w:rsidRPr="00330A7C">
        <w:rPr>
          <w:lang w:val="fr-CH"/>
        </w:rPr>
        <w:t>accès au programme d</w:t>
      </w:r>
      <w:r w:rsidR="00C63760" w:rsidRPr="00330A7C">
        <w:rPr>
          <w:lang w:val="fr-CH"/>
        </w:rPr>
        <w:t>’</w:t>
      </w:r>
      <w:r w:rsidRPr="00330A7C">
        <w:rPr>
          <w:lang w:val="fr-CH"/>
        </w:rPr>
        <w:t>enseignement général, procurent engagement et motivation chez les élèves et le corps enseignant et ont des effets positifs sur les performances scolaires (Capp, 2017 ; King-Sears et al., 2023</w:t>
      </w:r>
      <w:r w:rsidR="00066580" w:rsidRPr="00330A7C">
        <w:rPr>
          <w:lang w:val="fr-CH"/>
        </w:rPr>
        <w:t> </w:t>
      </w:r>
      <w:r w:rsidRPr="00330A7C">
        <w:rPr>
          <w:lang w:val="fr-CH"/>
        </w:rPr>
        <w:t xml:space="preserve">; Ok et al., 2017). Les résultats concernant les élèves bénéficiant d’un soutien éducatif sont plus nuancés. Certaines études indiquent des effets positifs (King-Sears et al., 2023 ; Ok et al., 2017), d’autres des </w:t>
      </w:r>
      <w:r w:rsidRPr="00330A7C">
        <w:rPr>
          <w:color w:val="000000" w:themeColor="text1"/>
          <w:lang w:val="fr-CH"/>
        </w:rPr>
        <w:t>effets plus modérés dus aux conditions d</w:t>
      </w:r>
      <w:r w:rsidR="00C63760" w:rsidRPr="00330A7C">
        <w:rPr>
          <w:color w:val="000000" w:themeColor="text1"/>
          <w:lang w:val="fr-CH"/>
        </w:rPr>
        <w:t>’</w:t>
      </w:r>
      <w:r w:rsidRPr="00330A7C">
        <w:rPr>
          <w:color w:val="000000" w:themeColor="text1"/>
          <w:lang w:val="fr-CH"/>
        </w:rPr>
        <w:t xml:space="preserve">application des critères de </w:t>
      </w:r>
      <w:r w:rsidRPr="00330A7C">
        <w:rPr>
          <w:color w:val="000000" w:themeColor="text1"/>
          <w:lang w:val="fr-CH"/>
        </w:rPr>
        <w:lastRenderedPageBreak/>
        <w:t>l</w:t>
      </w:r>
      <w:r w:rsidR="00C63760" w:rsidRPr="00330A7C">
        <w:rPr>
          <w:color w:val="000000" w:themeColor="text1"/>
          <w:lang w:val="fr-CH"/>
        </w:rPr>
        <w:t>’</w:t>
      </w:r>
      <w:r w:rsidRPr="00330A7C">
        <w:rPr>
          <w:color w:val="000000" w:themeColor="text1"/>
          <w:lang w:val="fr-CH"/>
        </w:rPr>
        <w:t xml:space="preserve">UDL et à l’expérience du corps enseignant dans l’application des principes de l’UDL </w:t>
      </w:r>
      <w:r w:rsidRPr="00330A7C">
        <w:rPr>
          <w:lang w:val="fr-CH"/>
        </w:rPr>
        <w:t xml:space="preserve">(Ok et al., 2017). L’adaptation et la planification des programmes selon les principes de la CUA sont des pratiques exigeantes en termes de compétences, d’expérience et de collaboration (Zhang et al., 2022). Diffuser des outils d’observation comme l’UDL-OMT peut contribuer à une meilleure compréhension du cadre conceptuel de la CUA et, ainsi, entrainer une amélioration des pratiques pédagogiques inclusives.  </w:t>
      </w:r>
    </w:p>
    <w:p w14:paraId="4E0C01EB" w14:textId="4024730C" w:rsidR="00253CEA" w:rsidRPr="00330A7C" w:rsidRDefault="00253CEA" w:rsidP="00060F2E">
      <w:pPr>
        <w:pStyle w:val="Textkrper"/>
        <w:rPr>
          <w:lang w:val="fr-CH"/>
        </w:rPr>
      </w:pPr>
      <w:r w:rsidRPr="00330A7C">
        <w:rPr>
          <w:lang w:val="fr-CH"/>
        </w:rPr>
        <w:t>Les résultats de la validation seront disponibles dans le courant</w:t>
      </w:r>
      <w:r w:rsidR="00F20355" w:rsidRPr="00330A7C">
        <w:rPr>
          <w:lang w:val="fr-CH"/>
        </w:rPr>
        <w:t> </w:t>
      </w:r>
      <w:r w:rsidRPr="00330A7C">
        <w:rPr>
          <w:lang w:val="fr-CH"/>
        </w:rPr>
        <w:t>2025. Les modalités de diffusion doivent être encore définies. Pour toutes informations complémentaires, veuillez prendre contact avec les autrices de cet article.</w:t>
      </w:r>
    </w:p>
    <w:p w14:paraId="33DF42F3" w14:textId="77777777" w:rsidR="006E260B" w:rsidRPr="00330A7C" w:rsidRDefault="00037AE3" w:rsidP="00855097">
      <w:pPr>
        <w:pStyle w:val="berschrift1"/>
        <w:rPr>
          <w:lang w:val="fr-CH"/>
        </w:rPr>
      </w:pPr>
      <w:r w:rsidRPr="00330A7C">
        <w:rPr>
          <w:lang w:val="fr-CH"/>
        </w:rPr>
        <w:t>Autrices et auteurs</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4F2D13" w:rsidRPr="00330A7C" w14:paraId="07F77660" w14:textId="77777777" w:rsidTr="004F2D13">
        <w:tc>
          <w:tcPr>
            <w:tcW w:w="2500" w:type="pct"/>
            <w:vAlign w:val="center"/>
          </w:tcPr>
          <w:p w14:paraId="17182804" w14:textId="775FE29F" w:rsidR="004F2D13" w:rsidRPr="00330A7C" w:rsidRDefault="004F2D13" w:rsidP="007842F1">
            <w:pPr>
              <w:pStyle w:val="Textkrper3"/>
              <w:rPr>
                <w:lang w:val="fr-CH"/>
              </w:rPr>
            </w:pPr>
            <w:r w:rsidRPr="00330A7C">
              <w:rPr>
                <w:noProof/>
                <w:lang w:val="fr-CH"/>
              </w:rPr>
              <w:drawing>
                <wp:inline distT="0" distB="0" distL="0" distR="0" wp14:anchorId="5FD38052" wp14:editId="22F30F73">
                  <wp:extent cx="1080000" cy="1080000"/>
                  <wp:effectExtent l="0" t="0" r="6350" b="6350"/>
                  <wp:docPr id="829686927"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86927" name="Grafik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500" w:type="pct"/>
            <w:vAlign w:val="center"/>
          </w:tcPr>
          <w:p w14:paraId="14C3DCB9" w14:textId="1566781C" w:rsidR="004F2D13" w:rsidRPr="00330A7C" w:rsidRDefault="004F2D13" w:rsidP="007842F1">
            <w:pPr>
              <w:pStyle w:val="Textkrper3"/>
              <w:rPr>
                <w:noProof/>
                <w:lang w:val="fr-CH"/>
              </w:rPr>
            </w:pPr>
            <w:r w:rsidRPr="00330A7C">
              <w:rPr>
                <w:noProof/>
                <w:lang w:val="fr-CH"/>
              </w:rPr>
              <w:drawing>
                <wp:inline distT="0" distB="0" distL="0" distR="0" wp14:anchorId="7F6AE69B" wp14:editId="511F3CBF">
                  <wp:extent cx="1080000" cy="1080000"/>
                  <wp:effectExtent l="0" t="0" r="6350" b="6350"/>
                  <wp:docPr id="196350760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07607" name="Grafik 2">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4F2D13" w:rsidRPr="00EE2D26" w14:paraId="23D66DF4" w14:textId="77777777" w:rsidTr="004F2D13">
        <w:trPr>
          <w:trHeight w:val="960"/>
        </w:trPr>
        <w:tc>
          <w:tcPr>
            <w:tcW w:w="2500" w:type="pct"/>
          </w:tcPr>
          <w:p w14:paraId="3B84E956" w14:textId="32AECF8D" w:rsidR="004F2D13" w:rsidRPr="00330A7C" w:rsidRDefault="004F2D13" w:rsidP="00430993">
            <w:pPr>
              <w:pStyle w:val="Textkrper3"/>
              <w:rPr>
                <w:lang w:val="it-CH"/>
              </w:rPr>
            </w:pPr>
            <w:r w:rsidRPr="00330A7C">
              <w:rPr>
                <w:lang w:val="it-CH"/>
              </w:rPr>
              <w:t>Laura</w:t>
            </w:r>
            <w:r w:rsidR="007B4E91" w:rsidRPr="00330A7C">
              <w:rPr>
                <w:lang w:val="it-CH"/>
              </w:rPr>
              <w:t> </w:t>
            </w:r>
            <w:r w:rsidRPr="00330A7C">
              <w:rPr>
                <w:lang w:val="it-CH"/>
              </w:rPr>
              <w:t>Rusconi</w:t>
            </w:r>
            <w:r w:rsidRPr="00330A7C">
              <w:rPr>
                <w:lang w:val="it-CH"/>
              </w:rPr>
              <w:br/>
            </w:r>
            <w:proofErr w:type="spellStart"/>
            <w:r w:rsidRPr="00330A7C">
              <w:rPr>
                <w:lang w:val="it-CH"/>
              </w:rPr>
              <w:t>Lectrice</w:t>
            </w:r>
            <w:proofErr w:type="spellEnd"/>
          </w:p>
          <w:p w14:paraId="78560B9B" w14:textId="10683D08" w:rsidR="004F2D13" w:rsidRPr="00330A7C" w:rsidRDefault="004F2D13" w:rsidP="00430993">
            <w:pPr>
              <w:pStyle w:val="Textkrper3"/>
              <w:rPr>
                <w:color w:val="000000" w:themeColor="text1"/>
                <w:lang w:val="it-CH"/>
              </w:rPr>
            </w:pPr>
            <w:r w:rsidRPr="00330A7C">
              <w:rPr>
                <w:lang w:val="it-CH"/>
              </w:rPr>
              <w:t>DFA-ASP, SUPSI</w:t>
            </w:r>
            <w:r w:rsidRPr="00330A7C">
              <w:rPr>
                <w:lang w:val="it-CH"/>
              </w:rPr>
              <w:br/>
              <w:t xml:space="preserve">Locarno </w:t>
            </w:r>
            <w:r w:rsidRPr="00330A7C">
              <w:rPr>
                <w:lang w:val="it-CH"/>
              </w:rPr>
              <w:br/>
            </w:r>
            <w:hyperlink r:id="rId20" w:history="1">
              <w:r w:rsidR="00E751B6" w:rsidRPr="00330A7C">
                <w:rPr>
                  <w:rStyle w:val="Hyperlink"/>
                  <w:lang w:val="it-CH"/>
                </w:rPr>
                <w:t>laura.rusconi@supsi.ch</w:t>
              </w:r>
            </w:hyperlink>
            <w:r w:rsidR="00430993" w:rsidRPr="00330A7C">
              <w:rPr>
                <w:rStyle w:val="Hyperlink"/>
                <w:bCs w:val="0"/>
                <w:iCs w:val="0"/>
                <w:color w:val="auto"/>
                <w:lang w:val="it-CH"/>
              </w:rPr>
              <w:t xml:space="preserve">  </w:t>
            </w:r>
          </w:p>
        </w:tc>
        <w:tc>
          <w:tcPr>
            <w:tcW w:w="2500" w:type="pct"/>
          </w:tcPr>
          <w:p w14:paraId="62E6E4B0" w14:textId="4BFBDEC1" w:rsidR="004F2D13" w:rsidRPr="00330A7C" w:rsidRDefault="004F2D13" w:rsidP="00430993">
            <w:pPr>
              <w:pStyle w:val="Textkrper3"/>
              <w:rPr>
                <w:lang w:val="it-CH"/>
              </w:rPr>
            </w:pPr>
            <w:r w:rsidRPr="00330A7C">
              <w:rPr>
                <w:lang w:val="it-CH"/>
              </w:rPr>
              <w:t>Daniela</w:t>
            </w:r>
            <w:r w:rsidR="007B4E91" w:rsidRPr="00330A7C">
              <w:rPr>
                <w:lang w:val="it-CH"/>
              </w:rPr>
              <w:t> </w:t>
            </w:r>
            <w:proofErr w:type="spellStart"/>
            <w:r w:rsidRPr="00330A7C">
              <w:rPr>
                <w:lang w:val="it-CH"/>
              </w:rPr>
              <w:t>Gäng</w:t>
            </w:r>
            <w:proofErr w:type="spellEnd"/>
            <w:r w:rsidRPr="00330A7C">
              <w:rPr>
                <w:lang w:val="it-CH"/>
              </w:rPr>
              <w:t>-Pacifico</w:t>
            </w:r>
            <w:r w:rsidRPr="00330A7C">
              <w:rPr>
                <w:lang w:val="it-CH"/>
              </w:rPr>
              <w:br/>
            </w:r>
            <w:proofErr w:type="spellStart"/>
            <w:r w:rsidRPr="00330A7C">
              <w:rPr>
                <w:lang w:val="it-CH"/>
              </w:rPr>
              <w:t>Lectrice</w:t>
            </w:r>
            <w:proofErr w:type="spellEnd"/>
            <w:r w:rsidRPr="00330A7C">
              <w:rPr>
                <w:lang w:val="it-CH"/>
              </w:rPr>
              <w:br/>
              <w:t xml:space="preserve">DPS, UNIFR </w:t>
            </w:r>
          </w:p>
          <w:p w14:paraId="53E78CBB" w14:textId="12FF74B4" w:rsidR="004F2D13" w:rsidRPr="00330A7C" w:rsidRDefault="004F2D13" w:rsidP="00430993">
            <w:pPr>
              <w:pStyle w:val="Textkrper3"/>
              <w:rPr>
                <w:lang w:val="it-CH"/>
              </w:rPr>
            </w:pPr>
            <w:r w:rsidRPr="00330A7C">
              <w:rPr>
                <w:lang w:val="it-CH"/>
              </w:rPr>
              <w:t>Fribourg</w:t>
            </w:r>
            <w:r w:rsidRPr="00330A7C">
              <w:rPr>
                <w:lang w:val="it-CH"/>
              </w:rPr>
              <w:br/>
            </w:r>
            <w:hyperlink r:id="rId21" w:history="1">
              <w:r w:rsidRPr="00330A7C">
                <w:rPr>
                  <w:rStyle w:val="Hyperlink"/>
                  <w:lang w:val="it-CH"/>
                </w:rPr>
                <w:t>daniela.gaeng-pacifico@unifr.ch</w:t>
              </w:r>
            </w:hyperlink>
            <w:r w:rsidR="00430993" w:rsidRPr="00330A7C">
              <w:rPr>
                <w:rStyle w:val="Hyperlink"/>
                <w:bCs w:val="0"/>
                <w:iCs w:val="0"/>
                <w:color w:val="auto"/>
                <w:lang w:val="it-CH"/>
              </w:rPr>
              <w:t xml:space="preserve"> </w:t>
            </w:r>
          </w:p>
        </w:tc>
      </w:tr>
    </w:tbl>
    <w:p w14:paraId="13D78C07" w14:textId="77777777" w:rsidR="00870508" w:rsidRPr="00330A7C" w:rsidRDefault="00870508" w:rsidP="00855097">
      <w:pPr>
        <w:pStyle w:val="berschrift1"/>
        <w:rPr>
          <w:lang w:val="fr-CH"/>
        </w:rPr>
      </w:pPr>
      <w:r w:rsidRPr="00330A7C">
        <w:rPr>
          <w:lang w:val="fr-CH"/>
        </w:rPr>
        <w:t>Références</w:t>
      </w:r>
    </w:p>
    <w:p w14:paraId="444ECE87" w14:textId="77777777" w:rsidR="00253CEA" w:rsidRPr="00033609" w:rsidRDefault="00253CEA" w:rsidP="00430993">
      <w:pPr>
        <w:pStyle w:val="Literaturverzeichnis"/>
        <w:jc w:val="both"/>
        <w:rPr>
          <w:rFonts w:cs="Open Sans SemiCondensed"/>
          <w:lang w:val="en-GB"/>
        </w:rPr>
      </w:pPr>
      <w:proofErr w:type="spellStart"/>
      <w:r w:rsidRPr="005E2E07">
        <w:rPr>
          <w:rFonts w:cs="Open Sans SemiCondensed"/>
          <w:lang w:val="en-US"/>
        </w:rPr>
        <w:t>Ballangrud</w:t>
      </w:r>
      <w:proofErr w:type="spellEnd"/>
      <w:r w:rsidRPr="005E2E07">
        <w:rPr>
          <w:rFonts w:cs="Open Sans SemiCondensed"/>
          <w:lang w:val="en-US"/>
        </w:rPr>
        <w:t xml:space="preserve">, R., Husebø, S. E., &amp; Hall-Lord, M. L. (2017). </w:t>
      </w:r>
      <w:r w:rsidRPr="00330A7C">
        <w:rPr>
          <w:rFonts w:cs="Open Sans SemiCondensed"/>
          <w:lang w:val="en-US"/>
        </w:rPr>
        <w:t xml:space="preserve">Cross-cultural validation and psychometric testing of the Norwegian version of the </w:t>
      </w:r>
      <w:proofErr w:type="spellStart"/>
      <w:r w:rsidRPr="00330A7C">
        <w:rPr>
          <w:rFonts w:cs="Open Sans SemiCondensed"/>
          <w:lang w:val="en-US"/>
        </w:rPr>
        <w:t>TeamSTEPPS</w:t>
      </w:r>
      <w:proofErr w:type="spellEnd"/>
      <w:r w:rsidRPr="00330A7C">
        <w:rPr>
          <w:rFonts w:cs="Open Sans SemiCondensed"/>
          <w:vertAlign w:val="superscript"/>
          <w:lang w:val="en-US"/>
        </w:rPr>
        <w:t xml:space="preserve">® </w:t>
      </w:r>
      <w:r w:rsidRPr="00330A7C">
        <w:rPr>
          <w:rFonts w:cs="Open Sans SemiCondensed"/>
          <w:lang w:val="en-US"/>
        </w:rPr>
        <w:t>teamwork perceptions questionnaire.</w:t>
      </w:r>
      <w:r w:rsidRPr="00330A7C">
        <w:rPr>
          <w:rFonts w:cs="Open Sans SemiCondensed"/>
          <w:i/>
          <w:iCs/>
          <w:lang w:val="en-US"/>
        </w:rPr>
        <w:t xml:space="preserve"> </w:t>
      </w:r>
      <w:r w:rsidRPr="00033609">
        <w:rPr>
          <w:rFonts w:cs="Open Sans SemiCondensed"/>
          <w:i/>
          <w:iCs/>
          <w:lang w:val="en-GB"/>
        </w:rPr>
        <w:t>BMC Health Services Research</w:t>
      </w:r>
      <w:r w:rsidRPr="00033609">
        <w:rPr>
          <w:rFonts w:cs="Open Sans SemiCondensed"/>
          <w:lang w:val="en-GB"/>
        </w:rPr>
        <w:t xml:space="preserve">, </w:t>
      </w:r>
      <w:r w:rsidRPr="00033609">
        <w:rPr>
          <w:rFonts w:cs="Open Sans SemiCondensed"/>
          <w:i/>
          <w:iCs/>
          <w:lang w:val="en-GB"/>
        </w:rPr>
        <w:t>17</w:t>
      </w:r>
      <w:r w:rsidRPr="00033609">
        <w:rPr>
          <w:rFonts w:cs="Open Sans SemiCondensed"/>
          <w:lang w:val="en-GB"/>
        </w:rPr>
        <w:t xml:space="preserve">(1), 799. </w:t>
      </w:r>
      <w:hyperlink r:id="rId22" w:history="1">
        <w:r w:rsidRPr="00033609">
          <w:rPr>
            <w:rStyle w:val="Hyperlink"/>
            <w:rFonts w:cs="Open Sans SemiCondensed"/>
            <w:lang w:val="en-GB"/>
          </w:rPr>
          <w:t>https://doi.org/10.1186/s12913-017-2733-y</w:t>
        </w:r>
      </w:hyperlink>
      <w:r w:rsidRPr="00033609">
        <w:rPr>
          <w:rFonts w:cs="Open Sans SemiCondensed"/>
          <w:lang w:val="en-GB"/>
        </w:rPr>
        <w:t xml:space="preserve"> </w:t>
      </w:r>
    </w:p>
    <w:p w14:paraId="1E55E44A"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Basham, J. D., Gardner, J. E., &amp; Smith, S. J. (2020a). Measuring the Implementation of UDL in Classrooms and Schools: Initial Field Test Results. </w:t>
      </w:r>
      <w:r w:rsidRPr="00033609">
        <w:rPr>
          <w:rFonts w:cs="Open Sans SemiCondensed"/>
          <w:lang w:val="en-GB"/>
        </w:rPr>
        <w:t xml:space="preserve">Remedial and Special Education, </w:t>
      </w:r>
      <w:r w:rsidRPr="00033609">
        <w:rPr>
          <w:rFonts w:cs="Open Sans SemiCondensed"/>
          <w:i/>
          <w:iCs/>
          <w:lang w:val="en-GB"/>
        </w:rPr>
        <w:t>41</w:t>
      </w:r>
      <w:r w:rsidRPr="00033609">
        <w:rPr>
          <w:rFonts w:cs="Open Sans SemiCondensed"/>
          <w:lang w:val="en-GB"/>
        </w:rPr>
        <w:t xml:space="preserve">(4), 231-243. </w:t>
      </w:r>
      <w:hyperlink r:id="rId23" w:history="1">
        <w:r w:rsidRPr="00033609">
          <w:rPr>
            <w:rStyle w:val="Hyperlink"/>
            <w:rFonts w:cs="Open Sans SemiCondensed"/>
            <w:lang w:val="en-GB"/>
          </w:rPr>
          <w:t>https://doi.org/10.1177/0741932520908015</w:t>
        </w:r>
      </w:hyperlink>
      <w:r w:rsidRPr="00033609">
        <w:rPr>
          <w:rFonts w:cs="Open Sans SemiCondensed"/>
          <w:lang w:val="en-GB"/>
        </w:rPr>
        <w:t xml:space="preserve"> </w:t>
      </w:r>
    </w:p>
    <w:p w14:paraId="6023BD27" w14:textId="2BF24D55" w:rsidR="00253CEA" w:rsidRPr="00330A7C" w:rsidRDefault="00253CEA" w:rsidP="00430993">
      <w:pPr>
        <w:pStyle w:val="Literaturverzeichnis"/>
        <w:jc w:val="both"/>
        <w:rPr>
          <w:rFonts w:cs="Open Sans SemiCondensed"/>
          <w:lang w:val="en-US"/>
        </w:rPr>
      </w:pPr>
      <w:r w:rsidRPr="00033609">
        <w:rPr>
          <w:rFonts w:cs="Open Sans SemiCondensed"/>
          <w:lang w:val="en-GB"/>
        </w:rPr>
        <w:t xml:space="preserve">Basham, J. D., Gardner, J. E., &amp; Smith, S. J. (2020b). </w:t>
      </w:r>
      <w:r w:rsidRPr="00330A7C">
        <w:rPr>
          <w:rFonts w:cs="Open Sans SemiCondensed"/>
          <w:i/>
          <w:iCs/>
          <w:lang w:val="en-US"/>
        </w:rPr>
        <w:t>Universal Design for Learning Observation Measurement Tool (UDL-OMT): Version</w:t>
      </w:r>
      <w:r w:rsidR="00F20355" w:rsidRPr="00330A7C">
        <w:rPr>
          <w:rFonts w:cs="Open Sans SemiCondensed"/>
          <w:i/>
          <w:iCs/>
          <w:lang w:val="en-US"/>
        </w:rPr>
        <w:t> </w:t>
      </w:r>
      <w:r w:rsidRPr="00330A7C">
        <w:rPr>
          <w:rFonts w:cs="Open Sans SemiCondensed"/>
          <w:i/>
          <w:iCs/>
          <w:lang w:val="en-US"/>
        </w:rPr>
        <w:t>1.0 (3/09/2020).</w:t>
      </w:r>
    </w:p>
    <w:p w14:paraId="2F75B83A" w14:textId="0C865F08" w:rsidR="00E70471" w:rsidRPr="00330A7C" w:rsidRDefault="00253CEA" w:rsidP="00E70471">
      <w:pPr>
        <w:pStyle w:val="Literaturverzeichnis"/>
        <w:jc w:val="both"/>
        <w:rPr>
          <w:rStyle w:val="Hyperlink"/>
          <w:lang w:val="en-US"/>
        </w:rPr>
      </w:pPr>
      <w:r w:rsidRPr="00330A7C">
        <w:rPr>
          <w:rFonts w:cs="Open Sans SemiCondensed"/>
          <w:lang w:val="de-DE"/>
        </w:rPr>
        <w:t xml:space="preserve">Basham, J. D., &amp; Gardner, J. E. (2010). </w:t>
      </w:r>
      <w:r w:rsidRPr="00330A7C">
        <w:rPr>
          <w:rFonts w:cs="Open Sans SemiCondensed"/>
          <w:lang w:val="en-US"/>
        </w:rPr>
        <w:t xml:space="preserve">Measuring universal design for learning. </w:t>
      </w:r>
      <w:r w:rsidRPr="00330A7C">
        <w:rPr>
          <w:rFonts w:cs="Open Sans SemiCondensed"/>
          <w:i/>
          <w:iCs/>
          <w:lang w:val="en-US"/>
        </w:rPr>
        <w:t>Special Education Technology Practice</w:t>
      </w:r>
      <w:r w:rsidRPr="00330A7C">
        <w:rPr>
          <w:rFonts w:cs="Open Sans SemiCondensed"/>
          <w:lang w:val="en-US"/>
        </w:rPr>
        <w:t xml:space="preserve">, </w:t>
      </w:r>
      <w:r w:rsidRPr="00330A7C">
        <w:rPr>
          <w:rFonts w:cs="Open Sans SemiCondensed"/>
          <w:i/>
          <w:iCs/>
          <w:lang w:val="en-US"/>
        </w:rPr>
        <w:t>12</w:t>
      </w:r>
      <w:r w:rsidRPr="00330A7C">
        <w:rPr>
          <w:rFonts w:cs="Open Sans SemiCondensed"/>
          <w:lang w:val="en-US"/>
        </w:rPr>
        <w:t>(2), 15-19.</w:t>
      </w:r>
      <w:r w:rsidR="00EA5D95" w:rsidRPr="00330A7C">
        <w:rPr>
          <w:rFonts w:cs="Open Sans SemiCondensed"/>
          <w:lang w:val="en-US"/>
        </w:rPr>
        <w:t xml:space="preserve"> </w:t>
      </w:r>
      <w:hyperlink r:id="rId24" w:history="1">
        <w:r w:rsidR="00E70471" w:rsidRPr="00330A7C">
          <w:rPr>
            <w:rStyle w:val="Hyperlink"/>
            <w:lang w:val="en-US"/>
          </w:rPr>
          <w:t>https://doi.org/10.1177/0741932520908015</w:t>
        </w:r>
      </w:hyperlink>
    </w:p>
    <w:p w14:paraId="1B65D02C" w14:textId="66654B6C" w:rsidR="00253CEA" w:rsidRPr="00CD5C43" w:rsidRDefault="00253CEA" w:rsidP="00430993">
      <w:pPr>
        <w:pStyle w:val="Literaturverzeichnis"/>
        <w:jc w:val="both"/>
        <w:rPr>
          <w:rFonts w:cs="Open Sans SemiCondensed"/>
          <w:lang w:val="fr-CH"/>
        </w:rPr>
      </w:pPr>
      <w:r w:rsidRPr="00330A7C">
        <w:rPr>
          <w:rFonts w:cs="Open Sans SemiCondensed"/>
          <w:lang w:val="en-US"/>
        </w:rPr>
        <w:t xml:space="preserve">Basham, J. D., Smith, S. J., &amp; Satter, A. L. (2016). Universal Design for Learning. </w:t>
      </w:r>
      <w:r w:rsidRPr="00330A7C">
        <w:rPr>
          <w:rFonts w:cs="Open Sans SemiCondensed"/>
          <w:i/>
          <w:iCs/>
          <w:lang w:val="en-US"/>
        </w:rPr>
        <w:t>Journal of Special Education Technology</w:t>
      </w:r>
      <w:r w:rsidRPr="00330A7C">
        <w:rPr>
          <w:rFonts w:cs="Open Sans SemiCondensed"/>
          <w:lang w:val="en-US"/>
        </w:rPr>
        <w:t xml:space="preserve">, </w:t>
      </w:r>
      <w:r w:rsidRPr="00330A7C">
        <w:rPr>
          <w:rFonts w:cs="Open Sans SemiCondensed"/>
          <w:i/>
          <w:iCs/>
          <w:lang w:val="en-US"/>
        </w:rPr>
        <w:t>31</w:t>
      </w:r>
      <w:r w:rsidRPr="00330A7C">
        <w:rPr>
          <w:rFonts w:cs="Open Sans SemiCondensed"/>
          <w:lang w:val="en-US"/>
        </w:rPr>
        <w:t xml:space="preserve">(3), 147-155. </w:t>
      </w:r>
      <w:hyperlink r:id="rId25" w:history="1">
        <w:r w:rsidRPr="00CD5C43">
          <w:rPr>
            <w:rStyle w:val="Hyperlink"/>
            <w:rFonts w:cs="Open Sans SemiCondensed"/>
            <w:lang w:val="fr-CH"/>
          </w:rPr>
          <w:t>https://doi.org/10.1177/0162643416660836</w:t>
        </w:r>
      </w:hyperlink>
      <w:r w:rsidRPr="00CD5C43">
        <w:rPr>
          <w:rFonts w:cs="Open Sans SemiCondensed"/>
          <w:lang w:val="fr-CH"/>
        </w:rPr>
        <w:t xml:space="preserve"> </w:t>
      </w:r>
    </w:p>
    <w:p w14:paraId="2BEFF6BC" w14:textId="77777777" w:rsidR="00253CEA" w:rsidRPr="00233AAA" w:rsidRDefault="00253CEA" w:rsidP="00430993">
      <w:pPr>
        <w:pStyle w:val="Literaturverzeichnis"/>
        <w:jc w:val="both"/>
        <w:rPr>
          <w:rFonts w:cs="Open Sans SemiCondensed"/>
          <w:lang w:val="en-GB"/>
        </w:rPr>
      </w:pPr>
      <w:r w:rsidRPr="005E2E07">
        <w:rPr>
          <w:rFonts w:cs="Open Sans SemiCondensed"/>
          <w:lang w:val="fr-CH"/>
        </w:rPr>
        <w:t xml:space="preserve">Beaton, D. E., Bombardier, C., Guillemin, F., &amp; </w:t>
      </w:r>
      <w:proofErr w:type="spellStart"/>
      <w:r w:rsidRPr="005E2E07">
        <w:rPr>
          <w:rFonts w:cs="Open Sans SemiCondensed"/>
          <w:lang w:val="fr-CH"/>
        </w:rPr>
        <w:t>Ferraz</w:t>
      </w:r>
      <w:proofErr w:type="spellEnd"/>
      <w:r w:rsidRPr="005E2E07">
        <w:rPr>
          <w:rFonts w:cs="Open Sans SemiCondensed"/>
          <w:lang w:val="fr-CH"/>
        </w:rPr>
        <w:t xml:space="preserve">, M. B. (2007). </w:t>
      </w:r>
      <w:r w:rsidRPr="00330A7C">
        <w:rPr>
          <w:rFonts w:cs="Open Sans SemiCondensed"/>
          <w:i/>
          <w:iCs/>
          <w:lang w:val="en-US"/>
        </w:rPr>
        <w:t xml:space="preserve">Recommendations for the Cross-Cultural Adaptation of </w:t>
      </w:r>
      <w:proofErr w:type="gramStart"/>
      <w:r w:rsidRPr="00330A7C">
        <w:rPr>
          <w:rFonts w:cs="Open Sans SemiCondensed"/>
          <w:i/>
          <w:iCs/>
          <w:lang w:val="en-US"/>
        </w:rPr>
        <w:t>the DASH</w:t>
      </w:r>
      <w:proofErr w:type="gramEnd"/>
      <w:r w:rsidRPr="00330A7C">
        <w:rPr>
          <w:rFonts w:cs="Open Sans SemiCondensed"/>
          <w:i/>
          <w:iCs/>
          <w:lang w:val="en-US"/>
        </w:rPr>
        <w:t xml:space="preserve"> &amp; </w:t>
      </w:r>
      <w:proofErr w:type="spellStart"/>
      <w:r w:rsidRPr="00330A7C">
        <w:rPr>
          <w:rFonts w:cs="Open Sans SemiCondensed"/>
          <w:i/>
          <w:iCs/>
          <w:lang w:val="en-US"/>
        </w:rPr>
        <w:t>QuickDASH</w:t>
      </w:r>
      <w:proofErr w:type="spellEnd"/>
      <w:r w:rsidRPr="00330A7C">
        <w:rPr>
          <w:rFonts w:cs="Open Sans SemiCondensed"/>
          <w:i/>
          <w:iCs/>
          <w:lang w:val="en-US"/>
        </w:rPr>
        <w:t xml:space="preserve"> Outcome Measures</w:t>
      </w:r>
      <w:r w:rsidRPr="00330A7C">
        <w:rPr>
          <w:rFonts w:cs="Open Sans SemiCondensed"/>
          <w:lang w:val="en-US"/>
        </w:rPr>
        <w:t xml:space="preserve">. Institute for Work &amp; Health. </w:t>
      </w:r>
      <w:hyperlink r:id="rId26" w:history="1">
        <w:r w:rsidRPr="007C0A5D">
          <w:rPr>
            <w:rStyle w:val="Hyperlink"/>
            <w:rFonts w:cs="Open Sans SemiCondensed"/>
            <w:lang w:val="en-US"/>
          </w:rPr>
          <w:t>https://dash.iwh.on.ca/sites/dash/files/downloads/cross_cultural_adaptation_2007.pdf</w:t>
        </w:r>
      </w:hyperlink>
      <w:r w:rsidRPr="007C0A5D">
        <w:rPr>
          <w:rFonts w:cs="Open Sans SemiCondensed"/>
          <w:lang w:val="en-US"/>
        </w:rPr>
        <w:t xml:space="preserve"> </w:t>
      </w:r>
    </w:p>
    <w:p w14:paraId="2FD96077"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Brillante, P., &amp; Nemeth, K. (2018). </w:t>
      </w:r>
      <w:r w:rsidRPr="00330A7C">
        <w:rPr>
          <w:rFonts w:cs="Open Sans SemiCondensed"/>
          <w:i/>
          <w:iCs/>
          <w:lang w:val="en-US"/>
        </w:rPr>
        <w:t>Universal Design for Learning in the Early Childhood Classroom: Teaching Children of All Languages, Cultures, and Abilities, Birth—8 Years.</w:t>
      </w:r>
      <w:r w:rsidRPr="00330A7C">
        <w:rPr>
          <w:rFonts w:cs="Open Sans SemiCondensed"/>
          <w:lang w:val="en-US"/>
        </w:rPr>
        <w:t xml:space="preserve"> </w:t>
      </w:r>
      <w:r w:rsidRPr="00033609">
        <w:rPr>
          <w:rFonts w:cs="Open Sans SemiCondensed"/>
          <w:lang w:val="en-GB"/>
        </w:rPr>
        <w:t xml:space="preserve">Routledge. </w:t>
      </w:r>
      <w:hyperlink r:id="rId27" w:history="1">
        <w:r w:rsidRPr="00033609">
          <w:rPr>
            <w:rStyle w:val="Hyperlink"/>
            <w:rFonts w:cs="Open Sans SemiCondensed"/>
            <w:lang w:val="en-GB"/>
          </w:rPr>
          <w:t>https://doi.org/10.4324/9781315622736</w:t>
        </w:r>
      </w:hyperlink>
      <w:r w:rsidRPr="00033609">
        <w:rPr>
          <w:rFonts w:cs="Open Sans SemiCondensed"/>
          <w:lang w:val="en-GB"/>
        </w:rPr>
        <w:t xml:space="preserve"> </w:t>
      </w:r>
    </w:p>
    <w:p w14:paraId="41568AB9"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Capp, M. J. (2017). The effectiveness of universal design for learning: a meta-analysis of literature between 2013 and 2016.</w:t>
      </w:r>
      <w:r w:rsidRPr="00330A7C">
        <w:rPr>
          <w:rFonts w:cs="Open Sans SemiCondensed"/>
          <w:i/>
          <w:iCs/>
          <w:lang w:val="en-US"/>
        </w:rPr>
        <w:t xml:space="preserve"> </w:t>
      </w:r>
      <w:r w:rsidRPr="00033609">
        <w:rPr>
          <w:rFonts w:cs="Open Sans SemiCondensed"/>
          <w:i/>
          <w:iCs/>
          <w:lang w:val="en-GB"/>
        </w:rPr>
        <w:t>International Journal of Inclusive Education</w:t>
      </w:r>
      <w:r w:rsidRPr="00033609">
        <w:rPr>
          <w:rFonts w:cs="Open Sans SemiCondensed"/>
          <w:lang w:val="en-GB"/>
        </w:rPr>
        <w:t xml:space="preserve">, </w:t>
      </w:r>
      <w:r w:rsidRPr="00033609">
        <w:rPr>
          <w:rFonts w:cs="Open Sans SemiCondensed"/>
          <w:i/>
          <w:iCs/>
          <w:lang w:val="en-GB"/>
        </w:rPr>
        <w:t>21</w:t>
      </w:r>
      <w:r w:rsidRPr="00033609">
        <w:rPr>
          <w:rFonts w:cs="Open Sans SemiCondensed"/>
          <w:lang w:val="en-GB"/>
        </w:rPr>
        <w:t xml:space="preserve">(8), 791-807. </w:t>
      </w:r>
      <w:hyperlink r:id="rId28" w:history="1">
        <w:r w:rsidRPr="00033609">
          <w:rPr>
            <w:rStyle w:val="Hyperlink"/>
            <w:rFonts w:cs="Open Sans SemiCondensed"/>
            <w:lang w:val="en-GB"/>
          </w:rPr>
          <w:t>https://doi.org/10.1080/13603116.2017.1325074</w:t>
        </w:r>
      </w:hyperlink>
      <w:r w:rsidRPr="00033609">
        <w:rPr>
          <w:rFonts w:cs="Open Sans SemiCondensed"/>
          <w:lang w:val="en-GB"/>
        </w:rPr>
        <w:t xml:space="preserve"> </w:t>
      </w:r>
    </w:p>
    <w:p w14:paraId="3014BEB7" w14:textId="16E9365B" w:rsidR="00253CEA" w:rsidRPr="00330A7C" w:rsidRDefault="00253CEA" w:rsidP="00430993">
      <w:pPr>
        <w:pStyle w:val="Literaturverzeichnis"/>
        <w:jc w:val="both"/>
        <w:rPr>
          <w:rFonts w:cs="Open Sans SemiCondensed"/>
          <w:lang w:val="fr-CH"/>
        </w:rPr>
      </w:pPr>
      <w:r w:rsidRPr="00330A7C">
        <w:rPr>
          <w:rFonts w:cs="Open Sans SemiCondensed"/>
          <w:lang w:val="en-US"/>
        </w:rPr>
        <w:t xml:space="preserve">Center for Applied Special Technology [CAST]. (2011). </w:t>
      </w:r>
      <w:r w:rsidRPr="00330A7C">
        <w:rPr>
          <w:rFonts w:cs="Open Sans SemiCondensed"/>
          <w:i/>
          <w:iCs/>
          <w:lang w:val="en-US"/>
        </w:rPr>
        <w:t>Universal Design for Learning Guidelines: version</w:t>
      </w:r>
      <w:r w:rsidR="00F20355" w:rsidRPr="00330A7C">
        <w:rPr>
          <w:rFonts w:cs="Open Sans SemiCondensed"/>
          <w:i/>
          <w:iCs/>
          <w:lang w:val="en-US"/>
        </w:rPr>
        <w:t> </w:t>
      </w:r>
      <w:r w:rsidRPr="00330A7C">
        <w:rPr>
          <w:rFonts w:cs="Open Sans SemiCondensed"/>
          <w:i/>
          <w:iCs/>
          <w:lang w:val="en-US"/>
        </w:rPr>
        <w:t>2.0</w:t>
      </w:r>
      <w:r w:rsidRPr="00330A7C">
        <w:rPr>
          <w:rFonts w:cs="Open Sans SemiCondensed"/>
          <w:lang w:val="en-US"/>
        </w:rPr>
        <w:t xml:space="preserve">. </w:t>
      </w:r>
      <w:hyperlink r:id="rId29" w:history="1">
        <w:r w:rsidRPr="00330A7C">
          <w:rPr>
            <w:rStyle w:val="Hyperlink"/>
            <w:rFonts w:cs="Open Sans SemiCondensed"/>
            <w:lang w:val="fr-CH"/>
          </w:rPr>
          <w:t>https://udlguidelines.cast.org/more/downloads</w:t>
        </w:r>
      </w:hyperlink>
      <w:r w:rsidRPr="00330A7C">
        <w:rPr>
          <w:rFonts w:cs="Open Sans SemiCondensed"/>
          <w:lang w:val="fr-CH"/>
        </w:rPr>
        <w:t xml:space="preserve"> </w:t>
      </w:r>
    </w:p>
    <w:p w14:paraId="26E52E5A" w14:textId="0BBB5FCF" w:rsidR="00253CEA" w:rsidRPr="00330A7C" w:rsidRDefault="00253CEA" w:rsidP="00430993">
      <w:pPr>
        <w:pStyle w:val="Literaturverzeichnis"/>
        <w:jc w:val="both"/>
        <w:rPr>
          <w:rFonts w:cs="Open Sans SemiCondensed"/>
          <w:lang w:val="fr-CH"/>
        </w:rPr>
      </w:pPr>
      <w:proofErr w:type="spellStart"/>
      <w:r w:rsidRPr="00330A7C">
        <w:rPr>
          <w:rFonts w:cs="Open Sans SemiCondensed"/>
          <w:lang w:val="fr-CH"/>
        </w:rPr>
        <w:lastRenderedPageBreak/>
        <w:t>Chita-Tegmark</w:t>
      </w:r>
      <w:proofErr w:type="spellEnd"/>
      <w:r w:rsidRPr="00330A7C">
        <w:rPr>
          <w:rFonts w:cs="Open Sans SemiCondensed"/>
          <w:lang w:val="fr-CH"/>
        </w:rPr>
        <w:t>, M., Gravel, J. W., Maria</w:t>
      </w:r>
      <w:r w:rsidR="007B4E91" w:rsidRPr="00330A7C">
        <w:rPr>
          <w:rFonts w:cs="Open Sans SemiCondensed"/>
          <w:lang w:val="fr-CH"/>
        </w:rPr>
        <w:t> </w:t>
      </w:r>
      <w:r w:rsidRPr="00330A7C">
        <w:rPr>
          <w:rFonts w:cs="Open Sans SemiCondensed"/>
          <w:lang w:val="fr-CH"/>
        </w:rPr>
        <w:t>De</w:t>
      </w:r>
      <w:r w:rsidR="007B4E91" w:rsidRPr="00330A7C">
        <w:rPr>
          <w:rFonts w:cs="Open Sans SemiCondensed"/>
          <w:lang w:val="fr-CH"/>
        </w:rPr>
        <w:t> </w:t>
      </w:r>
      <w:r w:rsidRPr="00330A7C">
        <w:rPr>
          <w:rFonts w:cs="Open Sans SemiCondensed"/>
          <w:lang w:val="fr-CH"/>
        </w:rPr>
        <w:t xml:space="preserve">Lourdes, B. S., </w:t>
      </w:r>
      <w:proofErr w:type="spellStart"/>
      <w:r w:rsidRPr="00330A7C">
        <w:rPr>
          <w:rFonts w:cs="Open Sans SemiCondensed"/>
          <w:lang w:val="fr-CH"/>
        </w:rPr>
        <w:t>Domings</w:t>
      </w:r>
      <w:proofErr w:type="spellEnd"/>
      <w:r w:rsidRPr="00330A7C">
        <w:rPr>
          <w:rFonts w:cs="Open Sans SemiCondensed"/>
          <w:lang w:val="fr-CH"/>
        </w:rPr>
        <w:t xml:space="preserve">, Y., &amp; Rose, D. H. (2012). </w:t>
      </w:r>
      <w:r w:rsidRPr="00330A7C">
        <w:rPr>
          <w:rFonts w:cs="Open Sans SemiCondensed"/>
          <w:lang w:val="en-US"/>
        </w:rPr>
        <w:t xml:space="preserve">Using </w:t>
      </w:r>
      <w:proofErr w:type="gramStart"/>
      <w:r w:rsidRPr="00330A7C">
        <w:rPr>
          <w:rFonts w:cs="Open Sans SemiCondensed"/>
          <w:lang w:val="en-US"/>
        </w:rPr>
        <w:t>the Universal</w:t>
      </w:r>
      <w:proofErr w:type="gramEnd"/>
      <w:r w:rsidRPr="00330A7C">
        <w:rPr>
          <w:rFonts w:cs="Open Sans SemiCondensed"/>
          <w:lang w:val="en-US"/>
        </w:rPr>
        <w:t xml:space="preserve"> Design for Learning Framework to Support Culturally Diverse Learners. </w:t>
      </w:r>
      <w:r w:rsidRPr="00330A7C">
        <w:rPr>
          <w:rFonts w:cs="Open Sans SemiCondensed"/>
          <w:i/>
          <w:iCs/>
          <w:lang w:val="fr-CH"/>
        </w:rPr>
        <w:t>Journal of Education</w:t>
      </w:r>
      <w:r w:rsidRPr="00330A7C">
        <w:rPr>
          <w:rFonts w:cs="Open Sans SemiCondensed"/>
          <w:lang w:val="fr-CH"/>
        </w:rPr>
        <w:t xml:space="preserve">, </w:t>
      </w:r>
      <w:r w:rsidRPr="00330A7C">
        <w:rPr>
          <w:rFonts w:cs="Open Sans SemiCondensed"/>
          <w:i/>
          <w:iCs/>
          <w:lang w:val="fr-CH"/>
        </w:rPr>
        <w:t>192</w:t>
      </w:r>
      <w:r w:rsidRPr="00330A7C">
        <w:rPr>
          <w:rFonts w:cs="Open Sans SemiCondensed"/>
          <w:lang w:val="fr-CH"/>
        </w:rPr>
        <w:t xml:space="preserve">(1), 17–22. </w:t>
      </w:r>
      <w:hyperlink r:id="rId30" w:history="1">
        <w:r w:rsidRPr="00330A7C">
          <w:rPr>
            <w:rStyle w:val="Hyperlink"/>
            <w:rFonts w:cs="Open Sans SemiCondensed"/>
            <w:lang w:val="fr-CH"/>
          </w:rPr>
          <w:t>https://doi.org/10.1177/002205741219200104</w:t>
        </w:r>
      </w:hyperlink>
      <w:r w:rsidRPr="00330A7C">
        <w:rPr>
          <w:rFonts w:cs="Open Sans SemiCondensed"/>
          <w:lang w:val="fr-CH"/>
        </w:rPr>
        <w:t xml:space="preserve"> </w:t>
      </w:r>
    </w:p>
    <w:p w14:paraId="412FEB31" w14:textId="3E205F2F" w:rsidR="00253CEA" w:rsidRPr="00033609" w:rsidRDefault="00253CEA" w:rsidP="00430993">
      <w:pPr>
        <w:pStyle w:val="Literaturverzeichnis"/>
        <w:jc w:val="both"/>
        <w:rPr>
          <w:rFonts w:cs="Open Sans SemiCondensed"/>
          <w:lang w:val="en-GB"/>
        </w:rPr>
      </w:pPr>
      <w:r w:rsidRPr="00330A7C">
        <w:rPr>
          <w:rFonts w:cs="Open Sans SemiCondensed"/>
          <w:lang w:val="fr-CH"/>
        </w:rPr>
        <w:t xml:space="preserve">Corbière, M., &amp; </w:t>
      </w:r>
      <w:proofErr w:type="spellStart"/>
      <w:r w:rsidRPr="00330A7C">
        <w:rPr>
          <w:rFonts w:cs="Open Sans SemiCondensed"/>
          <w:lang w:val="fr-CH"/>
        </w:rPr>
        <w:t>Fraccaroli</w:t>
      </w:r>
      <w:proofErr w:type="spellEnd"/>
      <w:r w:rsidRPr="00330A7C">
        <w:rPr>
          <w:rFonts w:cs="Open Sans SemiCondensed"/>
          <w:lang w:val="fr-CH"/>
        </w:rPr>
        <w:t>, F. (2020). La conception, la validation, la traduction et l</w:t>
      </w:r>
      <w:r w:rsidR="00C63760" w:rsidRPr="00330A7C">
        <w:rPr>
          <w:rFonts w:cs="Open Sans SemiCondensed"/>
          <w:lang w:val="fr-CH"/>
        </w:rPr>
        <w:t>’</w:t>
      </w:r>
      <w:r w:rsidRPr="00330A7C">
        <w:rPr>
          <w:rFonts w:cs="Open Sans SemiCondensed"/>
          <w:lang w:val="fr-CH"/>
        </w:rPr>
        <w:t>adaptation transculturelle d</w:t>
      </w:r>
      <w:r w:rsidR="00C63760" w:rsidRPr="00330A7C">
        <w:rPr>
          <w:rFonts w:cs="Open Sans SemiCondensed"/>
          <w:lang w:val="fr-CH"/>
        </w:rPr>
        <w:t>’</w:t>
      </w:r>
      <w:r w:rsidRPr="00330A7C">
        <w:rPr>
          <w:rFonts w:cs="Open Sans SemiCondensed"/>
          <w:lang w:val="fr-CH"/>
        </w:rPr>
        <w:t>outils de mesure :</w:t>
      </w:r>
      <w:r w:rsidR="00066580" w:rsidRPr="00330A7C">
        <w:rPr>
          <w:rFonts w:cs="Open Sans SemiCondensed"/>
          <w:lang w:val="fr-CH"/>
        </w:rPr>
        <w:t xml:space="preserve"> </w:t>
      </w:r>
      <w:r w:rsidRPr="00330A7C">
        <w:rPr>
          <w:rFonts w:cs="Open Sans SemiCondensed"/>
          <w:lang w:val="fr-CH"/>
        </w:rPr>
        <w:t>Des exemples en santé mentale et travail. Dans M.</w:t>
      </w:r>
      <w:r w:rsidR="003D4D54" w:rsidRPr="00330A7C">
        <w:rPr>
          <w:rFonts w:cs="Open Sans SemiCondensed"/>
          <w:lang w:val="fr-CH"/>
        </w:rPr>
        <w:t> </w:t>
      </w:r>
      <w:r w:rsidRPr="00330A7C">
        <w:rPr>
          <w:rFonts w:cs="Open Sans SemiCondensed"/>
          <w:lang w:val="fr-CH"/>
        </w:rPr>
        <w:t>Corbière et N.</w:t>
      </w:r>
      <w:r w:rsidR="007B4E91" w:rsidRPr="00330A7C">
        <w:rPr>
          <w:rFonts w:cs="Open Sans SemiCondensed"/>
          <w:lang w:val="fr-CH"/>
        </w:rPr>
        <w:t> </w:t>
      </w:r>
      <w:proofErr w:type="spellStart"/>
      <w:r w:rsidRPr="00330A7C">
        <w:rPr>
          <w:rFonts w:cs="Open Sans SemiCondensed"/>
          <w:lang w:val="fr-CH"/>
        </w:rPr>
        <w:t>Larivière</w:t>
      </w:r>
      <w:proofErr w:type="spellEnd"/>
      <w:r w:rsidRPr="00330A7C">
        <w:rPr>
          <w:rFonts w:cs="Open Sans SemiCondensed"/>
          <w:lang w:val="fr-CH"/>
        </w:rPr>
        <w:t xml:space="preserve"> (</w:t>
      </w:r>
      <w:proofErr w:type="spellStart"/>
      <w:r w:rsidRPr="00330A7C">
        <w:rPr>
          <w:rFonts w:cs="Open Sans SemiCondensed"/>
          <w:lang w:val="fr-CH"/>
        </w:rPr>
        <w:t>Eds</w:t>
      </w:r>
      <w:proofErr w:type="spellEnd"/>
      <w:r w:rsidRPr="00330A7C">
        <w:rPr>
          <w:rFonts w:cs="Open Sans SemiCondensed"/>
          <w:lang w:val="fr-CH"/>
        </w:rPr>
        <w:t xml:space="preserve">.), </w:t>
      </w:r>
      <w:r w:rsidRPr="00330A7C">
        <w:rPr>
          <w:rFonts w:cs="Open Sans SemiCondensed"/>
          <w:i/>
          <w:iCs/>
          <w:lang w:val="fr-CH"/>
        </w:rPr>
        <w:t>Méthodes qualitatives, quantitatives et mixtes :</w:t>
      </w:r>
      <w:r w:rsidR="00066580" w:rsidRPr="00330A7C">
        <w:rPr>
          <w:rFonts w:cs="Open Sans SemiCondensed"/>
          <w:i/>
          <w:iCs/>
          <w:lang w:val="fr-CH"/>
        </w:rPr>
        <w:t xml:space="preserve"> </w:t>
      </w:r>
      <w:r w:rsidRPr="00330A7C">
        <w:rPr>
          <w:rFonts w:cs="Open Sans SemiCondensed"/>
          <w:i/>
          <w:iCs/>
          <w:lang w:val="fr-CH"/>
        </w:rPr>
        <w:t>Dans la recherche en sciences humaines, sociales et de la santé</w:t>
      </w:r>
      <w:r w:rsidRPr="00330A7C">
        <w:rPr>
          <w:rFonts w:cs="Open Sans SemiCondensed"/>
          <w:lang w:val="fr-CH"/>
        </w:rPr>
        <w:t xml:space="preserve"> (2</w:t>
      </w:r>
      <w:r w:rsidRPr="00330A7C">
        <w:rPr>
          <w:rFonts w:cs="Open Sans SemiCondensed"/>
          <w:vertAlign w:val="superscript"/>
          <w:lang w:val="fr-CH"/>
        </w:rPr>
        <w:t>e</w:t>
      </w:r>
      <w:r w:rsidR="00F20355" w:rsidRPr="00330A7C">
        <w:rPr>
          <w:rFonts w:cs="Open Sans SemiCondensed"/>
          <w:lang w:val="fr-CH"/>
        </w:rPr>
        <w:t> </w:t>
      </w:r>
      <w:r w:rsidRPr="00330A7C">
        <w:rPr>
          <w:rFonts w:cs="Open Sans SemiCondensed"/>
          <w:lang w:val="fr-CH"/>
        </w:rPr>
        <w:t xml:space="preserve">éd., pp. 703-752). </w:t>
      </w:r>
      <w:r w:rsidRPr="00033609">
        <w:rPr>
          <w:rFonts w:cs="Open Sans SemiCondensed"/>
          <w:lang w:val="en-GB"/>
        </w:rPr>
        <w:t xml:space="preserve">Presses de </w:t>
      </w:r>
      <w:proofErr w:type="spellStart"/>
      <w:r w:rsidRPr="00033609">
        <w:rPr>
          <w:rFonts w:cs="Open Sans SemiCondensed"/>
          <w:lang w:val="en-GB"/>
        </w:rPr>
        <w:t>l</w:t>
      </w:r>
      <w:r w:rsidR="00C63760" w:rsidRPr="00033609">
        <w:rPr>
          <w:rFonts w:cs="Open Sans SemiCondensed"/>
          <w:lang w:val="en-GB"/>
        </w:rPr>
        <w:t>’</w:t>
      </w:r>
      <w:r w:rsidRPr="00033609">
        <w:rPr>
          <w:rFonts w:cs="Open Sans SemiCondensed"/>
          <w:lang w:val="en-GB"/>
        </w:rPr>
        <w:t>Université</w:t>
      </w:r>
      <w:proofErr w:type="spellEnd"/>
      <w:r w:rsidRPr="00033609">
        <w:rPr>
          <w:rFonts w:cs="Open Sans SemiCondensed"/>
          <w:lang w:val="en-GB"/>
        </w:rPr>
        <w:t xml:space="preserve"> du Québec.</w:t>
      </w:r>
    </w:p>
    <w:p w14:paraId="665E8EFD" w14:textId="77777777" w:rsidR="00253CEA" w:rsidRPr="00033609" w:rsidRDefault="00253CEA" w:rsidP="00430993">
      <w:pPr>
        <w:pStyle w:val="Literaturverzeichnis"/>
        <w:jc w:val="both"/>
        <w:rPr>
          <w:rFonts w:cs="Open Sans SemiCondensed"/>
          <w:lang w:val="en-GB"/>
        </w:rPr>
      </w:pPr>
      <w:proofErr w:type="spellStart"/>
      <w:r w:rsidRPr="00330A7C">
        <w:rPr>
          <w:rFonts w:cs="Open Sans SemiCondensed"/>
          <w:lang w:val="en-US"/>
        </w:rPr>
        <w:t>Edyburn</w:t>
      </w:r>
      <w:proofErr w:type="spellEnd"/>
      <w:r w:rsidRPr="00330A7C">
        <w:rPr>
          <w:rFonts w:cs="Open Sans SemiCondensed"/>
          <w:lang w:val="en-US"/>
        </w:rPr>
        <w:t xml:space="preserve">, D. L. (2010). Would You Recognize Universal Design for Learning if You Saw it? Ten Propositions for New Directions for the Second Decade of UDL. </w:t>
      </w:r>
      <w:r w:rsidRPr="00033609">
        <w:rPr>
          <w:rFonts w:cs="Open Sans SemiCondensed"/>
          <w:i/>
          <w:iCs/>
          <w:lang w:val="en-GB"/>
        </w:rPr>
        <w:t>Learning Disability Quarterly</w:t>
      </w:r>
      <w:r w:rsidRPr="00033609">
        <w:rPr>
          <w:rFonts w:cs="Open Sans SemiCondensed"/>
          <w:lang w:val="en-GB"/>
        </w:rPr>
        <w:t xml:space="preserve">, </w:t>
      </w:r>
      <w:r w:rsidRPr="00033609">
        <w:rPr>
          <w:rFonts w:cs="Open Sans SemiCondensed"/>
          <w:i/>
          <w:iCs/>
          <w:lang w:val="en-GB"/>
        </w:rPr>
        <w:t>33</w:t>
      </w:r>
      <w:r w:rsidRPr="00033609">
        <w:rPr>
          <w:rFonts w:cs="Open Sans SemiCondensed"/>
          <w:lang w:val="en-GB"/>
        </w:rPr>
        <w:t xml:space="preserve">(1), 33–41. </w:t>
      </w:r>
      <w:hyperlink r:id="rId31" w:history="1">
        <w:r w:rsidRPr="00033609">
          <w:rPr>
            <w:rStyle w:val="Hyperlink"/>
            <w:rFonts w:cs="Open Sans SemiCondensed"/>
            <w:lang w:val="en-GB"/>
          </w:rPr>
          <w:t>https://doi.org/10.1177/073194871003300103</w:t>
        </w:r>
      </w:hyperlink>
      <w:r w:rsidRPr="00033609">
        <w:rPr>
          <w:rFonts w:cs="Open Sans SemiCondensed"/>
          <w:lang w:val="en-GB"/>
        </w:rPr>
        <w:t xml:space="preserve"> </w:t>
      </w:r>
    </w:p>
    <w:p w14:paraId="54A07818" w14:textId="7FCE70A9" w:rsidR="00253CEA" w:rsidRPr="00330A7C" w:rsidRDefault="00253CEA" w:rsidP="00430993">
      <w:pPr>
        <w:pStyle w:val="Literaturverzeichnis"/>
        <w:jc w:val="both"/>
        <w:rPr>
          <w:rFonts w:cs="Open Sans SemiCondensed"/>
          <w:lang w:val="en-US"/>
        </w:rPr>
      </w:pPr>
      <w:r w:rsidRPr="00330A7C">
        <w:rPr>
          <w:rFonts w:cs="Open Sans SemiCondensed"/>
          <w:lang w:val="en-US"/>
        </w:rPr>
        <w:t>Florian, L. (2010). The concept of inclusive pedagogy. In F.</w:t>
      </w:r>
      <w:r w:rsidR="007B4E91" w:rsidRPr="00330A7C">
        <w:rPr>
          <w:rFonts w:cs="Open Sans SemiCondensed"/>
          <w:lang w:val="en-US"/>
        </w:rPr>
        <w:t> </w:t>
      </w:r>
      <w:r w:rsidRPr="00330A7C">
        <w:rPr>
          <w:rFonts w:cs="Open Sans SemiCondensed"/>
          <w:lang w:val="en-US"/>
        </w:rPr>
        <w:t>Hallett et G.</w:t>
      </w:r>
      <w:r w:rsidR="007B4E91" w:rsidRPr="00330A7C">
        <w:rPr>
          <w:rFonts w:cs="Open Sans SemiCondensed"/>
          <w:lang w:val="en-US"/>
        </w:rPr>
        <w:t> </w:t>
      </w:r>
      <w:r w:rsidRPr="00330A7C">
        <w:rPr>
          <w:rFonts w:cs="Open Sans SemiCondensed"/>
          <w:lang w:val="en-US"/>
        </w:rPr>
        <w:t xml:space="preserve">Hallett (Eds.), </w:t>
      </w:r>
      <w:r w:rsidRPr="00330A7C">
        <w:rPr>
          <w:rFonts w:cs="Open Sans SemiCondensed"/>
          <w:i/>
          <w:iCs/>
          <w:lang w:val="en-US"/>
        </w:rPr>
        <w:t>Transforming the role of the SENCo: Achieving the national award for SEN Coordination</w:t>
      </w:r>
      <w:r w:rsidRPr="00330A7C">
        <w:rPr>
          <w:rFonts w:cs="Open Sans SemiCondensed"/>
          <w:lang w:val="en-US"/>
        </w:rPr>
        <w:t xml:space="preserve"> (pp. 61-72). Open University Press.</w:t>
      </w:r>
    </w:p>
    <w:p w14:paraId="2B2C180C" w14:textId="508F9C05" w:rsidR="00253CEA" w:rsidRPr="00033609" w:rsidRDefault="00253CEA" w:rsidP="00430993">
      <w:pPr>
        <w:pStyle w:val="Literaturverzeichnis"/>
        <w:jc w:val="both"/>
        <w:rPr>
          <w:rFonts w:cs="Open Sans SemiCondensed"/>
          <w:lang w:val="en-GB"/>
        </w:rPr>
      </w:pPr>
      <w:proofErr w:type="spellStart"/>
      <w:r w:rsidRPr="00330A7C">
        <w:rPr>
          <w:rFonts w:cs="Open Sans SemiCondensed"/>
          <w:lang w:val="en-US"/>
        </w:rPr>
        <w:t>Galkienė</w:t>
      </w:r>
      <w:proofErr w:type="spellEnd"/>
      <w:r w:rsidRPr="00330A7C">
        <w:rPr>
          <w:rFonts w:cs="Open Sans SemiCondensed"/>
          <w:lang w:val="en-US"/>
        </w:rPr>
        <w:t xml:space="preserve">, A., &amp; </w:t>
      </w:r>
      <w:proofErr w:type="spellStart"/>
      <w:r w:rsidRPr="00330A7C">
        <w:rPr>
          <w:rFonts w:cs="Open Sans SemiCondensed"/>
          <w:lang w:val="en-US"/>
        </w:rPr>
        <w:t>Monkevičienė</w:t>
      </w:r>
      <w:proofErr w:type="spellEnd"/>
      <w:r w:rsidRPr="00330A7C">
        <w:rPr>
          <w:rFonts w:cs="Open Sans SemiCondensed"/>
          <w:lang w:val="en-US"/>
        </w:rPr>
        <w:t>, O. (Eds.). (2021</w:t>
      </w:r>
      <w:r w:rsidRPr="00330A7C">
        <w:rPr>
          <w:rFonts w:cs="Open Sans SemiCondensed"/>
          <w:i/>
          <w:iCs/>
          <w:lang w:val="en-US"/>
        </w:rPr>
        <w:t>). Improving Inclusive Education through Universal Design for Learning</w:t>
      </w:r>
      <w:r w:rsidRPr="00330A7C">
        <w:rPr>
          <w:rFonts w:cs="Open Sans SemiCondensed"/>
          <w:lang w:val="en-US"/>
        </w:rPr>
        <w:t xml:space="preserve"> (Vol.</w:t>
      </w:r>
      <w:r w:rsidR="00F20355" w:rsidRPr="00330A7C">
        <w:rPr>
          <w:rFonts w:cs="Open Sans SemiCondensed"/>
          <w:lang w:val="en-US"/>
        </w:rPr>
        <w:t> </w:t>
      </w:r>
      <w:r w:rsidRPr="00330A7C">
        <w:rPr>
          <w:rFonts w:cs="Open Sans SemiCondensed"/>
          <w:lang w:val="en-US"/>
        </w:rPr>
        <w:t xml:space="preserve">5). </w:t>
      </w:r>
      <w:r w:rsidRPr="00033609">
        <w:rPr>
          <w:rFonts w:cs="Open Sans SemiCondensed"/>
          <w:lang w:val="en-GB"/>
        </w:rPr>
        <w:t xml:space="preserve">Springer International Publishing. </w:t>
      </w:r>
      <w:hyperlink r:id="rId32" w:history="1">
        <w:r w:rsidRPr="00033609">
          <w:rPr>
            <w:rStyle w:val="Hyperlink"/>
            <w:rFonts w:cs="Open Sans SemiCondensed"/>
            <w:lang w:val="en-GB"/>
          </w:rPr>
          <w:t>https://doi.org/10.1007/978-3-030-80658-3</w:t>
        </w:r>
      </w:hyperlink>
      <w:r w:rsidRPr="00033609">
        <w:rPr>
          <w:rFonts w:cs="Open Sans SemiCondensed"/>
          <w:lang w:val="en-GB"/>
        </w:rPr>
        <w:t xml:space="preserve"> </w:t>
      </w:r>
    </w:p>
    <w:p w14:paraId="55A34A57" w14:textId="77777777" w:rsidR="00253CEA" w:rsidRPr="00330A7C" w:rsidRDefault="00253CEA" w:rsidP="00430993">
      <w:pPr>
        <w:pStyle w:val="Literaturverzeichnis"/>
        <w:jc w:val="both"/>
        <w:rPr>
          <w:rFonts w:cs="Open Sans SemiCondensed"/>
          <w:lang w:val="en-US"/>
        </w:rPr>
      </w:pPr>
      <w:r w:rsidRPr="00330A7C">
        <w:rPr>
          <w:rFonts w:cs="Open Sans SemiCondensed"/>
          <w:lang w:val="en-US"/>
        </w:rPr>
        <w:t xml:space="preserve">Hallett, F., &amp; Hallett, G. (Eds.). (2010). </w:t>
      </w:r>
      <w:r w:rsidRPr="00330A7C">
        <w:rPr>
          <w:rFonts w:cs="Open Sans SemiCondensed"/>
          <w:i/>
          <w:iCs/>
          <w:lang w:val="en-US"/>
        </w:rPr>
        <w:t>Transforming the role of the SENCo: Achieving the national award for SEN Coordination</w:t>
      </w:r>
      <w:r w:rsidRPr="00330A7C">
        <w:rPr>
          <w:rFonts w:cs="Open Sans SemiCondensed"/>
          <w:lang w:val="en-US"/>
        </w:rPr>
        <w:t xml:space="preserve">. Open University Press. </w:t>
      </w:r>
    </w:p>
    <w:p w14:paraId="7467DE78" w14:textId="4EB4ED94"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International Test Commission [ICT]. (2017). </w:t>
      </w:r>
      <w:r w:rsidRPr="00330A7C">
        <w:rPr>
          <w:rFonts w:cs="Open Sans SemiCondensed"/>
          <w:i/>
          <w:iCs/>
          <w:lang w:val="en-US"/>
        </w:rPr>
        <w:t>ITC Guidelines for Translating and Adapting</w:t>
      </w:r>
      <w:r w:rsidRPr="00330A7C">
        <w:rPr>
          <w:rFonts w:cs="Open Sans SemiCondensed"/>
          <w:lang w:val="en-US"/>
        </w:rPr>
        <w:t xml:space="preserve"> Tests (2</w:t>
      </w:r>
      <w:r w:rsidRPr="00330A7C">
        <w:rPr>
          <w:rFonts w:cs="Open Sans SemiCondensed"/>
          <w:vertAlign w:val="superscript"/>
          <w:lang w:val="en-US"/>
        </w:rPr>
        <w:t>nd</w:t>
      </w:r>
      <w:r w:rsidR="00F20355" w:rsidRPr="00330A7C">
        <w:rPr>
          <w:rFonts w:cs="Open Sans SemiCondensed"/>
          <w:lang w:val="en-US"/>
        </w:rPr>
        <w:t> </w:t>
      </w:r>
      <w:r w:rsidRPr="00330A7C">
        <w:rPr>
          <w:rFonts w:cs="Open Sans SemiCondensed"/>
          <w:lang w:val="en-US"/>
        </w:rPr>
        <w:t xml:space="preserve">ed.). </w:t>
      </w:r>
      <w:hyperlink r:id="rId33" w:history="1">
        <w:r w:rsidRPr="00033609">
          <w:rPr>
            <w:rStyle w:val="Hyperlink"/>
            <w:rFonts w:cs="Open Sans SemiCondensed"/>
            <w:lang w:val="en-GB"/>
          </w:rPr>
          <w:t>https://www.intestcom.org/files/guideline_test_adaptation_2ed.pdf</w:t>
        </w:r>
      </w:hyperlink>
      <w:r w:rsidRPr="00033609">
        <w:rPr>
          <w:rFonts w:cs="Open Sans SemiCondensed"/>
          <w:lang w:val="en-GB"/>
        </w:rPr>
        <w:t xml:space="preserve"> </w:t>
      </w:r>
    </w:p>
    <w:p w14:paraId="4FCE8CE4"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King-Sears, M. E., Stefanidis, A., </w:t>
      </w:r>
      <w:proofErr w:type="spellStart"/>
      <w:r w:rsidRPr="00330A7C">
        <w:rPr>
          <w:rFonts w:cs="Open Sans SemiCondensed"/>
          <w:lang w:val="en-US"/>
        </w:rPr>
        <w:t>Evmenova</w:t>
      </w:r>
      <w:proofErr w:type="spellEnd"/>
      <w:r w:rsidRPr="00330A7C">
        <w:rPr>
          <w:rFonts w:cs="Open Sans SemiCondensed"/>
          <w:lang w:val="en-US"/>
        </w:rPr>
        <w:t xml:space="preserve">, A. S., Rao, K., Mergen, R. L., Owen, L. S., &amp; Strimel, M. M. (2023). Achievement of learners receiving UDL instruction: A meta-analysis. </w:t>
      </w:r>
      <w:r w:rsidRPr="00330A7C">
        <w:rPr>
          <w:rFonts w:cs="Open Sans SemiCondensed"/>
          <w:i/>
          <w:iCs/>
          <w:lang w:val="en-US"/>
        </w:rPr>
        <w:t>Teaching and Teacher Education</w:t>
      </w:r>
      <w:r w:rsidRPr="00330A7C">
        <w:rPr>
          <w:rFonts w:cs="Open Sans SemiCondensed"/>
          <w:lang w:val="en-US"/>
        </w:rPr>
        <w:t xml:space="preserve">, </w:t>
      </w:r>
      <w:r w:rsidRPr="00330A7C">
        <w:rPr>
          <w:rFonts w:cs="Open Sans SemiCondensed"/>
          <w:i/>
          <w:iCs/>
          <w:lang w:val="en-US"/>
        </w:rPr>
        <w:t>122</w:t>
      </w:r>
      <w:r w:rsidRPr="00330A7C">
        <w:rPr>
          <w:rFonts w:cs="Open Sans SemiCondensed"/>
          <w:lang w:val="en-US"/>
        </w:rPr>
        <w:t xml:space="preserve">, Article 103956. </w:t>
      </w:r>
      <w:hyperlink r:id="rId34" w:history="1">
        <w:r w:rsidRPr="00033609">
          <w:rPr>
            <w:rStyle w:val="Hyperlink"/>
            <w:rFonts w:cs="Open Sans SemiCondensed"/>
            <w:lang w:val="en-GB"/>
          </w:rPr>
          <w:t>https://doi.org/10.1016/j.tate.2022.103956</w:t>
        </w:r>
      </w:hyperlink>
      <w:r w:rsidRPr="00033609">
        <w:rPr>
          <w:rFonts w:cs="Open Sans SemiCondensed"/>
          <w:lang w:val="en-GB"/>
        </w:rPr>
        <w:t xml:space="preserve"> </w:t>
      </w:r>
    </w:p>
    <w:p w14:paraId="41FFE4DD" w14:textId="77777777" w:rsidR="00253CEA" w:rsidRPr="00330A7C" w:rsidRDefault="00253CEA" w:rsidP="00430993">
      <w:pPr>
        <w:pStyle w:val="Literaturverzeichnis"/>
        <w:jc w:val="both"/>
        <w:rPr>
          <w:rFonts w:cs="Open Sans SemiCondensed"/>
          <w:lang w:val="en-US"/>
        </w:rPr>
      </w:pPr>
      <w:proofErr w:type="spellStart"/>
      <w:r w:rsidRPr="00330A7C">
        <w:rPr>
          <w:rFonts w:cs="Open Sans SemiCondensed"/>
          <w:lang w:val="en-US"/>
        </w:rPr>
        <w:t>Knarlag</w:t>
      </w:r>
      <w:proofErr w:type="spellEnd"/>
      <w:r w:rsidRPr="00330A7C">
        <w:rPr>
          <w:rFonts w:cs="Open Sans SemiCondensed"/>
          <w:lang w:val="en-US"/>
        </w:rPr>
        <w:t>, K., &amp; Waters, B. (2016). Universal Design for Learning—</w:t>
      </w:r>
      <w:proofErr w:type="spellStart"/>
      <w:r w:rsidRPr="00330A7C">
        <w:rPr>
          <w:rFonts w:cs="Open Sans SemiCondensed"/>
          <w:lang w:val="en-US"/>
        </w:rPr>
        <w:t>Licence</w:t>
      </w:r>
      <w:proofErr w:type="spellEnd"/>
      <w:r w:rsidRPr="00330A7C">
        <w:rPr>
          <w:rFonts w:cs="Open Sans SemiCondensed"/>
          <w:lang w:val="en-US"/>
        </w:rPr>
        <w:t xml:space="preserve"> to Learn (UDLL): A European perspective on UDL. </w:t>
      </w:r>
      <w:r w:rsidRPr="00330A7C">
        <w:rPr>
          <w:rFonts w:cs="Open Sans SemiCondensed"/>
          <w:i/>
          <w:iCs/>
          <w:lang w:val="en-US"/>
        </w:rPr>
        <w:t>The AHEAD Journal</w:t>
      </w:r>
      <w:r w:rsidRPr="00330A7C">
        <w:rPr>
          <w:rFonts w:cs="Open Sans SemiCondensed"/>
          <w:lang w:val="en-US"/>
        </w:rPr>
        <w:t xml:space="preserve">, (4), 46-55. </w:t>
      </w:r>
      <w:hyperlink r:id="rId35" w:history="1">
        <w:r w:rsidRPr="00330A7C">
          <w:rPr>
            <w:rStyle w:val="Hyperlink"/>
            <w:rFonts w:cs="Open Sans SemiCondensed"/>
            <w:lang w:val="en-US"/>
          </w:rPr>
          <w:t>https://www.ahead.ie/journal/Universal-Design-for-Learning-Licence-to-Learn-UDLL-a-European-perspective-on-UDL</w:t>
        </w:r>
      </w:hyperlink>
      <w:r w:rsidRPr="00330A7C">
        <w:rPr>
          <w:rFonts w:cs="Open Sans SemiCondensed"/>
          <w:lang w:val="en-US"/>
        </w:rPr>
        <w:t xml:space="preserve"> </w:t>
      </w:r>
    </w:p>
    <w:p w14:paraId="10FBCA8E" w14:textId="77777777" w:rsidR="00253CEA" w:rsidRPr="00033609" w:rsidRDefault="00253CEA" w:rsidP="00430993">
      <w:pPr>
        <w:pStyle w:val="Literaturverzeichnis"/>
        <w:jc w:val="both"/>
        <w:rPr>
          <w:rFonts w:cs="Open Sans SemiCondensed"/>
          <w:lang w:val="en-GB"/>
        </w:rPr>
      </w:pPr>
      <w:proofErr w:type="spellStart"/>
      <w:r w:rsidRPr="00330A7C">
        <w:rPr>
          <w:rFonts w:cs="Open Sans SemiCondensed"/>
          <w:lang w:val="fr-CH"/>
        </w:rPr>
        <w:t>Kurniawati</w:t>
      </w:r>
      <w:proofErr w:type="spellEnd"/>
      <w:r w:rsidRPr="00330A7C">
        <w:rPr>
          <w:rFonts w:cs="Open Sans SemiCondensed"/>
          <w:lang w:val="fr-CH"/>
        </w:rPr>
        <w:t xml:space="preserve">, F., De Boer, A. A., </w:t>
      </w:r>
      <w:proofErr w:type="spellStart"/>
      <w:r w:rsidRPr="00330A7C">
        <w:rPr>
          <w:rFonts w:cs="Open Sans SemiCondensed"/>
          <w:lang w:val="fr-CH"/>
        </w:rPr>
        <w:t>Minnaert</w:t>
      </w:r>
      <w:proofErr w:type="spellEnd"/>
      <w:r w:rsidRPr="00330A7C">
        <w:rPr>
          <w:rFonts w:cs="Open Sans SemiCondensed"/>
          <w:lang w:val="fr-CH"/>
        </w:rPr>
        <w:t xml:space="preserve">, A., &amp; </w:t>
      </w:r>
      <w:proofErr w:type="spellStart"/>
      <w:r w:rsidRPr="00330A7C">
        <w:rPr>
          <w:rFonts w:cs="Open Sans SemiCondensed"/>
          <w:lang w:val="fr-CH"/>
        </w:rPr>
        <w:t>Mangunsong</w:t>
      </w:r>
      <w:proofErr w:type="spellEnd"/>
      <w:r w:rsidRPr="00330A7C">
        <w:rPr>
          <w:rFonts w:cs="Open Sans SemiCondensed"/>
          <w:lang w:val="fr-CH"/>
        </w:rPr>
        <w:t xml:space="preserve">, F. (2014). </w:t>
      </w:r>
      <w:r w:rsidRPr="00330A7C">
        <w:rPr>
          <w:rFonts w:cs="Open Sans SemiCondensed"/>
          <w:lang w:val="en-US"/>
        </w:rPr>
        <w:t xml:space="preserve">Characteristics of primary teacher training </w:t>
      </w:r>
      <w:proofErr w:type="spellStart"/>
      <w:r w:rsidRPr="00330A7C">
        <w:rPr>
          <w:rFonts w:cs="Open Sans SemiCondensed"/>
          <w:lang w:val="en-US"/>
        </w:rPr>
        <w:t>programmes</w:t>
      </w:r>
      <w:proofErr w:type="spellEnd"/>
      <w:r w:rsidRPr="00330A7C">
        <w:rPr>
          <w:rFonts w:cs="Open Sans SemiCondensed"/>
          <w:lang w:val="en-US"/>
        </w:rPr>
        <w:t xml:space="preserve"> on inclusion: a literature focus. </w:t>
      </w:r>
      <w:r w:rsidRPr="00033609">
        <w:rPr>
          <w:rFonts w:cs="Open Sans SemiCondensed"/>
          <w:i/>
          <w:iCs/>
          <w:lang w:val="en-GB"/>
        </w:rPr>
        <w:t>Educational Research</w:t>
      </w:r>
      <w:r w:rsidRPr="00033609">
        <w:rPr>
          <w:rFonts w:cs="Open Sans SemiCondensed"/>
          <w:lang w:val="en-GB"/>
        </w:rPr>
        <w:t xml:space="preserve">, </w:t>
      </w:r>
      <w:r w:rsidRPr="00033609">
        <w:rPr>
          <w:rFonts w:cs="Open Sans SemiCondensed"/>
          <w:i/>
          <w:iCs/>
          <w:lang w:val="en-GB"/>
        </w:rPr>
        <w:t>56</w:t>
      </w:r>
      <w:r w:rsidRPr="00033609">
        <w:rPr>
          <w:rFonts w:cs="Open Sans SemiCondensed"/>
          <w:lang w:val="en-GB"/>
        </w:rPr>
        <w:t xml:space="preserve">(3), 310-326. </w:t>
      </w:r>
      <w:hyperlink r:id="rId36" w:history="1">
        <w:r w:rsidRPr="00033609">
          <w:rPr>
            <w:rStyle w:val="Hyperlink"/>
            <w:rFonts w:cs="Open Sans SemiCondensed"/>
            <w:lang w:val="en-GB"/>
          </w:rPr>
          <w:t>https://doi.org/10.1080/00131881.2014.934555</w:t>
        </w:r>
      </w:hyperlink>
      <w:r w:rsidRPr="00033609">
        <w:rPr>
          <w:rFonts w:cs="Open Sans SemiCondensed"/>
          <w:lang w:val="en-GB"/>
        </w:rPr>
        <w:t xml:space="preserve"> </w:t>
      </w:r>
    </w:p>
    <w:p w14:paraId="26965C04" w14:textId="77777777" w:rsidR="00253CEA" w:rsidRPr="00033609" w:rsidRDefault="00253CEA" w:rsidP="00430993">
      <w:pPr>
        <w:pStyle w:val="Literaturverzeichnis"/>
        <w:jc w:val="both"/>
        <w:rPr>
          <w:rFonts w:cs="Open Sans SemiCondensed"/>
          <w:lang w:val="en-GB"/>
        </w:rPr>
      </w:pPr>
      <w:proofErr w:type="spellStart"/>
      <w:r w:rsidRPr="00033609">
        <w:rPr>
          <w:rFonts w:cs="Open Sans SemiCondensed"/>
          <w:lang w:val="en-GB"/>
        </w:rPr>
        <w:t>Lakkala</w:t>
      </w:r>
      <w:proofErr w:type="spellEnd"/>
      <w:r w:rsidRPr="00033609">
        <w:rPr>
          <w:rFonts w:cs="Open Sans SemiCondensed"/>
          <w:lang w:val="en-GB"/>
        </w:rPr>
        <w:t>, S., &amp; Kyrö-</w:t>
      </w:r>
      <w:proofErr w:type="spellStart"/>
      <w:r w:rsidRPr="00033609">
        <w:rPr>
          <w:rFonts w:cs="Open Sans SemiCondensed"/>
          <w:lang w:val="en-GB"/>
        </w:rPr>
        <w:t>Ämmälä</w:t>
      </w:r>
      <w:proofErr w:type="spellEnd"/>
      <w:r w:rsidRPr="00033609">
        <w:rPr>
          <w:rFonts w:cs="Open Sans SemiCondensed"/>
          <w:lang w:val="en-GB"/>
        </w:rPr>
        <w:t xml:space="preserve">, O. (2021). </w:t>
      </w:r>
      <w:r w:rsidRPr="00330A7C">
        <w:rPr>
          <w:rFonts w:cs="Open Sans SemiCondensed"/>
          <w:lang w:val="en-US"/>
        </w:rPr>
        <w:t>Teaching for Diversity with UDL: </w:t>
      </w:r>
      <w:proofErr w:type="spellStart"/>
      <w:r w:rsidRPr="00330A7C">
        <w:rPr>
          <w:rFonts w:cs="Open Sans SemiCondensed"/>
          <w:lang w:val="en-US"/>
        </w:rPr>
        <w:t>Analysing</w:t>
      </w:r>
      <w:proofErr w:type="spellEnd"/>
      <w:r w:rsidRPr="00330A7C">
        <w:rPr>
          <w:rFonts w:cs="Open Sans SemiCondensed"/>
          <w:lang w:val="en-US"/>
        </w:rPr>
        <w:t xml:space="preserve"> Teacher Competence. In A. </w:t>
      </w:r>
      <w:proofErr w:type="spellStart"/>
      <w:r w:rsidRPr="00330A7C">
        <w:rPr>
          <w:rFonts w:cs="Open Sans SemiCondensed"/>
          <w:lang w:val="en-US"/>
        </w:rPr>
        <w:t>Galkienė</w:t>
      </w:r>
      <w:proofErr w:type="spellEnd"/>
      <w:r w:rsidRPr="00330A7C">
        <w:rPr>
          <w:rFonts w:cs="Open Sans SemiCondensed"/>
          <w:lang w:val="en-US"/>
        </w:rPr>
        <w:t xml:space="preserve"> &amp; O. </w:t>
      </w:r>
      <w:proofErr w:type="spellStart"/>
      <w:r w:rsidRPr="00330A7C">
        <w:rPr>
          <w:rFonts w:cs="Open Sans SemiCondensed"/>
          <w:lang w:val="en-US"/>
        </w:rPr>
        <w:t>Monkevičienė</w:t>
      </w:r>
      <w:proofErr w:type="spellEnd"/>
      <w:r w:rsidRPr="00330A7C">
        <w:rPr>
          <w:rFonts w:cs="Open Sans SemiCondensed"/>
          <w:lang w:val="en-US"/>
        </w:rPr>
        <w:t xml:space="preserve"> (Eds.),</w:t>
      </w:r>
      <w:r w:rsidRPr="00330A7C">
        <w:rPr>
          <w:rFonts w:cs="Open Sans SemiCondensed"/>
          <w:i/>
          <w:iCs/>
          <w:lang w:val="en-US"/>
        </w:rPr>
        <w:t xml:space="preserve"> Improving Inclusive Education through Universal Design for Learning </w:t>
      </w:r>
      <w:r w:rsidRPr="00330A7C">
        <w:rPr>
          <w:rFonts w:cs="Open Sans SemiCondensed"/>
          <w:lang w:val="en-US"/>
        </w:rPr>
        <w:t xml:space="preserve">(pp. 241-277). </w:t>
      </w:r>
      <w:r w:rsidRPr="00033609">
        <w:rPr>
          <w:rFonts w:cs="Open Sans SemiCondensed"/>
          <w:lang w:val="en-GB"/>
        </w:rPr>
        <w:t>Springer International Publishing.</w:t>
      </w:r>
    </w:p>
    <w:p w14:paraId="7154C24B"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Meyer, A., Rose, D. H., &amp; Gordon, D. T. (2014). </w:t>
      </w:r>
      <w:r w:rsidRPr="00330A7C">
        <w:rPr>
          <w:rFonts w:cs="Open Sans SemiCondensed"/>
          <w:i/>
          <w:iCs/>
          <w:lang w:val="en-US"/>
        </w:rPr>
        <w:t>Universal design for learning: Theory and practice</w:t>
      </w:r>
      <w:r w:rsidRPr="00330A7C">
        <w:rPr>
          <w:rFonts w:cs="Open Sans SemiCondensed"/>
          <w:lang w:val="en-US"/>
        </w:rPr>
        <w:t xml:space="preserve">. </w:t>
      </w:r>
      <w:r w:rsidRPr="00033609">
        <w:rPr>
          <w:rFonts w:cs="Open Sans SemiCondensed"/>
          <w:lang w:val="en-GB"/>
        </w:rPr>
        <w:t xml:space="preserve">CAST Professional Publishing. </w:t>
      </w:r>
    </w:p>
    <w:p w14:paraId="5BAEA3F7" w14:textId="77777777" w:rsidR="00253CEA" w:rsidRPr="00033609" w:rsidRDefault="00253CEA" w:rsidP="00430993">
      <w:pPr>
        <w:pStyle w:val="Literaturverzeichnis"/>
        <w:jc w:val="both"/>
        <w:rPr>
          <w:rFonts w:cs="Open Sans SemiCondensed"/>
          <w:lang w:val="en-GB"/>
        </w:rPr>
      </w:pPr>
      <w:proofErr w:type="spellStart"/>
      <w:r w:rsidRPr="00330A7C">
        <w:rPr>
          <w:rFonts w:cs="Open Sans SemiCondensed"/>
          <w:lang w:val="en-US"/>
        </w:rPr>
        <w:t>Navaitienė</w:t>
      </w:r>
      <w:proofErr w:type="spellEnd"/>
      <w:r w:rsidRPr="00330A7C">
        <w:rPr>
          <w:rFonts w:cs="Open Sans SemiCondensed"/>
          <w:lang w:val="en-US"/>
        </w:rPr>
        <w:t xml:space="preserve">, J., &amp; </w:t>
      </w:r>
      <w:proofErr w:type="spellStart"/>
      <w:r w:rsidRPr="00330A7C">
        <w:rPr>
          <w:rFonts w:cs="Open Sans SemiCondensed"/>
          <w:lang w:val="en-US"/>
        </w:rPr>
        <w:t>Stasiūnaitienė</w:t>
      </w:r>
      <w:proofErr w:type="spellEnd"/>
      <w:r w:rsidRPr="00330A7C">
        <w:rPr>
          <w:rFonts w:cs="Open Sans SemiCondensed"/>
          <w:lang w:val="en-US"/>
        </w:rPr>
        <w:t xml:space="preserve">, E. (2021). The Goal of the Universal Design for Learning: Development of </w:t>
      </w:r>
      <w:proofErr w:type="gramStart"/>
      <w:r w:rsidRPr="00330A7C">
        <w:rPr>
          <w:rFonts w:cs="Open Sans SemiCondensed"/>
          <w:lang w:val="en-US"/>
        </w:rPr>
        <w:t>All to</w:t>
      </w:r>
      <w:proofErr w:type="gramEnd"/>
      <w:r w:rsidRPr="00330A7C">
        <w:rPr>
          <w:rFonts w:cs="Open Sans SemiCondensed"/>
          <w:lang w:val="en-US"/>
        </w:rPr>
        <w:t xml:space="preserve"> Expert Learners. In A. </w:t>
      </w:r>
      <w:proofErr w:type="spellStart"/>
      <w:r w:rsidRPr="00330A7C">
        <w:rPr>
          <w:rFonts w:cs="Open Sans SemiCondensed"/>
          <w:lang w:val="en-US"/>
        </w:rPr>
        <w:t>Galkienė</w:t>
      </w:r>
      <w:proofErr w:type="spellEnd"/>
      <w:r w:rsidRPr="00330A7C">
        <w:rPr>
          <w:rFonts w:cs="Open Sans SemiCondensed"/>
          <w:lang w:val="en-US"/>
        </w:rPr>
        <w:t xml:space="preserve"> &amp; O. </w:t>
      </w:r>
      <w:proofErr w:type="spellStart"/>
      <w:r w:rsidRPr="00330A7C">
        <w:rPr>
          <w:rFonts w:cs="Open Sans SemiCondensed"/>
          <w:lang w:val="en-US"/>
        </w:rPr>
        <w:t>Monkevičienė</w:t>
      </w:r>
      <w:proofErr w:type="spellEnd"/>
      <w:r w:rsidRPr="00330A7C">
        <w:rPr>
          <w:rFonts w:cs="Open Sans SemiCondensed"/>
          <w:lang w:val="en-US"/>
        </w:rPr>
        <w:t xml:space="preserve"> (Eds.), </w:t>
      </w:r>
      <w:r w:rsidRPr="00330A7C">
        <w:rPr>
          <w:rFonts w:cs="Open Sans SemiCondensed"/>
          <w:i/>
          <w:iCs/>
          <w:lang w:val="en-US"/>
        </w:rPr>
        <w:t>Improving Inclusive Education through Universal Design for Learning</w:t>
      </w:r>
      <w:r w:rsidRPr="00330A7C">
        <w:rPr>
          <w:rFonts w:cs="Open Sans SemiCondensed"/>
          <w:lang w:val="en-US"/>
        </w:rPr>
        <w:t xml:space="preserve"> (pp. 23-57). </w:t>
      </w:r>
      <w:r w:rsidRPr="00033609">
        <w:rPr>
          <w:rFonts w:cs="Open Sans SemiCondensed"/>
          <w:lang w:val="en-GB"/>
        </w:rPr>
        <w:t xml:space="preserve">Springer International Publishing. </w:t>
      </w:r>
      <w:hyperlink r:id="rId37" w:history="1">
        <w:r w:rsidRPr="00033609">
          <w:rPr>
            <w:rStyle w:val="Hyperlink"/>
            <w:rFonts w:cs="Open Sans SemiCondensed"/>
            <w:lang w:val="en-GB"/>
          </w:rPr>
          <w:t>https://link.springer.com/chapter/10.1007/978-3-030-80658-3_2</w:t>
        </w:r>
      </w:hyperlink>
      <w:r w:rsidRPr="00033609">
        <w:rPr>
          <w:rFonts w:cs="Open Sans SemiCondensed"/>
          <w:lang w:val="en-GB"/>
        </w:rPr>
        <w:t xml:space="preserve"> </w:t>
      </w:r>
    </w:p>
    <w:p w14:paraId="55D52A26" w14:textId="77777777" w:rsidR="00253CEA" w:rsidRPr="00330A7C" w:rsidRDefault="00253CEA" w:rsidP="00430993">
      <w:pPr>
        <w:pStyle w:val="Literaturverzeichnis"/>
        <w:jc w:val="both"/>
        <w:rPr>
          <w:rFonts w:cs="Open Sans SemiCondensed"/>
          <w:lang w:val="fr-CH"/>
        </w:rPr>
      </w:pPr>
      <w:r w:rsidRPr="00330A7C">
        <w:rPr>
          <w:rFonts w:cs="Open Sans SemiCondensed"/>
          <w:lang w:val="en-US"/>
        </w:rPr>
        <w:t xml:space="preserve">Ok, M. W., Rao, K., Bryant, B. R., &amp; McDougall, D. (2017). Universal Design for Learning in Pre-K to Grade 12 Classrooms: A Systematic Review of Research. </w:t>
      </w:r>
      <w:proofErr w:type="spellStart"/>
      <w:r w:rsidRPr="00330A7C">
        <w:rPr>
          <w:rFonts w:cs="Open Sans SemiCondensed"/>
          <w:i/>
          <w:iCs/>
          <w:lang w:val="fr-CH"/>
        </w:rPr>
        <w:t>Exceptionality</w:t>
      </w:r>
      <w:proofErr w:type="spellEnd"/>
      <w:r w:rsidRPr="00330A7C">
        <w:rPr>
          <w:rFonts w:cs="Open Sans SemiCondensed"/>
          <w:lang w:val="fr-CH"/>
        </w:rPr>
        <w:t xml:space="preserve">, </w:t>
      </w:r>
      <w:r w:rsidRPr="00330A7C">
        <w:rPr>
          <w:rFonts w:cs="Open Sans SemiCondensed"/>
          <w:i/>
          <w:iCs/>
          <w:lang w:val="fr-CH"/>
        </w:rPr>
        <w:t>25</w:t>
      </w:r>
      <w:r w:rsidRPr="00330A7C">
        <w:rPr>
          <w:rFonts w:cs="Open Sans SemiCondensed"/>
          <w:lang w:val="fr-CH"/>
        </w:rPr>
        <w:t xml:space="preserve">(2), 116-138. </w:t>
      </w:r>
      <w:hyperlink r:id="rId38" w:history="1">
        <w:r w:rsidRPr="00330A7C">
          <w:rPr>
            <w:rStyle w:val="Hyperlink"/>
            <w:rFonts w:cs="Open Sans SemiCondensed"/>
            <w:lang w:val="fr-CH"/>
          </w:rPr>
          <w:t>https://doi.org/10.1080/09362835.2016.1196450</w:t>
        </w:r>
      </w:hyperlink>
      <w:r w:rsidRPr="00330A7C">
        <w:rPr>
          <w:rFonts w:cs="Open Sans SemiCondensed"/>
          <w:lang w:val="fr-CH"/>
        </w:rPr>
        <w:t xml:space="preserve"> </w:t>
      </w:r>
    </w:p>
    <w:p w14:paraId="6DBED176" w14:textId="77777777" w:rsidR="00253CEA" w:rsidRPr="00033609" w:rsidRDefault="00253CEA" w:rsidP="00430993">
      <w:pPr>
        <w:pStyle w:val="Literaturverzeichnis"/>
        <w:jc w:val="both"/>
        <w:rPr>
          <w:rFonts w:cs="Open Sans SemiCondensed"/>
          <w:u w:val="single"/>
          <w:lang w:val="it-CH"/>
        </w:rPr>
      </w:pPr>
      <w:r w:rsidRPr="00330A7C">
        <w:rPr>
          <w:rFonts w:cs="Open Sans SemiCondensed"/>
          <w:lang w:val="fr-CH"/>
        </w:rPr>
        <w:t xml:space="preserve">Organisation des Nations Unies [ONU]. (2006). </w:t>
      </w:r>
      <w:r w:rsidRPr="00330A7C">
        <w:rPr>
          <w:rFonts w:cs="Open Sans SemiCondensed"/>
          <w:i/>
          <w:iCs/>
          <w:lang w:val="fr-CH"/>
        </w:rPr>
        <w:t xml:space="preserve">Convention relative aux droits des personnes handicapées (CDPH). </w:t>
      </w:r>
      <w:hyperlink r:id="rId39" w:history="1">
        <w:r w:rsidRPr="00033609">
          <w:rPr>
            <w:rStyle w:val="Hyperlink"/>
            <w:rFonts w:cs="Open Sans SemiCondensed"/>
            <w:lang w:val="it-CH"/>
          </w:rPr>
          <w:t>https://www.un.org/esa/socdev/enable/documents/tccconvf.pdf</w:t>
        </w:r>
      </w:hyperlink>
      <w:r w:rsidRPr="00033609">
        <w:rPr>
          <w:rFonts w:cs="Open Sans SemiCondensed"/>
          <w:u w:val="single"/>
          <w:lang w:val="it-CH"/>
        </w:rPr>
        <w:t xml:space="preserve"> </w:t>
      </w:r>
    </w:p>
    <w:p w14:paraId="4C769E04" w14:textId="77777777" w:rsidR="00253CEA" w:rsidRPr="00033609" w:rsidRDefault="00253CEA" w:rsidP="00430993">
      <w:pPr>
        <w:pStyle w:val="Literaturverzeichnis"/>
        <w:jc w:val="both"/>
        <w:rPr>
          <w:rFonts w:cs="Open Sans SemiCondensed"/>
          <w:lang w:val="en-GB"/>
        </w:rPr>
      </w:pPr>
      <w:r w:rsidRPr="00033609">
        <w:rPr>
          <w:rFonts w:cs="Open Sans SemiCondensed"/>
          <w:lang w:val="it-CH"/>
        </w:rPr>
        <w:t xml:space="preserve">Peña, E. D. (2007). </w:t>
      </w:r>
      <w:r w:rsidRPr="00330A7C">
        <w:rPr>
          <w:rFonts w:cs="Open Sans SemiCondensed"/>
          <w:lang w:val="en-US"/>
        </w:rPr>
        <w:t xml:space="preserve">Lost in Translation: Methodological Considerations in Cross-Cultural Research. </w:t>
      </w:r>
      <w:r w:rsidRPr="00033609">
        <w:rPr>
          <w:rFonts w:cs="Open Sans SemiCondensed"/>
          <w:i/>
          <w:iCs/>
          <w:lang w:val="en-GB"/>
        </w:rPr>
        <w:t>Child Development</w:t>
      </w:r>
      <w:r w:rsidRPr="00033609">
        <w:rPr>
          <w:rFonts w:cs="Open Sans SemiCondensed"/>
          <w:lang w:val="en-GB"/>
        </w:rPr>
        <w:t xml:space="preserve">, </w:t>
      </w:r>
      <w:r w:rsidRPr="00033609">
        <w:rPr>
          <w:rFonts w:cs="Open Sans SemiCondensed"/>
          <w:i/>
          <w:iCs/>
          <w:lang w:val="en-GB"/>
        </w:rPr>
        <w:t>78</w:t>
      </w:r>
      <w:r w:rsidRPr="00033609">
        <w:rPr>
          <w:rFonts w:cs="Open Sans SemiCondensed"/>
          <w:lang w:val="en-GB"/>
        </w:rPr>
        <w:t xml:space="preserve">(4), 1255-1264. </w:t>
      </w:r>
      <w:hyperlink r:id="rId40" w:history="1">
        <w:r w:rsidRPr="00033609">
          <w:rPr>
            <w:rStyle w:val="Hyperlink"/>
            <w:rFonts w:cs="Open Sans SemiCondensed"/>
            <w:lang w:val="en-GB"/>
          </w:rPr>
          <w:t>https://doi.org/10.1111/j.1467-8624.2007.01064.x</w:t>
        </w:r>
      </w:hyperlink>
      <w:r w:rsidRPr="00033609">
        <w:rPr>
          <w:rFonts w:cs="Open Sans SemiCondensed"/>
          <w:lang w:val="en-GB"/>
        </w:rPr>
        <w:t xml:space="preserve"> </w:t>
      </w:r>
    </w:p>
    <w:p w14:paraId="7D98ECEC" w14:textId="77777777" w:rsidR="00253CEA" w:rsidRPr="00330A7C" w:rsidRDefault="00253CEA" w:rsidP="00430993">
      <w:pPr>
        <w:pStyle w:val="Literaturverzeichnis"/>
        <w:jc w:val="both"/>
        <w:rPr>
          <w:rFonts w:cs="Open Sans SemiCondensed"/>
          <w:lang w:val="en-US"/>
        </w:rPr>
      </w:pPr>
      <w:r w:rsidRPr="00330A7C">
        <w:rPr>
          <w:rFonts w:cs="Open Sans SemiCondensed"/>
          <w:lang w:val="en-US"/>
        </w:rPr>
        <w:lastRenderedPageBreak/>
        <w:t xml:space="preserve">Rao, K. (2015). Universal design for learning and multimedia technology: Supporting culturally and linguistically diverse students. </w:t>
      </w:r>
      <w:r w:rsidRPr="00330A7C">
        <w:rPr>
          <w:rFonts w:cs="Open Sans SemiCondensed"/>
          <w:i/>
          <w:iCs/>
          <w:lang w:val="en-US"/>
        </w:rPr>
        <w:t>Journal of Educational Multimedia and Hypermedia</w:t>
      </w:r>
      <w:r w:rsidRPr="00330A7C">
        <w:rPr>
          <w:rFonts w:cs="Open Sans SemiCondensed"/>
          <w:lang w:val="en-US"/>
        </w:rPr>
        <w:t xml:space="preserve">, </w:t>
      </w:r>
      <w:r w:rsidRPr="00330A7C">
        <w:rPr>
          <w:rFonts w:cs="Open Sans SemiCondensed"/>
          <w:i/>
          <w:iCs/>
          <w:lang w:val="en-US"/>
        </w:rPr>
        <w:t>24</w:t>
      </w:r>
      <w:r w:rsidRPr="00330A7C">
        <w:rPr>
          <w:rFonts w:cs="Open Sans SemiCondensed"/>
          <w:lang w:val="en-US"/>
        </w:rPr>
        <w:t xml:space="preserve">(2), 121-137. </w:t>
      </w:r>
      <w:hyperlink r:id="rId41" w:history="1">
        <w:r w:rsidRPr="00330A7C">
          <w:rPr>
            <w:rStyle w:val="Hyperlink"/>
            <w:rFonts w:cs="Open Sans SemiCondensed"/>
            <w:lang w:val="en-US"/>
          </w:rPr>
          <w:t>https://www.learntechlib.org/p/148703/</w:t>
        </w:r>
      </w:hyperlink>
      <w:r w:rsidRPr="00330A7C">
        <w:rPr>
          <w:rFonts w:cs="Open Sans SemiCondensed"/>
          <w:lang w:val="en-US"/>
        </w:rPr>
        <w:t xml:space="preserve"> </w:t>
      </w:r>
    </w:p>
    <w:p w14:paraId="6EC60208"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Rao, K., Ok, M. W., &amp; Bryant, B. R. (2014). A Review of Research on Universal Design Educational Models. </w:t>
      </w:r>
      <w:r w:rsidRPr="00033609">
        <w:rPr>
          <w:rFonts w:cs="Open Sans SemiCondensed"/>
          <w:i/>
          <w:iCs/>
          <w:lang w:val="en-GB"/>
        </w:rPr>
        <w:t>Remedial and Special Education</w:t>
      </w:r>
      <w:r w:rsidRPr="00033609">
        <w:rPr>
          <w:rFonts w:cs="Open Sans SemiCondensed"/>
          <w:lang w:val="en-GB"/>
        </w:rPr>
        <w:t xml:space="preserve">, </w:t>
      </w:r>
      <w:r w:rsidRPr="00033609">
        <w:rPr>
          <w:rFonts w:cs="Open Sans SemiCondensed"/>
          <w:i/>
          <w:iCs/>
          <w:lang w:val="en-GB"/>
        </w:rPr>
        <w:t>35</w:t>
      </w:r>
      <w:r w:rsidRPr="00033609">
        <w:rPr>
          <w:rFonts w:cs="Open Sans SemiCondensed"/>
          <w:lang w:val="en-GB"/>
        </w:rPr>
        <w:t xml:space="preserve">(3), 153-166. </w:t>
      </w:r>
      <w:hyperlink r:id="rId42" w:history="1">
        <w:r w:rsidRPr="00033609">
          <w:rPr>
            <w:rStyle w:val="Hyperlink"/>
            <w:rFonts w:cs="Open Sans SemiCondensed"/>
            <w:lang w:val="en-GB"/>
          </w:rPr>
          <w:t>https://doi.org/10.1177/0741932513518980</w:t>
        </w:r>
      </w:hyperlink>
      <w:r w:rsidRPr="00033609">
        <w:rPr>
          <w:rFonts w:cs="Open Sans SemiCondensed"/>
          <w:lang w:val="en-GB"/>
        </w:rPr>
        <w:t xml:space="preserve"> </w:t>
      </w:r>
    </w:p>
    <w:p w14:paraId="3D48E71D"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Rose, D. H., &amp; Gravel, J. W. (2009). Getting from Here to There: UDL, Global Positioning Systems, and Lessons for Improving. In D. T. Gordon, J. W. Gravel &amp; L. A. Schifter (Eds.), </w:t>
      </w:r>
      <w:r w:rsidRPr="00330A7C">
        <w:rPr>
          <w:rFonts w:cs="Open Sans SemiCondensed"/>
          <w:i/>
          <w:iCs/>
          <w:lang w:val="en-US"/>
        </w:rPr>
        <w:t>A policy reader in universal design for learning</w:t>
      </w:r>
      <w:r w:rsidRPr="00330A7C">
        <w:rPr>
          <w:rFonts w:cs="Open Sans SemiCondensed"/>
          <w:lang w:val="en-US"/>
        </w:rPr>
        <w:t xml:space="preserve"> (pp. 5-18). </w:t>
      </w:r>
      <w:r w:rsidRPr="00033609">
        <w:rPr>
          <w:rFonts w:cs="Open Sans SemiCondensed"/>
          <w:lang w:val="en-GB"/>
        </w:rPr>
        <w:t>Harvard Education Press.</w:t>
      </w:r>
    </w:p>
    <w:p w14:paraId="30D72744" w14:textId="77777777" w:rsidR="00253CEA" w:rsidRPr="00033609" w:rsidRDefault="00253CEA" w:rsidP="00430993">
      <w:pPr>
        <w:pStyle w:val="Literaturverzeichnis"/>
        <w:jc w:val="both"/>
        <w:rPr>
          <w:rFonts w:cs="Open Sans SemiCondensed"/>
          <w:lang w:val="en-GB"/>
        </w:rPr>
      </w:pPr>
      <w:r w:rsidRPr="00330A7C">
        <w:rPr>
          <w:rFonts w:cs="Open Sans SemiCondensed"/>
          <w:lang w:val="en-US"/>
        </w:rPr>
        <w:t xml:space="preserve">Rose, D. H., &amp; Meyer, A. (2002). </w:t>
      </w:r>
      <w:r w:rsidRPr="00330A7C">
        <w:rPr>
          <w:rFonts w:cs="Open Sans SemiCondensed"/>
          <w:i/>
          <w:iCs/>
          <w:lang w:val="en-US"/>
        </w:rPr>
        <w:t>Teaching every student in the digital age: Universal design for learning</w:t>
      </w:r>
      <w:r w:rsidRPr="00330A7C">
        <w:rPr>
          <w:rFonts w:cs="Open Sans SemiCondensed"/>
          <w:lang w:val="en-US"/>
        </w:rPr>
        <w:t xml:space="preserve">. </w:t>
      </w:r>
      <w:r w:rsidRPr="00033609">
        <w:rPr>
          <w:rFonts w:cs="Open Sans SemiCondensed"/>
          <w:lang w:val="en-GB"/>
        </w:rPr>
        <w:t xml:space="preserve">Association for supervision and curriculum development. </w:t>
      </w:r>
    </w:p>
    <w:p w14:paraId="490A2C7A" w14:textId="77777777" w:rsidR="00253CEA" w:rsidRPr="00330A7C" w:rsidRDefault="00253CEA" w:rsidP="00430993">
      <w:pPr>
        <w:pStyle w:val="Literaturverzeichnis"/>
        <w:jc w:val="both"/>
        <w:rPr>
          <w:rFonts w:cs="Open Sans SemiCondensed"/>
          <w:lang w:val="fr-CH"/>
        </w:rPr>
      </w:pPr>
      <w:r w:rsidRPr="00330A7C">
        <w:rPr>
          <w:rFonts w:cs="Open Sans SemiCondensed"/>
          <w:lang w:val="en-US"/>
        </w:rPr>
        <w:t xml:space="preserve">Rusconi, L., &amp; </w:t>
      </w:r>
      <w:proofErr w:type="spellStart"/>
      <w:r w:rsidRPr="00330A7C">
        <w:rPr>
          <w:rFonts w:cs="Open Sans SemiCondensed"/>
          <w:lang w:val="en-US"/>
        </w:rPr>
        <w:t>Squillaci</w:t>
      </w:r>
      <w:proofErr w:type="spellEnd"/>
      <w:r w:rsidRPr="00330A7C">
        <w:rPr>
          <w:rFonts w:cs="Open Sans SemiCondensed"/>
          <w:lang w:val="en-US"/>
        </w:rPr>
        <w:t xml:space="preserve">, M. (2023). Effects of a Universal Design for Learning (UDL) Training Course on the Development Teachers’ Competences: A Systematic Review. </w:t>
      </w:r>
      <w:r w:rsidRPr="00330A7C">
        <w:rPr>
          <w:rFonts w:cs="Open Sans SemiCondensed"/>
          <w:i/>
          <w:iCs/>
          <w:lang w:val="fr-CH"/>
        </w:rPr>
        <w:t>Education Sciences</w:t>
      </w:r>
      <w:r w:rsidRPr="00330A7C">
        <w:rPr>
          <w:rFonts w:cs="Open Sans SemiCondensed"/>
          <w:lang w:val="fr-CH"/>
        </w:rPr>
        <w:t xml:space="preserve">, </w:t>
      </w:r>
      <w:r w:rsidRPr="00330A7C">
        <w:rPr>
          <w:rFonts w:cs="Open Sans SemiCondensed"/>
          <w:i/>
          <w:iCs/>
          <w:lang w:val="fr-CH"/>
        </w:rPr>
        <w:t>13</w:t>
      </w:r>
      <w:r w:rsidRPr="00330A7C">
        <w:rPr>
          <w:rFonts w:cs="Open Sans SemiCondensed"/>
          <w:lang w:val="fr-CH"/>
        </w:rPr>
        <w:t xml:space="preserve">(5), Article 466. </w:t>
      </w:r>
      <w:hyperlink r:id="rId43" w:history="1">
        <w:r w:rsidRPr="00330A7C">
          <w:rPr>
            <w:rStyle w:val="Hyperlink"/>
            <w:rFonts w:cs="Open Sans SemiCondensed"/>
            <w:lang w:val="fr-CH"/>
          </w:rPr>
          <w:t>https://doi.org/10.3390/educsci13050466</w:t>
        </w:r>
      </w:hyperlink>
      <w:r w:rsidRPr="00330A7C">
        <w:rPr>
          <w:rFonts w:cs="Open Sans SemiCondensed"/>
          <w:lang w:val="fr-CH"/>
        </w:rPr>
        <w:t xml:space="preserve"> </w:t>
      </w:r>
    </w:p>
    <w:p w14:paraId="265916D1" w14:textId="56917E2E" w:rsidR="00253CEA" w:rsidRPr="005E2E07" w:rsidRDefault="00253CEA" w:rsidP="00430993">
      <w:pPr>
        <w:pStyle w:val="Literaturverzeichnis"/>
        <w:jc w:val="both"/>
        <w:rPr>
          <w:rFonts w:cs="Open Sans SemiCondensed"/>
          <w:lang w:val="fr-CH"/>
        </w:rPr>
      </w:pPr>
      <w:r w:rsidRPr="00330A7C">
        <w:rPr>
          <w:rFonts w:cs="Open Sans SemiCondensed"/>
          <w:lang w:val="fr-CH"/>
        </w:rPr>
        <w:t xml:space="preserve">Tremblay, P. (2015). Inclusion scolaire et transformation des dispositifs de scolarisation des élèves à besoins spécifiques. </w:t>
      </w:r>
      <w:r w:rsidRPr="00330A7C">
        <w:rPr>
          <w:rFonts w:cs="Open Sans SemiCondensed"/>
          <w:i/>
          <w:iCs/>
          <w:lang w:val="fr-CH"/>
        </w:rPr>
        <w:t>La nouvelle revue de l</w:t>
      </w:r>
      <w:r w:rsidR="00E96721" w:rsidRPr="00330A7C">
        <w:rPr>
          <w:rFonts w:cs="Open Sans SemiCondensed"/>
          <w:i/>
          <w:iCs/>
          <w:lang w:val="fr-CH"/>
        </w:rPr>
        <w:t>’</w:t>
      </w:r>
      <w:r w:rsidRPr="00330A7C">
        <w:rPr>
          <w:rFonts w:cs="Open Sans SemiCondensed"/>
          <w:i/>
          <w:iCs/>
          <w:lang w:val="fr-CH"/>
        </w:rPr>
        <w:t>adaptation et de la scolarisation</w:t>
      </w:r>
      <w:r w:rsidRPr="00330A7C">
        <w:rPr>
          <w:rFonts w:cs="Open Sans SemiCondensed"/>
          <w:lang w:val="fr-CH"/>
        </w:rPr>
        <w:t xml:space="preserve">, </w:t>
      </w:r>
      <w:r w:rsidRPr="00330A7C">
        <w:rPr>
          <w:rFonts w:cs="Open Sans SemiCondensed"/>
          <w:i/>
          <w:iCs/>
          <w:lang w:val="fr-CH"/>
        </w:rPr>
        <w:t>70-71</w:t>
      </w:r>
      <w:r w:rsidRPr="00330A7C">
        <w:rPr>
          <w:rFonts w:cs="Open Sans SemiCondensed"/>
          <w:lang w:val="fr-CH"/>
        </w:rPr>
        <w:t xml:space="preserve">(2), 51-65. </w:t>
      </w:r>
      <w:hyperlink r:id="rId44" w:history="1">
        <w:r w:rsidRPr="00330A7C">
          <w:rPr>
            <w:rStyle w:val="Hyperlink"/>
            <w:rFonts w:cs="Open Sans SemiCondensed"/>
            <w:lang w:val="fr-CH"/>
          </w:rPr>
          <w:t>https://doi.org/10.3917/nras.070.0051</w:t>
        </w:r>
      </w:hyperlink>
      <w:r w:rsidRPr="005E2E07">
        <w:rPr>
          <w:rFonts w:cs="Open Sans SemiCondensed"/>
          <w:lang w:val="fr-CH"/>
        </w:rPr>
        <w:t xml:space="preserve"> </w:t>
      </w:r>
    </w:p>
    <w:p w14:paraId="42CD293E" w14:textId="77777777" w:rsidR="00253CEA" w:rsidRPr="00330A7C" w:rsidRDefault="00253CEA" w:rsidP="00430993">
      <w:pPr>
        <w:pStyle w:val="Literaturverzeichnis"/>
        <w:jc w:val="both"/>
        <w:rPr>
          <w:rFonts w:cs="Open Sans SemiCondensed"/>
          <w:lang w:val="en-US"/>
        </w:rPr>
      </w:pPr>
      <w:r w:rsidRPr="00330A7C">
        <w:rPr>
          <w:rFonts w:cs="Open Sans SemiCondensed"/>
          <w:lang w:val="en-US"/>
        </w:rPr>
        <w:t xml:space="preserve">United Nations Educational, Scientific and Cultural Organization [UNESCO] (1994). </w:t>
      </w:r>
      <w:r w:rsidRPr="00330A7C">
        <w:rPr>
          <w:rFonts w:cs="Open Sans SemiCondensed"/>
          <w:i/>
          <w:iCs/>
          <w:lang w:val="en-US"/>
        </w:rPr>
        <w:t>The Salamanca Statement and Framework for Action on Special Needs Education</w:t>
      </w:r>
      <w:r w:rsidRPr="00330A7C">
        <w:rPr>
          <w:rFonts w:cs="Open Sans SemiCondensed"/>
          <w:lang w:val="en-US"/>
        </w:rPr>
        <w:t>: Access and Quality.</w:t>
      </w:r>
    </w:p>
    <w:p w14:paraId="47252E9B" w14:textId="7A80F264" w:rsidR="00870508" w:rsidRPr="00EA5D95" w:rsidRDefault="00253CEA" w:rsidP="00430993">
      <w:pPr>
        <w:pStyle w:val="Literaturverzeichnis"/>
        <w:jc w:val="both"/>
        <w:rPr>
          <w:rFonts w:cs="Open Sans SemiCondensed"/>
          <w:lang w:val="en-US"/>
        </w:rPr>
      </w:pPr>
      <w:r w:rsidRPr="00330A7C">
        <w:rPr>
          <w:rFonts w:cs="Open Sans SemiCondensed"/>
          <w:lang w:val="en-US"/>
        </w:rPr>
        <w:t>Zhang, L., Basham, J.</w:t>
      </w:r>
      <w:r w:rsidR="007B4E91" w:rsidRPr="00330A7C">
        <w:rPr>
          <w:rFonts w:cs="Open Sans SemiCondensed"/>
          <w:lang w:val="en-US"/>
        </w:rPr>
        <w:t> </w:t>
      </w:r>
      <w:r w:rsidRPr="00330A7C">
        <w:rPr>
          <w:rFonts w:cs="Open Sans SemiCondensed"/>
          <w:lang w:val="en-US"/>
        </w:rPr>
        <w:t xml:space="preserve">D., &amp; Carter, R. A. (2022). Measuring personalized learning through the Lens of UDL: Development and content validation of a student self-report instrument. </w:t>
      </w:r>
      <w:r w:rsidRPr="00330A7C">
        <w:rPr>
          <w:rFonts w:cs="Open Sans SemiCondensed"/>
          <w:i/>
          <w:iCs/>
          <w:lang w:val="en-US"/>
        </w:rPr>
        <w:t>Studies in Educational Evaluation</w:t>
      </w:r>
      <w:r w:rsidRPr="00330A7C">
        <w:rPr>
          <w:rFonts w:cs="Open Sans SemiCondensed"/>
          <w:lang w:val="en-US"/>
        </w:rPr>
        <w:t xml:space="preserve">, </w:t>
      </w:r>
      <w:r w:rsidRPr="00330A7C">
        <w:rPr>
          <w:rFonts w:cs="Open Sans SemiCondensed"/>
          <w:i/>
          <w:iCs/>
          <w:lang w:val="en-US"/>
        </w:rPr>
        <w:t>72</w:t>
      </w:r>
      <w:r w:rsidRPr="00330A7C">
        <w:rPr>
          <w:rFonts w:cs="Open Sans SemiCondensed"/>
          <w:lang w:val="en-US"/>
        </w:rPr>
        <w:t>, Article</w:t>
      </w:r>
      <w:r w:rsidR="00F20355" w:rsidRPr="00330A7C">
        <w:rPr>
          <w:rFonts w:cs="Open Sans SemiCondensed"/>
          <w:lang w:val="en-US"/>
        </w:rPr>
        <w:t> </w:t>
      </w:r>
      <w:r w:rsidRPr="00330A7C">
        <w:rPr>
          <w:rFonts w:cs="Open Sans SemiCondensed"/>
          <w:lang w:val="en-US"/>
        </w:rPr>
        <w:t xml:space="preserve">101121. </w:t>
      </w:r>
      <w:hyperlink r:id="rId45" w:history="1">
        <w:r w:rsidRPr="00330A7C">
          <w:rPr>
            <w:rStyle w:val="Hyperlink"/>
            <w:rFonts w:cs="Open Sans SemiCondensed"/>
            <w:lang w:val="en-US"/>
          </w:rPr>
          <w:t>https://doi.org/10.1016/j.stueduc.2021.101121</w:t>
        </w:r>
      </w:hyperlink>
      <w:r w:rsidRPr="00EA5D95">
        <w:rPr>
          <w:rFonts w:cs="Open Sans SemiCondensed"/>
          <w:lang w:val="en-US"/>
        </w:rPr>
        <w:t xml:space="preserve"> </w:t>
      </w:r>
    </w:p>
    <w:sectPr w:rsidR="00870508" w:rsidRPr="00EA5D95" w:rsidSect="008D5E53">
      <w:headerReference w:type="default" r:id="rId46"/>
      <w:footerReference w:type="default" r:id="rId47"/>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99692" w14:textId="77777777" w:rsidR="0013470F" w:rsidRDefault="0013470F">
      <w:pPr>
        <w:spacing w:line="240" w:lineRule="auto"/>
      </w:pPr>
      <w:r>
        <w:separator/>
      </w:r>
    </w:p>
  </w:endnote>
  <w:endnote w:type="continuationSeparator" w:id="0">
    <w:p w14:paraId="7250F019" w14:textId="77777777" w:rsidR="0013470F" w:rsidRDefault="0013470F">
      <w:pPr>
        <w:spacing w:line="240" w:lineRule="auto"/>
      </w:pPr>
      <w:r>
        <w:continuationSeparator/>
      </w:r>
    </w:p>
  </w:endnote>
  <w:endnote w:type="continuationNotice" w:id="1">
    <w:p w14:paraId="7E691F17" w14:textId="77777777" w:rsidR="0013470F" w:rsidRDefault="001347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3E4252BF-F32D-4532-9144-9CAFDE57A9CF}"/>
    <w:embedBold r:id="rId2" w:fontKey="{95ACCA5E-AA62-4FE8-BACA-5946B77AA628}"/>
    <w:embedItalic r:id="rId3" w:fontKey="{D64746CE-3F6A-48C7-91F7-5EFD0E151EBF}"/>
    <w:embedBoldItalic r:id="rId4" w:fontKey="{A55C9A55-7778-4AC9-9C27-DF1E1F26ABC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5" w:fontKey="{DF4DD47C-4092-4C4A-8242-32687B218B16}"/>
  </w:font>
  <w:font w:name="GillSansMTPr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3863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0242FF0" wp14:editId="274FDA2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FA3AF" w14:textId="77777777" w:rsidR="0013470F" w:rsidRPr="00777A2F" w:rsidRDefault="0013470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ECF636D" w14:textId="77777777" w:rsidR="0013470F" w:rsidRDefault="0013470F">
      <w:r>
        <w:continuationSeparator/>
      </w:r>
    </w:p>
  </w:footnote>
  <w:footnote w:type="continuationNotice" w:id="1">
    <w:p w14:paraId="35FBED13" w14:textId="77777777" w:rsidR="0013470F" w:rsidRDefault="001347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57DCB" w14:textId="69C5D378"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7EFB09C9" wp14:editId="7FB3648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F1B80D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25A6">
      <w:rPr>
        <w:lang w:val="fr-CH"/>
      </w:rPr>
      <w:t>Conception universelle de l’apprentissage (CUA)</w:t>
    </w:r>
    <w:r w:rsidR="007B448B">
      <w:rPr>
        <w:lang w:val="fr-CH"/>
      </w:rPr>
      <w:tab/>
    </w:r>
    <w:r w:rsidR="007B448B">
      <w:rPr>
        <w:lang w:val="fr-CH"/>
      </w:rPr>
      <w:tab/>
    </w:r>
    <w:r w:rsidR="007B448B" w:rsidRPr="00ED473A">
      <w:rPr>
        <w:b w:val="0"/>
        <w:bCs/>
        <w:lang w:val="fr-CH"/>
      </w:rPr>
      <w:t>Revue Suisse de Pédagogie Spécialisée, Vol.</w:t>
    </w:r>
    <w:r w:rsidR="00F20355">
      <w:rPr>
        <w:b w:val="0"/>
        <w:bCs/>
        <w:lang w:val="fr-CH"/>
      </w:rPr>
      <w:t> </w:t>
    </w:r>
    <w:r w:rsidR="00037AE3">
      <w:rPr>
        <w:b w:val="0"/>
        <w:bCs/>
        <w:lang w:val="fr-CH"/>
      </w:rPr>
      <w:t>14</w:t>
    </w:r>
    <w:r w:rsidR="007B448B" w:rsidRPr="00ED473A">
      <w:rPr>
        <w:b w:val="0"/>
        <w:bCs/>
        <w:lang w:val="fr-CH"/>
      </w:rPr>
      <w:t xml:space="preserve">, </w:t>
    </w:r>
    <w:r w:rsidR="00037AE3">
      <w:rPr>
        <w:b w:val="0"/>
        <w:bCs/>
        <w:lang w:val="fr-CH"/>
      </w:rPr>
      <w:t>0</w:t>
    </w:r>
    <w:r w:rsidR="00AD25A6">
      <w:rPr>
        <w:b w:val="0"/>
        <w:bCs/>
        <w:lang w:val="fr-CH"/>
      </w:rPr>
      <w:t>3</w:t>
    </w:r>
    <w:r w:rsidR="007B448B" w:rsidRPr="00ED473A">
      <w:rPr>
        <w:b w:val="0"/>
        <w:bCs/>
        <w:lang w:val="fr-CH"/>
      </w:rPr>
      <w:t>/</w:t>
    </w:r>
    <w:r w:rsidR="00037AE3">
      <w:rPr>
        <w:b w:val="0"/>
        <w:bCs/>
        <w:lang w:val="fr-CH"/>
      </w:rPr>
      <w:t>2024</w:t>
    </w:r>
  </w:p>
  <w:p w14:paraId="0D77A6A5" w14:textId="395B3F1D" w:rsidR="004B3A29" w:rsidRPr="00ED473A" w:rsidRDefault="00B7489C" w:rsidP="007B448B">
    <w:pPr>
      <w:pStyle w:val="Themenschwerpunkt"/>
      <w:rPr>
        <w:b w:val="0"/>
        <w:bCs/>
        <w:lang w:val="fr-CH"/>
      </w:rPr>
    </w:pPr>
    <w:r w:rsidRPr="006555BD">
      <w:rPr>
        <w:b w:val="0"/>
        <w:bCs/>
        <w:lang w:val="fr-CH"/>
      </w:rPr>
      <w:t xml:space="preserve">| </w:t>
    </w:r>
    <w:r w:rsidR="00AD25A6">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1879CE"/>
    <w:multiLevelType w:val="hybridMultilevel"/>
    <w:tmpl w:val="713C8564"/>
    <w:lvl w:ilvl="0" w:tplc="20000001">
      <w:start w:val="1"/>
      <w:numFmt w:val="bullet"/>
      <w:lvlText w:val=""/>
      <w:lvlJc w:val="left"/>
      <w:pPr>
        <w:ind w:left="752" w:hanging="360"/>
      </w:pPr>
      <w:rPr>
        <w:rFonts w:ascii="Symbol" w:hAnsi="Symbol" w:hint="default"/>
      </w:rPr>
    </w:lvl>
    <w:lvl w:ilvl="1" w:tplc="20000003" w:tentative="1">
      <w:start w:val="1"/>
      <w:numFmt w:val="bullet"/>
      <w:lvlText w:val="o"/>
      <w:lvlJc w:val="left"/>
      <w:pPr>
        <w:ind w:left="1472" w:hanging="360"/>
      </w:pPr>
      <w:rPr>
        <w:rFonts w:ascii="Courier New" w:hAnsi="Courier New" w:cs="Courier New" w:hint="default"/>
      </w:rPr>
    </w:lvl>
    <w:lvl w:ilvl="2" w:tplc="20000005" w:tentative="1">
      <w:start w:val="1"/>
      <w:numFmt w:val="bullet"/>
      <w:lvlText w:val=""/>
      <w:lvlJc w:val="left"/>
      <w:pPr>
        <w:ind w:left="2192" w:hanging="360"/>
      </w:pPr>
      <w:rPr>
        <w:rFonts w:ascii="Wingdings" w:hAnsi="Wingdings" w:hint="default"/>
      </w:rPr>
    </w:lvl>
    <w:lvl w:ilvl="3" w:tplc="20000001" w:tentative="1">
      <w:start w:val="1"/>
      <w:numFmt w:val="bullet"/>
      <w:lvlText w:val=""/>
      <w:lvlJc w:val="left"/>
      <w:pPr>
        <w:ind w:left="2912" w:hanging="360"/>
      </w:pPr>
      <w:rPr>
        <w:rFonts w:ascii="Symbol" w:hAnsi="Symbol" w:hint="default"/>
      </w:rPr>
    </w:lvl>
    <w:lvl w:ilvl="4" w:tplc="20000003" w:tentative="1">
      <w:start w:val="1"/>
      <w:numFmt w:val="bullet"/>
      <w:lvlText w:val="o"/>
      <w:lvlJc w:val="left"/>
      <w:pPr>
        <w:ind w:left="3632" w:hanging="360"/>
      </w:pPr>
      <w:rPr>
        <w:rFonts w:ascii="Courier New" w:hAnsi="Courier New" w:cs="Courier New" w:hint="default"/>
      </w:rPr>
    </w:lvl>
    <w:lvl w:ilvl="5" w:tplc="20000005" w:tentative="1">
      <w:start w:val="1"/>
      <w:numFmt w:val="bullet"/>
      <w:lvlText w:val=""/>
      <w:lvlJc w:val="left"/>
      <w:pPr>
        <w:ind w:left="4352" w:hanging="360"/>
      </w:pPr>
      <w:rPr>
        <w:rFonts w:ascii="Wingdings" w:hAnsi="Wingdings" w:hint="default"/>
      </w:rPr>
    </w:lvl>
    <w:lvl w:ilvl="6" w:tplc="20000001" w:tentative="1">
      <w:start w:val="1"/>
      <w:numFmt w:val="bullet"/>
      <w:lvlText w:val=""/>
      <w:lvlJc w:val="left"/>
      <w:pPr>
        <w:ind w:left="5072" w:hanging="360"/>
      </w:pPr>
      <w:rPr>
        <w:rFonts w:ascii="Symbol" w:hAnsi="Symbol" w:hint="default"/>
      </w:rPr>
    </w:lvl>
    <w:lvl w:ilvl="7" w:tplc="20000003" w:tentative="1">
      <w:start w:val="1"/>
      <w:numFmt w:val="bullet"/>
      <w:lvlText w:val="o"/>
      <w:lvlJc w:val="left"/>
      <w:pPr>
        <w:ind w:left="5792" w:hanging="360"/>
      </w:pPr>
      <w:rPr>
        <w:rFonts w:ascii="Courier New" w:hAnsi="Courier New" w:cs="Courier New" w:hint="default"/>
      </w:rPr>
    </w:lvl>
    <w:lvl w:ilvl="8" w:tplc="20000005" w:tentative="1">
      <w:start w:val="1"/>
      <w:numFmt w:val="bullet"/>
      <w:lvlText w:val=""/>
      <w:lvlJc w:val="left"/>
      <w:pPr>
        <w:ind w:left="6512" w:hanging="360"/>
      </w:pPr>
      <w:rPr>
        <w:rFonts w:ascii="Wingdings" w:hAnsi="Wingdings" w:hint="default"/>
      </w:rPr>
    </w:lvl>
  </w:abstractNum>
  <w:num w:numId="1" w16cid:durableId="1816487952">
    <w:abstractNumId w:val="1"/>
  </w:num>
  <w:num w:numId="2" w16cid:durableId="379716589">
    <w:abstractNumId w:val="2"/>
  </w:num>
  <w:num w:numId="3" w16cid:durableId="1479614155">
    <w:abstractNumId w:val="0"/>
  </w:num>
  <w:num w:numId="4" w16cid:durableId="17323858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EA"/>
    <w:rsid w:val="00002A3F"/>
    <w:rsid w:val="0001119C"/>
    <w:rsid w:val="00016BFF"/>
    <w:rsid w:val="00024143"/>
    <w:rsid w:val="000302CB"/>
    <w:rsid w:val="0003314D"/>
    <w:rsid w:val="00033609"/>
    <w:rsid w:val="000352CE"/>
    <w:rsid w:val="00037AE3"/>
    <w:rsid w:val="00051317"/>
    <w:rsid w:val="00053353"/>
    <w:rsid w:val="00060F2E"/>
    <w:rsid w:val="00066580"/>
    <w:rsid w:val="00066F68"/>
    <w:rsid w:val="000759D7"/>
    <w:rsid w:val="00096F04"/>
    <w:rsid w:val="000A51CF"/>
    <w:rsid w:val="000B5BB8"/>
    <w:rsid w:val="000E6A66"/>
    <w:rsid w:val="000F0956"/>
    <w:rsid w:val="000F1FDF"/>
    <w:rsid w:val="000F4B54"/>
    <w:rsid w:val="000F5288"/>
    <w:rsid w:val="0010334E"/>
    <w:rsid w:val="001114E2"/>
    <w:rsid w:val="001150A5"/>
    <w:rsid w:val="00115EF5"/>
    <w:rsid w:val="001161D6"/>
    <w:rsid w:val="00120AE3"/>
    <w:rsid w:val="00120CBF"/>
    <w:rsid w:val="001210A4"/>
    <w:rsid w:val="0013470F"/>
    <w:rsid w:val="00144495"/>
    <w:rsid w:val="00151BCA"/>
    <w:rsid w:val="00153133"/>
    <w:rsid w:val="001538B4"/>
    <w:rsid w:val="00157D7E"/>
    <w:rsid w:val="001605C2"/>
    <w:rsid w:val="0016183E"/>
    <w:rsid w:val="0016631F"/>
    <w:rsid w:val="00167858"/>
    <w:rsid w:val="001848B0"/>
    <w:rsid w:val="00194FB7"/>
    <w:rsid w:val="001A2EEC"/>
    <w:rsid w:val="001B05BD"/>
    <w:rsid w:val="001B16E8"/>
    <w:rsid w:val="001B258D"/>
    <w:rsid w:val="001B25F3"/>
    <w:rsid w:val="001B3EB7"/>
    <w:rsid w:val="001B7781"/>
    <w:rsid w:val="001C3996"/>
    <w:rsid w:val="001C5049"/>
    <w:rsid w:val="001D203B"/>
    <w:rsid w:val="001D3BFB"/>
    <w:rsid w:val="001E03F9"/>
    <w:rsid w:val="001E3BE9"/>
    <w:rsid w:val="001E51A3"/>
    <w:rsid w:val="001F04CF"/>
    <w:rsid w:val="00202A19"/>
    <w:rsid w:val="0020467E"/>
    <w:rsid w:val="00207FDA"/>
    <w:rsid w:val="002134A8"/>
    <w:rsid w:val="00217060"/>
    <w:rsid w:val="002327A5"/>
    <w:rsid w:val="00233AAA"/>
    <w:rsid w:val="00235A6C"/>
    <w:rsid w:val="00237682"/>
    <w:rsid w:val="002443A6"/>
    <w:rsid w:val="00252F4B"/>
    <w:rsid w:val="00253CEA"/>
    <w:rsid w:val="00256CFF"/>
    <w:rsid w:val="00274CDA"/>
    <w:rsid w:val="00276B2C"/>
    <w:rsid w:val="00284EA0"/>
    <w:rsid w:val="00285E3F"/>
    <w:rsid w:val="002862AA"/>
    <w:rsid w:val="0028699E"/>
    <w:rsid w:val="002A332E"/>
    <w:rsid w:val="002C008E"/>
    <w:rsid w:val="002C5235"/>
    <w:rsid w:val="002E13B6"/>
    <w:rsid w:val="002E5374"/>
    <w:rsid w:val="002E7093"/>
    <w:rsid w:val="0030447C"/>
    <w:rsid w:val="00307EC7"/>
    <w:rsid w:val="003167AF"/>
    <w:rsid w:val="00316FE9"/>
    <w:rsid w:val="00322024"/>
    <w:rsid w:val="003222A6"/>
    <w:rsid w:val="00330588"/>
    <w:rsid w:val="00330A7C"/>
    <w:rsid w:val="00350A3E"/>
    <w:rsid w:val="003632BF"/>
    <w:rsid w:val="00365730"/>
    <w:rsid w:val="0037304E"/>
    <w:rsid w:val="003819B7"/>
    <w:rsid w:val="00382314"/>
    <w:rsid w:val="00383074"/>
    <w:rsid w:val="00386913"/>
    <w:rsid w:val="00386CFF"/>
    <w:rsid w:val="00393469"/>
    <w:rsid w:val="003A0EA7"/>
    <w:rsid w:val="003A2717"/>
    <w:rsid w:val="003A65DD"/>
    <w:rsid w:val="003B2CBF"/>
    <w:rsid w:val="003B4C81"/>
    <w:rsid w:val="003C2DBF"/>
    <w:rsid w:val="003C2EC0"/>
    <w:rsid w:val="003D221C"/>
    <w:rsid w:val="003D4D54"/>
    <w:rsid w:val="003D502F"/>
    <w:rsid w:val="003E022D"/>
    <w:rsid w:val="003E0578"/>
    <w:rsid w:val="003F2F18"/>
    <w:rsid w:val="003F317E"/>
    <w:rsid w:val="003F5B1B"/>
    <w:rsid w:val="003F6A6B"/>
    <w:rsid w:val="003F78C2"/>
    <w:rsid w:val="004027D5"/>
    <w:rsid w:val="00404A33"/>
    <w:rsid w:val="00404F18"/>
    <w:rsid w:val="004108D3"/>
    <w:rsid w:val="00413AB6"/>
    <w:rsid w:val="00414332"/>
    <w:rsid w:val="00421D05"/>
    <w:rsid w:val="004235BC"/>
    <w:rsid w:val="0042486F"/>
    <w:rsid w:val="00426606"/>
    <w:rsid w:val="00430993"/>
    <w:rsid w:val="00431A02"/>
    <w:rsid w:val="00441F45"/>
    <w:rsid w:val="00446149"/>
    <w:rsid w:val="0045144F"/>
    <w:rsid w:val="00454BCF"/>
    <w:rsid w:val="00467E46"/>
    <w:rsid w:val="0047168D"/>
    <w:rsid w:val="00486270"/>
    <w:rsid w:val="00495099"/>
    <w:rsid w:val="004A2854"/>
    <w:rsid w:val="004B1834"/>
    <w:rsid w:val="004B2732"/>
    <w:rsid w:val="004B29F8"/>
    <w:rsid w:val="004B3001"/>
    <w:rsid w:val="004B35F1"/>
    <w:rsid w:val="004B3A29"/>
    <w:rsid w:val="004C13EB"/>
    <w:rsid w:val="004C4A76"/>
    <w:rsid w:val="004D2D22"/>
    <w:rsid w:val="004D2F65"/>
    <w:rsid w:val="004D542D"/>
    <w:rsid w:val="004D58AC"/>
    <w:rsid w:val="004E232F"/>
    <w:rsid w:val="004E307D"/>
    <w:rsid w:val="004F2D13"/>
    <w:rsid w:val="004F5C23"/>
    <w:rsid w:val="005055D5"/>
    <w:rsid w:val="0052125C"/>
    <w:rsid w:val="00521559"/>
    <w:rsid w:val="00530E98"/>
    <w:rsid w:val="00533DA1"/>
    <w:rsid w:val="0054326A"/>
    <w:rsid w:val="00546490"/>
    <w:rsid w:val="0055561F"/>
    <w:rsid w:val="00557471"/>
    <w:rsid w:val="005633DE"/>
    <w:rsid w:val="0056578A"/>
    <w:rsid w:val="0056595B"/>
    <w:rsid w:val="00571C0D"/>
    <w:rsid w:val="00572C4C"/>
    <w:rsid w:val="00574055"/>
    <w:rsid w:val="0057605E"/>
    <w:rsid w:val="00576E09"/>
    <w:rsid w:val="00577261"/>
    <w:rsid w:val="00581DB2"/>
    <w:rsid w:val="00585ED0"/>
    <w:rsid w:val="00594498"/>
    <w:rsid w:val="00594747"/>
    <w:rsid w:val="00594844"/>
    <w:rsid w:val="00595B2F"/>
    <w:rsid w:val="005A646E"/>
    <w:rsid w:val="005A6F41"/>
    <w:rsid w:val="005A7AE7"/>
    <w:rsid w:val="005C5D75"/>
    <w:rsid w:val="005D0F0E"/>
    <w:rsid w:val="005D15B8"/>
    <w:rsid w:val="005E150A"/>
    <w:rsid w:val="005E29E8"/>
    <w:rsid w:val="005E2E07"/>
    <w:rsid w:val="005E7DD5"/>
    <w:rsid w:val="005F5912"/>
    <w:rsid w:val="00601A41"/>
    <w:rsid w:val="006111D5"/>
    <w:rsid w:val="006111F5"/>
    <w:rsid w:val="00623E11"/>
    <w:rsid w:val="006411DE"/>
    <w:rsid w:val="00642386"/>
    <w:rsid w:val="006448C5"/>
    <w:rsid w:val="006555BD"/>
    <w:rsid w:val="0066504B"/>
    <w:rsid w:val="006676E2"/>
    <w:rsid w:val="00682B8C"/>
    <w:rsid w:val="00685EB4"/>
    <w:rsid w:val="006A23A4"/>
    <w:rsid w:val="006A2BB4"/>
    <w:rsid w:val="006A351B"/>
    <w:rsid w:val="006A4C05"/>
    <w:rsid w:val="006B5540"/>
    <w:rsid w:val="006C2B84"/>
    <w:rsid w:val="006C3DFC"/>
    <w:rsid w:val="006C5A0A"/>
    <w:rsid w:val="006D5D28"/>
    <w:rsid w:val="006E0759"/>
    <w:rsid w:val="006E210A"/>
    <w:rsid w:val="006E260B"/>
    <w:rsid w:val="006F088B"/>
    <w:rsid w:val="006F77A8"/>
    <w:rsid w:val="00702BE5"/>
    <w:rsid w:val="007137A5"/>
    <w:rsid w:val="007155B8"/>
    <w:rsid w:val="007178C6"/>
    <w:rsid w:val="00721386"/>
    <w:rsid w:val="0073702F"/>
    <w:rsid w:val="007373E7"/>
    <w:rsid w:val="007424F5"/>
    <w:rsid w:val="0074442C"/>
    <w:rsid w:val="00777A2F"/>
    <w:rsid w:val="00782936"/>
    <w:rsid w:val="007842F1"/>
    <w:rsid w:val="00787B6E"/>
    <w:rsid w:val="007A3489"/>
    <w:rsid w:val="007A75E1"/>
    <w:rsid w:val="007B448B"/>
    <w:rsid w:val="007B4E91"/>
    <w:rsid w:val="007B4F54"/>
    <w:rsid w:val="007B5701"/>
    <w:rsid w:val="007B62B5"/>
    <w:rsid w:val="007C0A5D"/>
    <w:rsid w:val="007C5AB3"/>
    <w:rsid w:val="007E2964"/>
    <w:rsid w:val="007E78D0"/>
    <w:rsid w:val="007F43B0"/>
    <w:rsid w:val="007F5E1D"/>
    <w:rsid w:val="008152E5"/>
    <w:rsid w:val="00822118"/>
    <w:rsid w:val="00830A17"/>
    <w:rsid w:val="008351F7"/>
    <w:rsid w:val="00841DCC"/>
    <w:rsid w:val="00853805"/>
    <w:rsid w:val="00855097"/>
    <w:rsid w:val="00870508"/>
    <w:rsid w:val="0087703D"/>
    <w:rsid w:val="0088077F"/>
    <w:rsid w:val="00882B9B"/>
    <w:rsid w:val="00885147"/>
    <w:rsid w:val="008854C8"/>
    <w:rsid w:val="00891E7D"/>
    <w:rsid w:val="008924D4"/>
    <w:rsid w:val="008A2229"/>
    <w:rsid w:val="008A37AF"/>
    <w:rsid w:val="008C4B05"/>
    <w:rsid w:val="008C6EDB"/>
    <w:rsid w:val="008C7A66"/>
    <w:rsid w:val="008D1807"/>
    <w:rsid w:val="008D5616"/>
    <w:rsid w:val="008D5E53"/>
    <w:rsid w:val="008F2E4E"/>
    <w:rsid w:val="00906676"/>
    <w:rsid w:val="00906B34"/>
    <w:rsid w:val="00912E02"/>
    <w:rsid w:val="00914F2B"/>
    <w:rsid w:val="00920846"/>
    <w:rsid w:val="00920A21"/>
    <w:rsid w:val="00922173"/>
    <w:rsid w:val="00943B46"/>
    <w:rsid w:val="00951E78"/>
    <w:rsid w:val="009552F9"/>
    <w:rsid w:val="009607DF"/>
    <w:rsid w:val="00964581"/>
    <w:rsid w:val="00965763"/>
    <w:rsid w:val="009660DC"/>
    <w:rsid w:val="0096622C"/>
    <w:rsid w:val="00967D5F"/>
    <w:rsid w:val="009755C6"/>
    <w:rsid w:val="00985126"/>
    <w:rsid w:val="00986049"/>
    <w:rsid w:val="0098752F"/>
    <w:rsid w:val="009A1F41"/>
    <w:rsid w:val="009A26BD"/>
    <w:rsid w:val="009A7FF6"/>
    <w:rsid w:val="009C222D"/>
    <w:rsid w:val="009C6886"/>
    <w:rsid w:val="009D1DBD"/>
    <w:rsid w:val="009D4CCF"/>
    <w:rsid w:val="009E5005"/>
    <w:rsid w:val="009E7850"/>
    <w:rsid w:val="009F448A"/>
    <w:rsid w:val="009F47B7"/>
    <w:rsid w:val="009F4CD6"/>
    <w:rsid w:val="009F6A07"/>
    <w:rsid w:val="00A10362"/>
    <w:rsid w:val="00A10EE4"/>
    <w:rsid w:val="00A11404"/>
    <w:rsid w:val="00A33C80"/>
    <w:rsid w:val="00A37E53"/>
    <w:rsid w:val="00A50A1E"/>
    <w:rsid w:val="00A543D6"/>
    <w:rsid w:val="00A55E72"/>
    <w:rsid w:val="00A56905"/>
    <w:rsid w:val="00A571BB"/>
    <w:rsid w:val="00A61330"/>
    <w:rsid w:val="00A92311"/>
    <w:rsid w:val="00A96504"/>
    <w:rsid w:val="00AA2F41"/>
    <w:rsid w:val="00AA3192"/>
    <w:rsid w:val="00AA4F69"/>
    <w:rsid w:val="00AA7D4C"/>
    <w:rsid w:val="00AB7501"/>
    <w:rsid w:val="00AC20F1"/>
    <w:rsid w:val="00AD1145"/>
    <w:rsid w:val="00AD25A6"/>
    <w:rsid w:val="00AE583E"/>
    <w:rsid w:val="00AE5D15"/>
    <w:rsid w:val="00AE631D"/>
    <w:rsid w:val="00AF05B3"/>
    <w:rsid w:val="00AF16EB"/>
    <w:rsid w:val="00AF2F64"/>
    <w:rsid w:val="00AF5575"/>
    <w:rsid w:val="00B03A85"/>
    <w:rsid w:val="00B23FEC"/>
    <w:rsid w:val="00B3147E"/>
    <w:rsid w:val="00B50E21"/>
    <w:rsid w:val="00B54E5C"/>
    <w:rsid w:val="00B56577"/>
    <w:rsid w:val="00B57348"/>
    <w:rsid w:val="00B60B60"/>
    <w:rsid w:val="00B71621"/>
    <w:rsid w:val="00B72D19"/>
    <w:rsid w:val="00B7350D"/>
    <w:rsid w:val="00B7489C"/>
    <w:rsid w:val="00B74F64"/>
    <w:rsid w:val="00B7596B"/>
    <w:rsid w:val="00B81BF8"/>
    <w:rsid w:val="00B92C34"/>
    <w:rsid w:val="00BA371E"/>
    <w:rsid w:val="00BB3270"/>
    <w:rsid w:val="00BB5AE6"/>
    <w:rsid w:val="00BC32F4"/>
    <w:rsid w:val="00BD3C26"/>
    <w:rsid w:val="00BD4FAD"/>
    <w:rsid w:val="00BD74F7"/>
    <w:rsid w:val="00BE2D66"/>
    <w:rsid w:val="00BE4543"/>
    <w:rsid w:val="00BF3FBB"/>
    <w:rsid w:val="00C013DA"/>
    <w:rsid w:val="00C12765"/>
    <w:rsid w:val="00C201F8"/>
    <w:rsid w:val="00C24833"/>
    <w:rsid w:val="00C314B3"/>
    <w:rsid w:val="00C321BB"/>
    <w:rsid w:val="00C350DC"/>
    <w:rsid w:val="00C363CD"/>
    <w:rsid w:val="00C42AC3"/>
    <w:rsid w:val="00C43705"/>
    <w:rsid w:val="00C50710"/>
    <w:rsid w:val="00C51960"/>
    <w:rsid w:val="00C52121"/>
    <w:rsid w:val="00C63760"/>
    <w:rsid w:val="00C63ADB"/>
    <w:rsid w:val="00C77A77"/>
    <w:rsid w:val="00C844C2"/>
    <w:rsid w:val="00C85052"/>
    <w:rsid w:val="00C90953"/>
    <w:rsid w:val="00C923BC"/>
    <w:rsid w:val="00C9389D"/>
    <w:rsid w:val="00C97C96"/>
    <w:rsid w:val="00CC1689"/>
    <w:rsid w:val="00CD5C43"/>
    <w:rsid w:val="00CF4C21"/>
    <w:rsid w:val="00CF788D"/>
    <w:rsid w:val="00D02DE1"/>
    <w:rsid w:val="00D06B69"/>
    <w:rsid w:val="00D17F8E"/>
    <w:rsid w:val="00D30491"/>
    <w:rsid w:val="00D33603"/>
    <w:rsid w:val="00D45554"/>
    <w:rsid w:val="00D515B9"/>
    <w:rsid w:val="00D55316"/>
    <w:rsid w:val="00D614DC"/>
    <w:rsid w:val="00D65100"/>
    <w:rsid w:val="00D749E5"/>
    <w:rsid w:val="00D75B90"/>
    <w:rsid w:val="00D9463F"/>
    <w:rsid w:val="00D969AF"/>
    <w:rsid w:val="00DA3CEB"/>
    <w:rsid w:val="00DB04AE"/>
    <w:rsid w:val="00DB085C"/>
    <w:rsid w:val="00DB1F8B"/>
    <w:rsid w:val="00DB5151"/>
    <w:rsid w:val="00DB5625"/>
    <w:rsid w:val="00DC0AB5"/>
    <w:rsid w:val="00DC399A"/>
    <w:rsid w:val="00DC6A40"/>
    <w:rsid w:val="00DE2FFC"/>
    <w:rsid w:val="00DE6B7F"/>
    <w:rsid w:val="00DF11B1"/>
    <w:rsid w:val="00DF5157"/>
    <w:rsid w:val="00E03695"/>
    <w:rsid w:val="00E23124"/>
    <w:rsid w:val="00E26F3D"/>
    <w:rsid w:val="00E31225"/>
    <w:rsid w:val="00E42E44"/>
    <w:rsid w:val="00E54DD0"/>
    <w:rsid w:val="00E54E15"/>
    <w:rsid w:val="00E6236B"/>
    <w:rsid w:val="00E70471"/>
    <w:rsid w:val="00E751B6"/>
    <w:rsid w:val="00E7780E"/>
    <w:rsid w:val="00E8625B"/>
    <w:rsid w:val="00E9142E"/>
    <w:rsid w:val="00E96721"/>
    <w:rsid w:val="00E96E69"/>
    <w:rsid w:val="00EA4676"/>
    <w:rsid w:val="00EA484D"/>
    <w:rsid w:val="00EA5D95"/>
    <w:rsid w:val="00EC0A4F"/>
    <w:rsid w:val="00EC7CBA"/>
    <w:rsid w:val="00ED473A"/>
    <w:rsid w:val="00ED47D5"/>
    <w:rsid w:val="00EE043E"/>
    <w:rsid w:val="00EE08BE"/>
    <w:rsid w:val="00EE2D26"/>
    <w:rsid w:val="00EE67B2"/>
    <w:rsid w:val="00EF4C1D"/>
    <w:rsid w:val="00EF7CFB"/>
    <w:rsid w:val="00F1657B"/>
    <w:rsid w:val="00F170E5"/>
    <w:rsid w:val="00F20355"/>
    <w:rsid w:val="00F2177A"/>
    <w:rsid w:val="00F30963"/>
    <w:rsid w:val="00F37711"/>
    <w:rsid w:val="00F47AD4"/>
    <w:rsid w:val="00F64573"/>
    <w:rsid w:val="00F64CB5"/>
    <w:rsid w:val="00F767F6"/>
    <w:rsid w:val="00F76CB2"/>
    <w:rsid w:val="00F83A13"/>
    <w:rsid w:val="00FA51F1"/>
    <w:rsid w:val="00FA5CE3"/>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379784"/>
  <w14:defaultImageDpi w14:val="32767"/>
  <w15:docId w15:val="{8D730B62-F85D-473E-8709-C54C9495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Plain Table 2" w:uiPriority="42"/>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Absatz-Standardschriftart"/>
    <w:rsid w:val="00253CEA"/>
  </w:style>
  <w:style w:type="paragraph" w:styleId="Listenabsatz">
    <w:name w:val="List Paragraph"/>
    <w:basedOn w:val="Standard"/>
    <w:link w:val="ListenabsatzZchn"/>
    <w:uiPriority w:val="34"/>
    <w:qFormat/>
    <w:rsid w:val="00253CEA"/>
    <w:pPr>
      <w:spacing w:after="120" w:line="360" w:lineRule="auto"/>
      <w:ind w:left="720"/>
      <w:contextualSpacing/>
      <w:jc w:val="both"/>
    </w:pPr>
    <w:rPr>
      <w:rFonts w:asciiTheme="minorHAnsi" w:hAnsiTheme="minorHAnsi"/>
      <w:spacing w:val="0"/>
      <w:kern w:val="2"/>
      <w:sz w:val="24"/>
      <w:szCs w:val="24"/>
      <w:lang w:val="fr-FR"/>
      <w14:ligatures w14:val="standardContextual"/>
    </w:rPr>
  </w:style>
  <w:style w:type="table" w:styleId="EinfacheTabelle2">
    <w:name w:val="Plain Table 2"/>
    <w:basedOn w:val="NormaleTabelle"/>
    <w:uiPriority w:val="42"/>
    <w:rsid w:val="00253CEA"/>
    <w:pPr>
      <w:spacing w:after="0"/>
    </w:pPr>
    <w:rPr>
      <w:rFonts w:asciiTheme="minorHAnsi" w:hAnsiTheme="minorHAnsi"/>
      <w:spacing w:val="0"/>
      <w:kern w:val="2"/>
      <w:sz w:val="22"/>
      <w:szCs w:val="22"/>
      <w:lang w:val="it-CH"/>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enabsatzZchn">
    <w:name w:val="Listenabsatz Zchn"/>
    <w:basedOn w:val="Absatz-Standardschriftart"/>
    <w:link w:val="Listenabsatz"/>
    <w:uiPriority w:val="34"/>
    <w:rsid w:val="00253CEA"/>
    <w:rPr>
      <w:rFonts w:asciiTheme="minorHAnsi" w:hAnsiTheme="minorHAnsi"/>
      <w:spacing w:val="0"/>
      <w:kern w:val="2"/>
      <w:sz w:val="24"/>
      <w:szCs w:val="24"/>
      <w:lang w:val="fr-FR"/>
      <w14:ligatures w14:val="standardContextual"/>
    </w:rPr>
  </w:style>
  <w:style w:type="character" w:customStyle="1" w:styleId="cf01">
    <w:name w:val="cf01"/>
    <w:basedOn w:val="Absatz-Standardschriftart"/>
    <w:rsid w:val="00253CEA"/>
    <w:rPr>
      <w:rFonts w:ascii="Segoe UI" w:hAnsi="Segoe UI" w:cs="Segoe UI" w:hint="default"/>
      <w:sz w:val="18"/>
      <w:szCs w:val="18"/>
    </w:rPr>
  </w:style>
  <w:style w:type="table" w:styleId="Gitternetztabelle3Akzent5">
    <w:name w:val="Grid Table 3 Accent 5"/>
    <w:basedOn w:val="NormaleTabelle"/>
    <w:uiPriority w:val="48"/>
    <w:rsid w:val="005C5D75"/>
    <w:pPr>
      <w:spacing w:after="0"/>
    </w:p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F1" w:themeFill="accent5" w:themeFillTint="33"/>
      </w:tcPr>
    </w:tblStylePr>
    <w:tblStylePr w:type="band1Horz">
      <w:tblPr/>
      <w:tcPr>
        <w:shd w:val="clear" w:color="auto" w:fill="DEEBF1" w:themeFill="accent5" w:themeFillTint="33"/>
      </w:tcPr>
    </w:tblStylePr>
    <w:tblStylePr w:type="neCell">
      <w:tblPr/>
      <w:tcPr>
        <w:tcBorders>
          <w:bottom w:val="single" w:sz="4" w:space="0" w:color="9EC5D6" w:themeColor="accent5" w:themeTint="99"/>
        </w:tcBorders>
      </w:tcPr>
    </w:tblStylePr>
    <w:tblStylePr w:type="nwCell">
      <w:tblPr/>
      <w:tcPr>
        <w:tcBorders>
          <w:bottom w:val="single" w:sz="4" w:space="0" w:color="9EC5D6" w:themeColor="accent5" w:themeTint="99"/>
        </w:tcBorders>
      </w:tcPr>
    </w:tblStylePr>
    <w:tblStylePr w:type="seCell">
      <w:tblPr/>
      <w:tcPr>
        <w:tcBorders>
          <w:top w:val="single" w:sz="4" w:space="0" w:color="9EC5D6" w:themeColor="accent5" w:themeTint="99"/>
        </w:tcBorders>
      </w:tcPr>
    </w:tblStylePr>
    <w:tblStylePr w:type="swCell">
      <w:tblPr/>
      <w:tcPr>
        <w:tcBorders>
          <w:top w:val="single" w:sz="4" w:space="0" w:color="9EC5D6"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dash.iwh.on.ca/sites/dash/files/downloads/cross_cultural_adaptation_2007.pdf" TargetMode="External"/><Relationship Id="rId39" Type="http://schemas.openxmlformats.org/officeDocument/2006/relationships/hyperlink" Target="https://www.un.org/esa/socdev/enable/documents/tccconvf.pdf" TargetMode="External"/><Relationship Id="rId21" Type="http://schemas.openxmlformats.org/officeDocument/2006/relationships/hyperlink" Target="mailto:daniela.gaeng-pacifico@unifr.ch" TargetMode="External"/><Relationship Id="rId34" Type="http://schemas.openxmlformats.org/officeDocument/2006/relationships/hyperlink" Target="https://doi.org/10.1016/j.tate.2022.103956" TargetMode="External"/><Relationship Id="rId42" Type="http://schemas.openxmlformats.org/officeDocument/2006/relationships/hyperlink" Target="https://doi.org/10.1177/0741932513518980"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udlguidelines.cast.org/more/downloads" TargetMode="External"/><Relationship Id="rId11" Type="http://schemas.openxmlformats.org/officeDocument/2006/relationships/hyperlink" Target="https://doi.org/10.57161/r2024-03-03" TargetMode="External"/><Relationship Id="rId24" Type="http://schemas.openxmlformats.org/officeDocument/2006/relationships/hyperlink" Target="https://doi.org/10.1177/0741932520908015" TargetMode="External"/><Relationship Id="rId32" Type="http://schemas.openxmlformats.org/officeDocument/2006/relationships/hyperlink" Target="https://doi.org/10.1007/978-3-030-80658-3" TargetMode="External"/><Relationship Id="rId37" Type="http://schemas.openxmlformats.org/officeDocument/2006/relationships/hyperlink" Target="https://link.springer.com/chapter/10.1007/978-3-030-80658-3_2" TargetMode="External"/><Relationship Id="rId40" Type="http://schemas.openxmlformats.org/officeDocument/2006/relationships/hyperlink" Target="https://doi.org/10.1111/j.1467-8624.2007.01064.x" TargetMode="External"/><Relationship Id="rId45" Type="http://schemas.openxmlformats.org/officeDocument/2006/relationships/hyperlink" Target="https://doi.org/10.1016/j.stueduc.2021.101121"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177/0741932520908015" TargetMode="External"/><Relationship Id="rId28" Type="http://schemas.openxmlformats.org/officeDocument/2006/relationships/hyperlink" Target="https://doi.org/10.1080/13603116.2017.1325074" TargetMode="External"/><Relationship Id="rId36" Type="http://schemas.openxmlformats.org/officeDocument/2006/relationships/hyperlink" Target="https://doi.org/10.1080/00131881.2014.934555" TargetMode="External"/><Relationship Id="rId49" Type="http://schemas.openxmlformats.org/officeDocument/2006/relationships/theme" Target="theme/theme1.xml"/><Relationship Id="rId10" Type="http://schemas.openxmlformats.org/officeDocument/2006/relationships/endnotes" Target="endnotes.xml"/><Relationship Id="rId19" Type="http://schemas.microsoft.com/office/2007/relationships/hdphoto" Target="media/hdphoto2.wdp"/><Relationship Id="rId31" Type="http://schemas.openxmlformats.org/officeDocument/2006/relationships/hyperlink" Target="https://doi.org/10.1177/073194871003300103" TargetMode="External"/><Relationship Id="rId44" Type="http://schemas.openxmlformats.org/officeDocument/2006/relationships/hyperlink" Target="https://doi.org/10.3917/nras.070.00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dlguidelines.cast.org/" TargetMode="External"/><Relationship Id="rId22" Type="http://schemas.openxmlformats.org/officeDocument/2006/relationships/hyperlink" Target="https://doi.org/10.1186/s12913-017-2733-y" TargetMode="External"/><Relationship Id="rId27" Type="http://schemas.openxmlformats.org/officeDocument/2006/relationships/hyperlink" Target="https://doi.org/10.4324/9781315622736" TargetMode="External"/><Relationship Id="rId30" Type="http://schemas.openxmlformats.org/officeDocument/2006/relationships/hyperlink" Target="https://doi.org/10.1177/002205741219200104" TargetMode="External"/><Relationship Id="rId35" Type="http://schemas.openxmlformats.org/officeDocument/2006/relationships/hyperlink" Target="https://www.ahead.ie/journal/Universal-Design-for-Learning-Licence-to-Learn-UDLL-a-European-perspective-on-UDL" TargetMode="External"/><Relationship Id="rId43" Type="http://schemas.openxmlformats.org/officeDocument/2006/relationships/hyperlink" Target="https://doi.org/10.3390/educsci13050466"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microsoft.com/office/2007/relationships/hdphoto" Target="media/hdphoto1.wdp"/><Relationship Id="rId25" Type="http://schemas.openxmlformats.org/officeDocument/2006/relationships/hyperlink" Target="https://doi.org/10.1177/0162643416660836" TargetMode="External"/><Relationship Id="rId33" Type="http://schemas.openxmlformats.org/officeDocument/2006/relationships/hyperlink" Target="https://www.intestcom.org/files/guideline_test_adaptation_2ed.pdf" TargetMode="External"/><Relationship Id="rId38" Type="http://schemas.openxmlformats.org/officeDocument/2006/relationships/hyperlink" Target="https://doi.org/10.1080/09362835.2016.1196450" TargetMode="External"/><Relationship Id="rId46" Type="http://schemas.openxmlformats.org/officeDocument/2006/relationships/header" Target="header1.xml"/><Relationship Id="rId20" Type="http://schemas.openxmlformats.org/officeDocument/2006/relationships/hyperlink" Target="mailto:laura.rusconi@supsi.ch" TargetMode="External"/><Relationship Id="rId41" Type="http://schemas.openxmlformats.org/officeDocument/2006/relationships/hyperlink" Target="https://www.learntechlib.org/p/148703/"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54AEFA8F-5B31-463F-BFC4-51ED2E908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R03.2024.dotx</Template>
  <TotalTime>0</TotalTime>
  <Pages>9</Pages>
  <Words>4070</Words>
  <Characters>25645</Characters>
  <Application>Microsoft Office Word</Application>
  <DocSecurity>0</DocSecurity>
  <Lines>213</Lines>
  <Paragraphs>59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Universal Design for Learning Observation – Measurement Tool_x000d_</vt:lpstr>
      <vt:lpstr>Title</vt:lpstr>
    </vt:vector>
  </TitlesOfParts>
  <Company/>
  <LinksUpToDate>false</LinksUpToDate>
  <CharactersWithSpaces>29656</CharactersWithSpaces>
  <SharedDoc>false</SharedDoc>
  <HLinks>
    <vt:vector size="168" baseType="variant">
      <vt:variant>
        <vt:i4>4522008</vt:i4>
      </vt:variant>
      <vt:variant>
        <vt:i4>81</vt:i4>
      </vt:variant>
      <vt:variant>
        <vt:i4>0</vt:i4>
      </vt:variant>
      <vt:variant>
        <vt:i4>5</vt:i4>
      </vt:variant>
      <vt:variant>
        <vt:lpwstr>https://doi.org/10.1016/j.stueduc.2021.101121</vt:lpwstr>
      </vt:variant>
      <vt:variant>
        <vt:lpwstr/>
      </vt:variant>
      <vt:variant>
        <vt:i4>1310812</vt:i4>
      </vt:variant>
      <vt:variant>
        <vt:i4>78</vt:i4>
      </vt:variant>
      <vt:variant>
        <vt:i4>0</vt:i4>
      </vt:variant>
      <vt:variant>
        <vt:i4>5</vt:i4>
      </vt:variant>
      <vt:variant>
        <vt:lpwstr>https://doi.org/10.3917/nras.070.0051</vt:lpwstr>
      </vt:variant>
      <vt:variant>
        <vt:lpwstr/>
      </vt:variant>
      <vt:variant>
        <vt:i4>8061025</vt:i4>
      </vt:variant>
      <vt:variant>
        <vt:i4>75</vt:i4>
      </vt:variant>
      <vt:variant>
        <vt:i4>0</vt:i4>
      </vt:variant>
      <vt:variant>
        <vt:i4>5</vt:i4>
      </vt:variant>
      <vt:variant>
        <vt:lpwstr>https://doi.org/10.3390/educsci13050466</vt:lpwstr>
      </vt:variant>
      <vt:variant>
        <vt:lpwstr/>
      </vt:variant>
      <vt:variant>
        <vt:i4>2031703</vt:i4>
      </vt:variant>
      <vt:variant>
        <vt:i4>72</vt:i4>
      </vt:variant>
      <vt:variant>
        <vt:i4>0</vt:i4>
      </vt:variant>
      <vt:variant>
        <vt:i4>5</vt:i4>
      </vt:variant>
      <vt:variant>
        <vt:lpwstr>https://doi.org/10.1177/0741932513518980</vt:lpwstr>
      </vt:variant>
      <vt:variant>
        <vt:lpwstr/>
      </vt:variant>
      <vt:variant>
        <vt:i4>2621483</vt:i4>
      </vt:variant>
      <vt:variant>
        <vt:i4>69</vt:i4>
      </vt:variant>
      <vt:variant>
        <vt:i4>0</vt:i4>
      </vt:variant>
      <vt:variant>
        <vt:i4>5</vt:i4>
      </vt:variant>
      <vt:variant>
        <vt:lpwstr>https://www.learntechlib.org/p/148703/</vt:lpwstr>
      </vt:variant>
      <vt:variant>
        <vt:lpwstr/>
      </vt:variant>
      <vt:variant>
        <vt:i4>5242909</vt:i4>
      </vt:variant>
      <vt:variant>
        <vt:i4>66</vt:i4>
      </vt:variant>
      <vt:variant>
        <vt:i4>0</vt:i4>
      </vt:variant>
      <vt:variant>
        <vt:i4>5</vt:i4>
      </vt:variant>
      <vt:variant>
        <vt:lpwstr>https://doi.org/10.1111/j.1467-8624.2007.01064.x</vt:lpwstr>
      </vt:variant>
      <vt:variant>
        <vt:lpwstr/>
      </vt:variant>
      <vt:variant>
        <vt:i4>2752636</vt:i4>
      </vt:variant>
      <vt:variant>
        <vt:i4>63</vt:i4>
      </vt:variant>
      <vt:variant>
        <vt:i4>0</vt:i4>
      </vt:variant>
      <vt:variant>
        <vt:i4>5</vt:i4>
      </vt:variant>
      <vt:variant>
        <vt:lpwstr>https://www.un.org/esa/socdev/enable/documents/tccconvf.pdf</vt:lpwstr>
      </vt:variant>
      <vt:variant>
        <vt:lpwstr/>
      </vt:variant>
      <vt:variant>
        <vt:i4>393292</vt:i4>
      </vt:variant>
      <vt:variant>
        <vt:i4>60</vt:i4>
      </vt:variant>
      <vt:variant>
        <vt:i4>0</vt:i4>
      </vt:variant>
      <vt:variant>
        <vt:i4>5</vt:i4>
      </vt:variant>
      <vt:variant>
        <vt:lpwstr>https://doi.org/10.1080/09362835.2016.1196450</vt:lpwstr>
      </vt:variant>
      <vt:variant>
        <vt:lpwstr/>
      </vt:variant>
      <vt:variant>
        <vt:i4>6619205</vt:i4>
      </vt:variant>
      <vt:variant>
        <vt:i4>57</vt:i4>
      </vt:variant>
      <vt:variant>
        <vt:i4>0</vt:i4>
      </vt:variant>
      <vt:variant>
        <vt:i4>5</vt:i4>
      </vt:variant>
      <vt:variant>
        <vt:lpwstr>https://link.springer.com/chapter/10.1007/978-3-030-80658-3_2</vt:lpwstr>
      </vt:variant>
      <vt:variant>
        <vt:lpwstr/>
      </vt:variant>
      <vt:variant>
        <vt:i4>983104</vt:i4>
      </vt:variant>
      <vt:variant>
        <vt:i4>54</vt:i4>
      </vt:variant>
      <vt:variant>
        <vt:i4>0</vt:i4>
      </vt:variant>
      <vt:variant>
        <vt:i4>5</vt:i4>
      </vt:variant>
      <vt:variant>
        <vt:lpwstr>https://doi.org/10.1080/00131881.2014.934555</vt:lpwstr>
      </vt:variant>
      <vt:variant>
        <vt:lpwstr/>
      </vt:variant>
      <vt:variant>
        <vt:i4>7929912</vt:i4>
      </vt:variant>
      <vt:variant>
        <vt:i4>51</vt:i4>
      </vt:variant>
      <vt:variant>
        <vt:i4>0</vt:i4>
      </vt:variant>
      <vt:variant>
        <vt:i4>5</vt:i4>
      </vt:variant>
      <vt:variant>
        <vt:lpwstr>https://www.ahead.ie/journal/Universal-Design-for-Learning-Licence-to-Learn-UDLL-a-European-perspective-on-UDL</vt:lpwstr>
      </vt:variant>
      <vt:variant>
        <vt:lpwstr/>
      </vt:variant>
      <vt:variant>
        <vt:i4>2687021</vt:i4>
      </vt:variant>
      <vt:variant>
        <vt:i4>48</vt:i4>
      </vt:variant>
      <vt:variant>
        <vt:i4>0</vt:i4>
      </vt:variant>
      <vt:variant>
        <vt:i4>5</vt:i4>
      </vt:variant>
      <vt:variant>
        <vt:lpwstr>https://doi.org/10.1016/j.tate.2022.103956</vt:lpwstr>
      </vt:variant>
      <vt:variant>
        <vt:lpwstr/>
      </vt:variant>
      <vt:variant>
        <vt:i4>4849722</vt:i4>
      </vt:variant>
      <vt:variant>
        <vt:i4>45</vt:i4>
      </vt:variant>
      <vt:variant>
        <vt:i4>0</vt:i4>
      </vt:variant>
      <vt:variant>
        <vt:i4>5</vt:i4>
      </vt:variant>
      <vt:variant>
        <vt:lpwstr>https://www.intestcom.org/files/guideline_test_adaptation_2ed.pdf</vt:lpwstr>
      </vt:variant>
      <vt:variant>
        <vt:lpwstr/>
      </vt:variant>
      <vt:variant>
        <vt:i4>1179737</vt:i4>
      </vt:variant>
      <vt:variant>
        <vt:i4>42</vt:i4>
      </vt:variant>
      <vt:variant>
        <vt:i4>0</vt:i4>
      </vt:variant>
      <vt:variant>
        <vt:i4>5</vt:i4>
      </vt:variant>
      <vt:variant>
        <vt:lpwstr>https://doi.org/10.1007/978-3-030-80658-3</vt:lpwstr>
      </vt:variant>
      <vt:variant>
        <vt:lpwstr/>
      </vt:variant>
      <vt:variant>
        <vt:i4>2097260</vt:i4>
      </vt:variant>
      <vt:variant>
        <vt:i4>39</vt:i4>
      </vt:variant>
      <vt:variant>
        <vt:i4>0</vt:i4>
      </vt:variant>
      <vt:variant>
        <vt:i4>5</vt:i4>
      </vt:variant>
      <vt:variant>
        <vt:lpwstr>https://doi.org/10.1177/073194871003300103</vt:lpwstr>
      </vt:variant>
      <vt:variant>
        <vt:lpwstr/>
      </vt:variant>
      <vt:variant>
        <vt:i4>2687083</vt:i4>
      </vt:variant>
      <vt:variant>
        <vt:i4>36</vt:i4>
      </vt:variant>
      <vt:variant>
        <vt:i4>0</vt:i4>
      </vt:variant>
      <vt:variant>
        <vt:i4>5</vt:i4>
      </vt:variant>
      <vt:variant>
        <vt:lpwstr>https://doi.org/10.1177/002205741219200104</vt:lpwstr>
      </vt:variant>
      <vt:variant>
        <vt:lpwstr/>
      </vt:variant>
      <vt:variant>
        <vt:i4>1769550</vt:i4>
      </vt:variant>
      <vt:variant>
        <vt:i4>33</vt:i4>
      </vt:variant>
      <vt:variant>
        <vt:i4>0</vt:i4>
      </vt:variant>
      <vt:variant>
        <vt:i4>5</vt:i4>
      </vt:variant>
      <vt:variant>
        <vt:lpwstr>https://udlguidelines.cast.org/more/downloads</vt:lpwstr>
      </vt:variant>
      <vt:variant>
        <vt:lpwstr/>
      </vt:variant>
      <vt:variant>
        <vt:i4>196677</vt:i4>
      </vt:variant>
      <vt:variant>
        <vt:i4>30</vt:i4>
      </vt:variant>
      <vt:variant>
        <vt:i4>0</vt:i4>
      </vt:variant>
      <vt:variant>
        <vt:i4>5</vt:i4>
      </vt:variant>
      <vt:variant>
        <vt:lpwstr>https://doi.org/10.1080/13603116.2017.1325074</vt:lpwstr>
      </vt:variant>
      <vt:variant>
        <vt:lpwstr/>
      </vt:variant>
      <vt:variant>
        <vt:i4>1310815</vt:i4>
      </vt:variant>
      <vt:variant>
        <vt:i4>27</vt:i4>
      </vt:variant>
      <vt:variant>
        <vt:i4>0</vt:i4>
      </vt:variant>
      <vt:variant>
        <vt:i4>5</vt:i4>
      </vt:variant>
      <vt:variant>
        <vt:lpwstr>https://doi.org/10.4324/9781315622736</vt:lpwstr>
      </vt:variant>
      <vt:variant>
        <vt:lpwstr/>
      </vt:variant>
      <vt:variant>
        <vt:i4>1245245</vt:i4>
      </vt:variant>
      <vt:variant>
        <vt:i4>24</vt:i4>
      </vt:variant>
      <vt:variant>
        <vt:i4>0</vt:i4>
      </vt:variant>
      <vt:variant>
        <vt:i4>5</vt:i4>
      </vt:variant>
      <vt:variant>
        <vt:lpwstr>https://dash.iwh.on.ca/sites/dash/files/downloads/cross_cultural_adaptation_2007.pdf</vt:lpwstr>
      </vt:variant>
      <vt:variant>
        <vt:lpwstr/>
      </vt:variant>
      <vt:variant>
        <vt:i4>1638491</vt:i4>
      </vt:variant>
      <vt:variant>
        <vt:i4>21</vt:i4>
      </vt:variant>
      <vt:variant>
        <vt:i4>0</vt:i4>
      </vt:variant>
      <vt:variant>
        <vt:i4>5</vt:i4>
      </vt:variant>
      <vt:variant>
        <vt:lpwstr>https://doi.org/10.1177/0162643416660836</vt:lpwstr>
      </vt:variant>
      <vt:variant>
        <vt:lpwstr/>
      </vt:variant>
      <vt:variant>
        <vt:i4>1114193</vt:i4>
      </vt:variant>
      <vt:variant>
        <vt:i4>18</vt:i4>
      </vt:variant>
      <vt:variant>
        <vt:i4>0</vt:i4>
      </vt:variant>
      <vt:variant>
        <vt:i4>5</vt:i4>
      </vt:variant>
      <vt:variant>
        <vt:lpwstr>https://doi.org/10.1177/0741932520908015</vt:lpwstr>
      </vt:variant>
      <vt:variant>
        <vt:lpwstr/>
      </vt:variant>
      <vt:variant>
        <vt:i4>1114193</vt:i4>
      </vt:variant>
      <vt:variant>
        <vt:i4>15</vt:i4>
      </vt:variant>
      <vt:variant>
        <vt:i4>0</vt:i4>
      </vt:variant>
      <vt:variant>
        <vt:i4>5</vt:i4>
      </vt:variant>
      <vt:variant>
        <vt:lpwstr>https://doi.org/10.1177/0741932520908015</vt:lpwstr>
      </vt:variant>
      <vt:variant>
        <vt:lpwstr/>
      </vt:variant>
      <vt:variant>
        <vt:i4>720920</vt:i4>
      </vt:variant>
      <vt:variant>
        <vt:i4>12</vt:i4>
      </vt:variant>
      <vt:variant>
        <vt:i4>0</vt:i4>
      </vt:variant>
      <vt:variant>
        <vt:i4>5</vt:i4>
      </vt:variant>
      <vt:variant>
        <vt:lpwstr>https://doi.org/10.1186/s12913-017-2733-y</vt:lpwstr>
      </vt:variant>
      <vt:variant>
        <vt:lpwstr/>
      </vt:variant>
      <vt:variant>
        <vt:i4>1114145</vt:i4>
      </vt:variant>
      <vt:variant>
        <vt:i4>9</vt:i4>
      </vt:variant>
      <vt:variant>
        <vt:i4>0</vt:i4>
      </vt:variant>
      <vt:variant>
        <vt:i4>5</vt:i4>
      </vt:variant>
      <vt:variant>
        <vt:lpwstr>mailto:daniela.gaeng-pacifico@unifr.ch</vt:lpwstr>
      </vt:variant>
      <vt:variant>
        <vt:lpwstr/>
      </vt:variant>
      <vt:variant>
        <vt:i4>1310823</vt:i4>
      </vt:variant>
      <vt:variant>
        <vt:i4>6</vt:i4>
      </vt:variant>
      <vt:variant>
        <vt:i4>0</vt:i4>
      </vt:variant>
      <vt:variant>
        <vt:i4>5</vt:i4>
      </vt:variant>
      <vt:variant>
        <vt:lpwstr>mailto:laura.rusconi@supsi.ch</vt:lpwstr>
      </vt:variant>
      <vt:variant>
        <vt:lpwstr/>
      </vt:variant>
      <vt:variant>
        <vt:i4>2162805</vt:i4>
      </vt:variant>
      <vt:variant>
        <vt:i4>3</vt:i4>
      </vt:variant>
      <vt:variant>
        <vt:i4>0</vt:i4>
      </vt:variant>
      <vt:variant>
        <vt:i4>5</vt:i4>
      </vt:variant>
      <vt:variant>
        <vt:lpwstr>https://udlguidelines.cast.org/</vt:lpwstr>
      </vt:variant>
      <vt:variant>
        <vt:lpwstr/>
      </vt:variant>
      <vt:variant>
        <vt:i4>5242970</vt:i4>
      </vt:variant>
      <vt:variant>
        <vt:i4>0</vt:i4>
      </vt:variant>
      <vt:variant>
        <vt:i4>0</vt:i4>
      </vt:variant>
      <vt:variant>
        <vt:i4>5</vt:i4>
      </vt:variant>
      <vt:variant>
        <vt:lpwstr>https://doi.org/10.57161/r2024-03-03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Design for Learning Observation – Measurement Tool</dc:title>
  <dc:subject/>
  <dc:creator>Laura Rusconi;Daniela Gäng-Pacifico</dc:creator>
  <cp:keywords>Conception universelle de l’apprentissage, enseignement inclusif, grille d’observation, traduction, adaptation interculturelle/Beobachtungsraster, inklusiver Unterricht, interkulturelle Anpassung, Übersetzung, Universal design for Learning</cp:keywords>
  <cp:lastModifiedBy>Wetter, Thomas</cp:lastModifiedBy>
  <cp:revision>57</cp:revision>
  <cp:lastPrinted>2024-09-10T02:40:00Z</cp:lastPrinted>
  <dcterms:created xsi:type="dcterms:W3CDTF">2024-07-17T01:12:00Z</dcterms:created>
  <dcterms:modified xsi:type="dcterms:W3CDTF">2024-10-24T13:21:00Z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